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jc w:val="center"/>
        <w:rPr>
          <w:rFonts w:ascii="Arial" w:hAnsi="Arial" w:cs="Arial"/>
          <w:b/>
          <w:sz w:val="20"/>
        </w:rPr>
      </w:pPr>
      <w:r>
        <w:rPr>
          <w:rFonts w:cs="Arial" w:ascii="Arial" w:hAnsi="Arial"/>
          <w:b/>
          <w:sz w:val="20"/>
        </w:rPr>
        <w:t>ENRON NORTH AMERICA CORP. ("ENA")</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NUCLEAR OUTAGE KNOCK-IN CALL OPTION</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This GTC sets forth the general terms and conditions governing all Nuclear Outage Knock-In Call Option Transactions between ENA and Counterparty. All such transactions together with all other Derivative Transactions shall constitute a single, integrated agreement between the parties, it being acknowledged that the parties are relying on the fact that all such Derivative Transactions will form a single agreement and that the parties would not otherwise enter into any transactions.  In the event ENA and Counterparty have entered into any other agreement(s) governing Derivative Transactions, this GTC shall govern all Nuclear Outage Knock-In Call Option Transactions.  Any capitalized term used herein that is not otherwise defined shall have the meaning ascribed to it under the “View Description” button for the Transaction on the Website.</w:t>
      </w:r>
    </w:p>
    <w:p>
      <w:pPr>
        <w:pStyle w:val="Normal"/>
        <w:jc w:val="both"/>
        <w:rPr/>
      </w:pPr>
      <w:r>
        <w:rPr>
          <w:rFonts w:cs="Arial" w:ascii="Arial" w:hAnsi="Arial"/>
          <w:sz w:val="20"/>
        </w:rPr>
        <w:t xml:space="preserve">1. </w:t>
      </w:r>
      <w:r>
        <w:rPr>
          <w:rFonts w:cs="Arial" w:ascii="Arial" w:hAnsi="Arial"/>
          <w:b/>
          <w:sz w:val="20"/>
          <w:u w:val="single"/>
        </w:rPr>
        <w:t>Representations</w:t>
      </w:r>
      <w:r>
        <w:rPr>
          <w:rFonts w:cs="Arial" w:ascii="Arial" w:hAnsi="Arial"/>
          <w:sz w:val="20"/>
        </w:rPr>
        <w:t xml:space="preserve">. Each of ENA and Counterparty represents and warrants to the other that (a) </w:t>
      </w:r>
      <w:r>
        <w:rPr>
          <w:rFonts w:cs="Arial" w:ascii="Arial" w:hAnsi="Arial"/>
          <w:sz w:val="20"/>
          <w:u w:val="single"/>
        </w:rPr>
        <w:t>Authority/Taxation</w:t>
      </w:r>
      <w:r>
        <w:rPr>
          <w:rFonts w:cs="Arial" w:ascii="Arial" w:hAnsi="Arial"/>
          <w:sz w:val="20"/>
        </w:rPr>
        <w:t xml:space="preserve"> (i) the execution, delivery and performance of each Transaction have been duly authorized by all necessary corporate or other organization action on its part, (ii) each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w:ascii="Arial" w:hAnsi="Arial"/>
          <w:sz w:val="20"/>
          <w:u w:val="single"/>
        </w:rPr>
        <w:t>Eligible Swap Participant</w:t>
      </w:r>
      <w:r>
        <w:rPr>
          <w:rFonts w:cs="Arial" w:ascii="Arial" w:hAnsi="Arial"/>
          <w:sz w:val="20"/>
        </w:rPr>
        <w:t xml:space="preserve"> (i) it constitutes an "eligible swap participant" as such term is defined in 17 C.F.R. Section 35.1(b)(2), and (ii) each Transaction constitutes a "swap agreement" within the meaning of 17 C.F.R. Section 35.1(b)(1); and (c) </w:t>
      </w:r>
      <w:r>
        <w:rPr>
          <w:rFonts w:cs="Arial" w:ascii="Arial" w:hAnsi="Arial"/>
          <w:sz w:val="20"/>
          <w:u w:val="single"/>
        </w:rPr>
        <w:t>Line of Business</w:t>
      </w:r>
      <w:r>
        <w:rPr>
          <w:rFonts w:cs="Arial" w:ascii="Arial" w:hAnsi="Arial"/>
          <w:sz w:val="20"/>
        </w:rPr>
        <w:t xml:space="preserve"> (i) it is entering into each Transaction in conjunction with its line of business (including financial intermediation services) or the financing of its business; and (ii) it is a producer, processor, commercial user of, or merchant handling, the commodity subject to each Transaction or the products or byproducts thereof, and it has entered into each Transaction solely for purposes related to its business as such; and (d) </w:t>
      </w:r>
      <w:r>
        <w:rPr>
          <w:rFonts w:cs="Arial" w:ascii="Arial" w:hAnsi="Arial"/>
          <w:sz w:val="20"/>
          <w:u w:val="single"/>
        </w:rPr>
        <w:t>No Reliance</w:t>
      </w:r>
      <w:r>
        <w:rPr>
          <w:rFonts w:cs="Arial" w:ascii="Arial" w:hAnsi="Arial"/>
          <w:sz w:val="20"/>
        </w:rPr>
        <w:t xml:space="preserv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each Transaction,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jc w:val="both"/>
        <w:rPr/>
      </w:pPr>
      <w:r>
        <w:rPr>
          <w:rFonts w:cs="Arial" w:ascii="Arial" w:hAnsi="Arial"/>
          <w:sz w:val="20"/>
        </w:rPr>
        <w:t xml:space="preserve">2. </w:t>
      </w:r>
      <w:r>
        <w:rPr>
          <w:rFonts w:cs="Arial" w:ascii="Arial" w:hAnsi="Arial"/>
          <w:b/>
          <w:sz w:val="20"/>
          <w:u w:val="single"/>
        </w:rPr>
        <w:t>Payments</w:t>
      </w:r>
      <w:r>
        <w:rPr>
          <w:rFonts w:cs="Arial" w:ascii="Arial" w:hAnsi="Arial"/>
          <w:sz w:val="20"/>
        </w:rPr>
        <w:t>. For each Determination Period, on the applicable Payment Date with respect to an Option that is exercised upon the occurrence of a Knock-In Event, ENA shall pay Counterparty the Total Cash Settlement Amount (if any) for the relevant Determination Period; otherwise the Option shall expire.  The Total Premium is due and payable by the Counterparty to ENA on the Premium Payment Date(s).</w:t>
      </w:r>
    </w:p>
    <w:p>
      <w:pPr>
        <w:pStyle w:val="Normal"/>
        <w:jc w:val="both"/>
        <w:rPr>
          <w:rFonts w:ascii="Arial" w:hAnsi="Arial" w:cs="Arial"/>
          <w:sz w:val="20"/>
        </w:rPr>
      </w:pPr>
      <w:r>
        <w:rPr>
          <w:rFonts w:cs="Arial" w:ascii="Arial" w:hAnsi="Arial"/>
          <w:sz w:val="20"/>
        </w:rPr>
        <w:t>For the purposes of the calculations of the Floating Price(s), all numbers shall be rounded as follows: Floating Price(s) relating to commodities quoted in megawatt hours shall be rounded to three places.</w:t>
      </w:r>
    </w:p>
    <w:p>
      <w:pPr>
        <w:pStyle w:val="Normal"/>
        <w:jc w:val="both"/>
        <w:rPr>
          <w:rFonts w:ascii="Arial" w:hAnsi="Arial" w:cs="Arial"/>
          <w:sz w:val="20"/>
        </w:rPr>
      </w:pPr>
      <w:r>
        <w:rPr>
          <w:rFonts w:cs="Arial" w:ascii="Arial" w:hAnsi="Arial"/>
          <w:sz w:val="20"/>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rFonts w:ascii="Arial" w:hAnsi="Arial" w:cs="Arial"/>
          <w:sz w:val="20"/>
        </w:rPr>
      </w:pPr>
      <w:r>
        <w:rPr>
          <w:rFonts w:cs="Arial" w:ascii="Arial" w:hAnsi="Arial"/>
          <w:sz w:val="20"/>
        </w:rPr>
        <w:t>All payments under each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each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each Transaction at a reduced rate of, or without any, withholding for or on account of any Tax.</w:t>
      </w:r>
    </w:p>
    <w:p>
      <w:pPr>
        <w:pStyle w:val="Normal"/>
        <w:jc w:val="both"/>
        <w:rPr/>
      </w:pPr>
      <w:r>
        <w:rPr>
          <w:rFonts w:cs="Arial" w:ascii="Arial" w:hAnsi="Arial"/>
          <w:sz w:val="20"/>
        </w:rPr>
        <w:t xml:space="preserve">3. </w:t>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a Transaction if such failure is not remedied within three Business Days after notice of such failure is given to the Defaulting Party; (b) any representation or warranty made by the Defaulting Party in each Transaction shall prove to have been false or misleading in any material respect; (c) the breach by the Defaulting Party of any other covenant or agreement set forth in each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each Transaction or (z) the resulting entity’s creditworthiness is materially weaker than that of the Defaulting Party; or (f) an event of default occurs (howsoever determined) under any other Derivative Transaction between the parties.</w:t>
      </w:r>
    </w:p>
    <w:p>
      <w:pPr>
        <w:pStyle w:val="Normal"/>
        <w:jc w:val="both"/>
        <w:rPr/>
      </w:pPr>
      <w:r>
        <w:rPr>
          <w:rFonts w:cs="Arial" w:ascii="Arial" w:hAnsi="Arial"/>
          <w:sz w:val="20"/>
        </w:rPr>
        <w:t xml:space="preserve">4. </w:t>
      </w:r>
      <w:r>
        <w:rPr>
          <w:rFonts w:cs="Arial" w:ascii="Arial" w:hAnsi="Arial"/>
          <w:b/>
          <w:sz w:val="20"/>
          <w:u w:val="single"/>
        </w:rPr>
        <w:t>Remedies</w:t>
      </w:r>
      <w:r>
        <w:rPr>
          <w:rFonts w:cs="Arial" w:ascii="Arial" w:hAnsi="Arial"/>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w:ascii="Arial" w:hAnsi="Arial"/>
          <w:sz w:val="20"/>
          <w:u w:val="single"/>
        </w:rPr>
        <w:t>Costs</w:t>
      </w:r>
      <w:r>
        <w:rPr>
          <w:rFonts w:cs="Arial" w:ascii="Arial" w:hAnsi="Arial"/>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w:ascii="Arial" w:hAnsi="Arial"/>
          <w:sz w:val="20"/>
          <w:u w:val="single"/>
        </w:rPr>
        <w:t>Gains</w:t>
      </w:r>
      <w:r>
        <w:rPr>
          <w:rFonts w:cs="Arial" w:ascii="Arial" w:hAnsi="Arial"/>
          <w:sz w:val="20"/>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w:ascii="Arial" w:hAnsi="Arial"/>
          <w:sz w:val="20"/>
          <w:u w:val="single"/>
        </w:rPr>
        <w:t>Losses</w:t>
      </w:r>
      <w:r>
        <w:rPr>
          <w:rFonts w:cs="Arial" w:ascii="Arial" w:hAnsi="Arial"/>
          <w:sz w:val="20"/>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pPr>
      <w:r>
        <w:rPr>
          <w:rFonts w:cs="Arial" w:ascii="Arial" w:hAnsi="Arial"/>
          <w:sz w:val="20"/>
        </w:rPr>
        <w:t xml:space="preserve">5. </w:t>
      </w:r>
      <w:r>
        <w:rPr>
          <w:rFonts w:cs="Arial" w:ascii="Arial" w:hAnsi="Arial"/>
          <w:b/>
          <w:sz w:val="20"/>
          <w:u w:val="single"/>
        </w:rPr>
        <w:t>Setoff</w:t>
      </w:r>
      <w:r>
        <w:rPr>
          <w:rFonts w:cs="Arial" w:ascii="Arial" w:hAnsi="Arial"/>
          <w:sz w:val="20"/>
        </w:rPr>
        <w:t>. In the event of an occurrence of an Early Termination Date, the non-defaulting party shall be entitled, at its option and in its discretion, to set-off against any amounts owed to the Defaulting Party by the non-defaulting party or any of its Affiliates under any Transaction or otherwise any amounts payable by the Defaulting Party to the non-defaulting party or any of its Affiliates under such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a Transaction, the non-defaulting party shall not be required to pay to the Defaulting Party any amount under such Transaction until the non-defaulting party receives confirmation satisfactory to it in its reasonable discretion that all obligations of any kind whatsoever of the Defaulting Party to make any payments to the non-defaulting party or any of its Affiliates under such Transaction or otherwise which are due and payable as of the Early Termination Date hereof have been fully and finally performed.</w:t>
      </w:r>
    </w:p>
    <w:p>
      <w:pPr>
        <w:pStyle w:val="Normal"/>
        <w:jc w:val="both"/>
        <w:rPr/>
      </w:pPr>
      <w:r>
        <w:rPr>
          <w:rFonts w:cs="Arial" w:ascii="Arial" w:hAnsi="Arial"/>
          <w:sz w:val="20"/>
        </w:rPr>
        <w:t xml:space="preserve">6. </w:t>
      </w:r>
      <w:r>
        <w:rPr>
          <w:rFonts w:cs="Arial" w:ascii="Arial" w:hAnsi="Arial"/>
          <w:b/>
          <w:sz w:val="20"/>
          <w:u w:val="single"/>
        </w:rPr>
        <w:t>Miscellaneous</w:t>
      </w:r>
      <w:r>
        <w:rPr>
          <w:rFonts w:cs="Arial" w:ascii="Arial" w:hAnsi="Arial"/>
          <w:sz w:val="20"/>
        </w:rPr>
        <w:t>. Each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each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Counterparty agrees that it may not bring any legal action against ENA unless it has complied with all the terms and conditions of this GTC and the action is started within one (1) year of the trade date of the Transaction. All notices in connection with any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each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any Transaction.</w:t>
      </w:r>
    </w:p>
    <w:p>
      <w:pPr>
        <w:pStyle w:val="Normal"/>
        <w:jc w:val="both"/>
        <w:rPr>
          <w:rFonts w:ascii="Arial" w:hAnsi="Arial" w:cs="Arial"/>
          <w:sz w:val="20"/>
        </w:rPr>
      </w:pPr>
      <w:r>
        <w:rPr>
          <w:rFonts w:cs="Arial" w:ascii="Arial" w:hAnsi="Arial"/>
          <w:sz w:val="20"/>
        </w:rPr>
        <w:t>Any dispute relating to each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each Transaction may be awarded and the arbitrators shall have no authority to award treble, exemplary or punitive damages of any kind under any circumstances regardless of whether such damages may be available under the governing law for each Transaction and/or the FAA or AAA. The arbitration shall be conducted in New York City, New York and any related award shall be confidential.</w:t>
      </w:r>
    </w:p>
    <w:p>
      <w:pPr>
        <w:pStyle w:val="Normal"/>
        <w:jc w:val="both"/>
        <w:rPr>
          <w:rFonts w:ascii="Arial" w:hAnsi="Arial" w:cs="Arial"/>
          <w:sz w:val="20"/>
        </w:rPr>
      </w:pPr>
      <w:r>
        <w:rPr>
          <w:rFonts w:cs="Arial" w:ascii="Arial" w:hAnsi="Arial"/>
          <w:sz w:val="20"/>
        </w:rPr>
        <w:t>The contents of each Transaction and all other documents relating to such Transaction, and any information made available by one party to the other party with respect to each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insurers or lenders which are required to keep the information that is disclosed in confidence.  The Parties hereto expressly agree that in the event there is a conflict between Article 5 of the Electronic Trading Agreement and the terms of this GTC, this GTC shall control.</w:t>
      </w:r>
    </w:p>
    <w:p>
      <w:pPr>
        <w:pStyle w:val="Normal"/>
        <w:jc w:val="both"/>
        <w:rPr/>
      </w:pPr>
      <w:r>
        <w:rPr>
          <w:rFonts w:cs="Arial" w:ascii="Arial" w:hAnsi="Arial"/>
          <w:sz w:val="20"/>
        </w:rPr>
        <w:t xml:space="preserve">If any term, provision, covenant, or condition of a Transaction, or the application thereof to any party or circumstance, shall be held to be invalid or unenforceable (in whole or in part) for any reason, the remaining terms, provisions, covenants, and conditions hereof shall continue in full force and effect as if such Transaction had been executed with the invalid or unenforceable portion eliminated, so long as such Transaction as so modified continues to express, without material change, the original intentions of the parties as to the subject matter of such Transaction and the deletion of such portion of such Transaction will not substantially impair the respective benefits or expectations of the parties to such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jc w:val="both"/>
        <w:rPr/>
      </w:pPr>
      <w:r>
        <w:rPr>
          <w:rFonts w:cs="Arial" w:ascii="Arial" w:hAnsi="Arial"/>
          <w:sz w:val="20"/>
        </w:rPr>
        <w:t xml:space="preserve">7. </w:t>
      </w:r>
      <w:r>
        <w:rPr>
          <w:rFonts w:cs="Arial" w:ascii="Arial" w:hAnsi="Arial"/>
          <w:b/>
          <w:sz w:val="20"/>
          <w:u w:val="single"/>
        </w:rPr>
        <w:t>Market Disruption</w:t>
      </w:r>
      <w:r>
        <w:rPr>
          <w:rFonts w:cs="Arial" w:ascii="Arial" w:hAnsi="Arial"/>
          <w:sz w:val="20"/>
        </w:rPr>
        <w:t xml:space="preserve">. If a Market Disruption Event has occurred and is continuing on any Trading Day, the Floating Price for such Trading Day shall be determined pursuant to the Floating Price source specified in each Transaction (the “Floating Price Source”) for the first Trading Day thereafter on which no Market Disruption Event exists;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if the Floating Price is not so determined within three Business Days after the first Trading Day on which the Market Disruption Event occurred or existed, then the Floating Price shall be determined by reference to the Alternative Floating Price Source specified in each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w:t>
      </w:r>
    </w:p>
    <w:p>
      <w:pPr>
        <w:pStyle w:val="Normal"/>
        <w:jc w:val="both"/>
        <w:rPr/>
      </w:pPr>
      <w:r>
        <w:rPr>
          <w:rFonts w:cs="Arial" w:ascii="Arial" w:hAnsi="Arial"/>
          <w:sz w:val="20"/>
        </w:rPr>
        <w:t xml:space="preserve">8. </w:t>
      </w:r>
      <w:r>
        <w:rPr>
          <w:rFonts w:cs="Arial" w:ascii="Arial" w:hAnsi="Arial"/>
          <w:b/>
          <w:bCs/>
          <w:sz w:val="20"/>
          <w:u w:val="single"/>
        </w:rPr>
        <w:t>Corrections to Published Prices; Corrections to NRC Report</w:t>
      </w:r>
      <w:r>
        <w:rPr>
          <w:rFonts w:cs="Arial" w:ascii="Arial" w:hAnsi="Arial"/>
          <w:sz w:val="20"/>
        </w:rPr>
        <w:t>.  For purposes of determining the Floating Price for any Peak hour, if the price published or announced for a given hour and used or to be used by ENA to determine the Floating Price is subsequently corrected and the correction is published or announced by the person responsible for that publication or announcement within six (6) months of the original publication or announcement, either party may notify the other party of (i) that correction and (ii) the amount (if any) that is payable as a result of the correction.  If, not later than six (6) months after publication or announcement of that correction,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on that amount at the Interest Rate for the period from and including the day on which a payment originally was (or was not) made to but excluding the day of payment of refund or payment resulting from that correction.</w:t>
      </w:r>
    </w:p>
    <w:p>
      <w:pPr>
        <w:pStyle w:val="BodyTextIndent"/>
        <w:ind w:start="0" w:end="0"/>
        <w:rPr>
          <w:rFonts w:ascii="Arial" w:hAnsi="Arial" w:cs="Arial"/>
          <w:sz w:val="20"/>
        </w:rPr>
      </w:pPr>
      <w:r>
        <w:rPr>
          <w:rFonts w:cs="Arial" w:ascii="Arial" w:hAnsi="Arial"/>
          <w:sz w:val="20"/>
        </w:rPr>
        <w:t>For purposes of confirming the existence of a Covered Outage, if the Percent Power (% PWR) reported in the Plant Status Report of the U.S. Nuclear Regulatory Commission (the “NRC”) is subsequently corrected and the correction is published or announced by the NRC within 15 days of the original publication, either party may notify the other of the correction.  If such notice is provided within the 15 days of the original publication, the outage will be reclassified as a Covered Outage or as an outage that is not covered, as applicable, and the obligations under the Transaction will be modified according to such reclassification.  In the event of a correction that results in Seller being required to pay a Cash Settlement Amount hereunder, the Payment Date shall be extended until 15 Business Days following the date on which Seller was notified by Buyer, or notified Buyer, as the case may be, of the correction.</w:t>
      </w:r>
    </w:p>
    <w:p>
      <w:pPr>
        <w:pStyle w:val="Normal"/>
        <w:jc w:val="both"/>
        <w:rPr/>
      </w:pPr>
      <w:r>
        <w:rPr>
          <w:rFonts w:cs="Arial" w:ascii="Arial" w:hAnsi="Arial"/>
          <w:sz w:val="20"/>
        </w:rPr>
        <w:t xml:space="preserve">9. </w:t>
      </w:r>
      <w:r>
        <w:rPr>
          <w:rFonts w:cs="Arial" w:ascii="Arial" w:hAnsi="Arial"/>
          <w:b/>
          <w:sz w:val="20"/>
          <w:u w:val="single"/>
        </w:rPr>
        <w:t>General Definitions</w:t>
      </w:r>
      <w:r>
        <w:rPr>
          <w:rFonts w:cs="Arial" w:ascii="Arial" w:hAnsi="Arial"/>
          <w:sz w:val="20"/>
        </w:rPr>
        <w:t>. Terms used, but not defined in this GTC, are used with the meanings provided under the “View Description” button for the Transaction on the Website. As used in this GTC:</w:t>
      </w:r>
    </w:p>
    <w:p>
      <w:pPr>
        <w:pStyle w:val="Normal"/>
        <w:jc w:val="both"/>
        <w:rPr/>
      </w:pPr>
      <w:r>
        <w:rPr>
          <w:rFonts w:cs="Arial" w:ascii="Arial" w:hAnsi="Arial"/>
          <w:i/>
          <w:sz w:val="20"/>
        </w:rPr>
        <w:t>"</w:t>
      </w:r>
      <w:r>
        <w:rPr>
          <w:rFonts w:cs="Arial" w:ascii="Arial" w:hAnsi="Arial"/>
          <w:i/>
          <w:sz w:val="20"/>
          <w:u w:val="single"/>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u w:val="single"/>
        </w:rPr>
        <w:t>Business Day</w:t>
      </w:r>
      <w:r>
        <w:rPr>
          <w:rFonts w:cs="Arial" w:ascii="Arial" w:hAnsi="Arial"/>
          <w:sz w:val="20"/>
        </w:rPr>
        <w:t>" means a day on which commercial banks are open for business in New York, New York or Houston, Texas.</w:t>
      </w:r>
    </w:p>
    <w:p>
      <w:pPr>
        <w:pStyle w:val="Normal"/>
        <w:jc w:val="both"/>
        <w:rPr/>
      </w:pPr>
      <w:r>
        <w:rPr>
          <w:rFonts w:cs="Arial" w:ascii="Arial" w:hAnsi="Arial"/>
          <w:sz w:val="20"/>
        </w:rPr>
        <w:t>“</w:t>
      </w:r>
      <w:r>
        <w:rPr>
          <w:rFonts w:cs="Arial" w:ascii="Arial" w:hAnsi="Arial"/>
          <w:i/>
          <w:iCs/>
          <w:sz w:val="20"/>
          <w:u w:val="single"/>
        </w:rPr>
        <w:t>Covered Outage</w:t>
      </w:r>
      <w:r>
        <w:rPr>
          <w:rFonts w:cs="Arial" w:ascii="Arial" w:hAnsi="Arial"/>
          <w:sz w:val="20"/>
        </w:rPr>
        <w:t xml:space="preserve">” means with respect to a particular unit when the Percent Power (% PWR) reported in the Plant Status Report (or any successor report thereto) of the U.S. Nuclear Regulatory Commission (the “NRC”) as currently located at </w:t>
      </w:r>
      <w:hyperlink r:id="rId2">
        <w:r>
          <w:rPr>
            <w:rStyle w:val="Hyperlink"/>
            <w:rFonts w:cs="Arial" w:ascii="Arial" w:hAnsi="Arial"/>
            <w:sz w:val="20"/>
          </w:rPr>
          <w:t>www.NRC.gov</w:t>
        </w:r>
      </w:hyperlink>
      <w:r>
        <w:rPr>
          <w:rFonts w:cs="Arial" w:ascii="Arial" w:hAnsi="Arial"/>
          <w:sz w:val="20"/>
        </w:rPr>
        <w:t xml:space="preserve">, or any successor thereto, under the heading “Nuclear Reactors” for that unit for a particular day is 25% or below.  If the Percent Power for a particular unit is 25% or below for 160 consecutive hours immediately preceding the beginning of what would otherwise qualify as a Knock-In Event, the outage of such unit that would otherwise meet the definition of a Covered Outage will not be considered to be a Covered Outage.  </w:t>
      </w:r>
    </w:p>
    <w:p>
      <w:pPr>
        <w:pStyle w:val="Normal"/>
        <w:jc w:val="both"/>
        <w:rPr/>
      </w:pPr>
      <w:r>
        <w:rPr>
          <w:rFonts w:cs="Arial" w:ascii="Arial" w:hAnsi="Arial"/>
          <w:sz w:val="20"/>
        </w:rPr>
        <w:t>"</w:t>
      </w:r>
      <w:r>
        <w:rPr>
          <w:rFonts w:cs="Arial" w:ascii="Arial" w:hAnsi="Arial"/>
          <w:i/>
          <w:sz w:val="20"/>
          <w:u w:val="single"/>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w:t>
      </w:r>
      <w:r>
        <w:rPr>
          <w:rFonts w:cs="Arial" w:ascii="Arial" w:hAnsi="Arial"/>
          <w:i/>
          <w:sz w:val="20"/>
          <w:u w:val="single"/>
        </w:rPr>
        <w:t>Determination Period</w:t>
      </w:r>
      <w:r>
        <w:rPr>
          <w:rFonts w:cs="Arial" w:ascii="Arial" w:hAnsi="Arial"/>
          <w:sz w:val="20"/>
        </w:rPr>
        <w:t xml:space="preserve">" means each period from and including 12:01 A.M. Eastern Prevailing Time on the Effective Date specified in the Transaction to and including 11:59 P.M. Eastern Prevailing Time on the Termination Date specified in the Transaction. </w:t>
      </w:r>
    </w:p>
    <w:p>
      <w:pPr>
        <w:pStyle w:val="Normal"/>
        <w:jc w:val="both"/>
        <w:rPr/>
      </w:pPr>
      <w:r>
        <w:rPr>
          <w:rFonts w:cs="Arial" w:ascii="Arial" w:hAnsi="Arial"/>
          <w:sz w:val="20"/>
        </w:rPr>
        <w:t>“</w:t>
      </w:r>
      <w:r>
        <w:rPr>
          <w:rFonts w:cs="Arial" w:ascii="Arial" w:hAnsi="Arial"/>
          <w:i/>
          <w:iCs/>
          <w:sz w:val="20"/>
          <w:u w:val="single"/>
        </w:rPr>
        <w:t>Force Majeure</w:t>
      </w:r>
      <w:r>
        <w:rPr>
          <w:rFonts w:cs="Arial" w:ascii="Arial" w:hAnsi="Arial"/>
          <w:sz w:val="20"/>
        </w:rPr>
        <w:t>” shall mean any one of the following events, as determined by ENA in its sole discretion:  any flood, earth movement, tornado, named storm, fire originating outside of a nuclear generating facility, solar flare, magnetic disturbance, riot, civil disturbance, sabotage, terrorism, act of the public enemy, strike or labor disputes, any official governmental, court, regulatory or control area order, proceeding or action, or the willful act of the Counterparty.</w:t>
      </w:r>
    </w:p>
    <w:p>
      <w:pPr>
        <w:pStyle w:val="Normal"/>
        <w:jc w:val="both"/>
        <w:rPr/>
      </w:pPr>
      <w:r>
        <w:rPr>
          <w:rFonts w:cs="Arial" w:ascii="Arial" w:hAnsi="Arial"/>
          <w:sz w:val="20"/>
        </w:rPr>
        <w:t>"</w:t>
      </w:r>
      <w:r>
        <w:rPr>
          <w:rFonts w:cs="Arial" w:ascii="Arial" w:hAnsi="Arial"/>
          <w:i/>
          <w:sz w:val="20"/>
          <w:u w:val="single"/>
        </w:rPr>
        <w:t>Indemnifiable Tax</w:t>
      </w:r>
      <w:r>
        <w:rPr>
          <w:rFonts w:cs="Arial" w:ascii="Arial" w:hAnsi="Arial"/>
          <w:sz w:val="20"/>
        </w:rPr>
        <w:t>" means any Tax other than a Tax that would not be imposed in respect of a payment under each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each Transaction).</w:t>
      </w:r>
    </w:p>
    <w:p>
      <w:pPr>
        <w:pStyle w:val="Normal"/>
        <w:jc w:val="both"/>
        <w:rPr/>
      </w:pPr>
      <w:r>
        <w:rPr>
          <w:rFonts w:cs="Arial" w:ascii="Arial" w:hAnsi="Arial"/>
          <w:sz w:val="20"/>
        </w:rPr>
        <w:t>"</w:t>
      </w:r>
      <w:r>
        <w:rPr>
          <w:rFonts w:cs="Arial" w:ascii="Arial" w:hAnsi="Arial"/>
          <w:i/>
          <w:sz w:val="20"/>
          <w:u w:val="single"/>
        </w:rPr>
        <w:t>Interest Rate</w:t>
      </w:r>
      <w:r>
        <w:rPr>
          <w:rFonts w:cs="Arial" w:ascii="Arial" w:hAnsi="Arial"/>
          <w:sz w:val="20"/>
        </w:rPr>
        <w:t xml:space="preserve">" means (a) with respect to a non-defaulting party,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u w:val="single"/>
        </w:rPr>
        <w:t>Market Disruption Event</w:t>
      </w:r>
      <w:r>
        <w:rPr>
          <w:rFonts w:cs="Arial" w:ascii="Arial" w:hAnsi="Arial"/>
          <w:sz w:val="20"/>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PJM) acting as the Floating Price Source (the "Exchange"); (c) the temporary or permanent discontinuance or unavailability of any relevant Floating Price Source; (d) the temporary or permanent closing of any Exchange acting as the Floating Price Source; or (e) a material change in the formula for or the method of determining the Floating Price.</w:t>
      </w:r>
    </w:p>
    <w:p>
      <w:pPr>
        <w:pStyle w:val="Normal"/>
        <w:jc w:val="both"/>
        <w:rPr/>
      </w:pPr>
      <w:r>
        <w:rPr>
          <w:rFonts w:cs="Arial" w:ascii="Arial" w:hAnsi="Arial"/>
          <w:sz w:val="20"/>
        </w:rPr>
        <w:t>"</w:t>
      </w:r>
      <w:r>
        <w:rPr>
          <w:rFonts w:cs="Arial" w:ascii="Arial" w:hAnsi="Arial"/>
          <w:i/>
          <w:sz w:val="20"/>
          <w:u w:val="single"/>
        </w:rPr>
        <w:t>Option</w:t>
      </w:r>
      <w:r>
        <w:rPr>
          <w:rFonts w:cs="Arial" w:ascii="Arial" w:hAnsi="Arial"/>
          <w:sz w:val="20"/>
        </w:rPr>
        <w:t>" means a Transaction that is identified in the relevant Transaction as an Option.</w:t>
      </w:r>
    </w:p>
    <w:p>
      <w:pPr>
        <w:pStyle w:val="Normal"/>
        <w:jc w:val="both"/>
        <w:rPr/>
      </w:pPr>
      <w:r>
        <w:rPr>
          <w:rFonts w:cs="Arial" w:ascii="Arial" w:hAnsi="Arial"/>
          <w:sz w:val="20"/>
        </w:rPr>
        <w:t>"</w:t>
      </w:r>
      <w:r>
        <w:rPr>
          <w:rFonts w:cs="Arial" w:ascii="Arial" w:hAnsi="Arial"/>
          <w:i/>
          <w:sz w:val="20"/>
          <w:u w:val="single"/>
        </w:rPr>
        <w:t>Tax</w:t>
      </w:r>
      <w:r>
        <w:rPr>
          <w:rFonts w:cs="Arial" w:ascii="Arial" w:hAnsi="Arial"/>
          <w:sz w:val="20"/>
        </w:rPr>
        <w:t>" means any present or future tax, levy, impost, duty, charge, assessment or fee of any nature (including interest, penalties and additions thereto) that is imposed by any government or other taxing authority in respect of any payment under each Transaction other than a stamp, registration, documentation or similar tax.</w:t>
      </w:r>
    </w:p>
    <w:p>
      <w:pPr>
        <w:pStyle w:val="Normal"/>
        <w:jc w:val="both"/>
        <w:rPr/>
      </w:pPr>
      <w:r>
        <w:rPr>
          <w:rFonts w:cs="Arial" w:ascii="Arial" w:hAnsi="Arial"/>
          <w:sz w:val="20"/>
        </w:rPr>
        <w:t>"</w:t>
      </w:r>
      <w:r>
        <w:rPr>
          <w:rFonts w:cs="Arial" w:ascii="Arial" w:hAnsi="Arial"/>
          <w:i/>
          <w:iCs/>
          <w:sz w:val="20"/>
          <w:u w:val="single"/>
        </w:rPr>
        <w:t xml:space="preserve">Total </w:t>
      </w:r>
      <w:r>
        <w:rPr>
          <w:rFonts w:cs="Arial" w:ascii="Arial" w:hAnsi="Arial"/>
          <w:i/>
          <w:sz w:val="20"/>
          <w:u w:val="single"/>
        </w:rPr>
        <w:t>Cash Settlement Amount</w:t>
      </w:r>
      <w:r>
        <w:rPr>
          <w:rFonts w:cs="Arial" w:ascii="Arial" w:hAnsi="Arial"/>
          <w:sz w:val="20"/>
        </w:rPr>
        <w:t>" means an amount (if any) that is payable by ENA on the applicable Payment Date(s) and is determined as provided in the Transaction.</w:t>
      </w:r>
    </w:p>
    <w:p>
      <w:pPr>
        <w:pStyle w:val="Normal"/>
        <w:jc w:val="both"/>
        <w:rPr/>
      </w:pPr>
      <w:r>
        <w:rPr>
          <w:rFonts w:cs="Arial" w:ascii="Arial" w:hAnsi="Arial"/>
          <w:sz w:val="20"/>
        </w:rPr>
        <w:t>"</w:t>
      </w:r>
      <w:r>
        <w:rPr>
          <w:rFonts w:cs="Arial" w:ascii="Arial" w:hAnsi="Arial"/>
          <w:i/>
          <w:sz w:val="20"/>
          <w:u w:val="single"/>
        </w:rPr>
        <w:t>Trading Day</w:t>
      </w:r>
      <w:r>
        <w:rPr>
          <w:rFonts w:cs="Arial" w:ascii="Arial" w:hAnsi="Arial"/>
          <w:i/>
          <w:sz w:val="20"/>
        </w:rPr>
        <w:t>"</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w:t>
      </w:r>
      <w:r>
        <w:rPr>
          <w:rFonts w:cs="Arial" w:ascii="Arial" w:hAnsi="Arial"/>
          <w:i/>
          <w:sz w:val="20"/>
          <w:u w:val="single"/>
        </w:rPr>
        <w:t>Transaction</w:t>
      </w:r>
      <w:r>
        <w:rPr>
          <w:rFonts w:cs="Arial" w:ascii="Arial" w:hAnsi="Arial"/>
          <w:i/>
          <w:sz w:val="20"/>
        </w:rPr>
        <w:t>"</w:t>
      </w:r>
      <w:r>
        <w:rPr>
          <w:rFonts w:cs="Arial" w:ascii="Arial" w:hAnsi="Arial"/>
          <w:sz w:val="20"/>
        </w:rPr>
        <w:t xml:space="preserve"> means this GTC taken together with the terms of a transaction as set forth on the Website submitted by Counterparty and accepted by ENA.</w:t>
      </w:r>
    </w:p>
    <w:p>
      <w:pPr>
        <w:pStyle w:val="Normal"/>
        <w:jc w:val="both"/>
        <w:rPr/>
      </w:pPr>
      <w:r>
        <w:rPr>
          <w:rFonts w:cs="Arial" w:ascii="Arial" w:hAnsi="Arial"/>
          <w:sz w:val="20"/>
        </w:rPr>
        <w:t>"</w:t>
      </w:r>
      <w:r>
        <w:rPr>
          <w:rFonts w:cs="Arial" w:ascii="Arial" w:hAnsi="Arial"/>
          <w:i/>
          <w:sz w:val="20"/>
          <w:u w:val="single"/>
        </w:rPr>
        <w:t>Website</w:t>
      </w:r>
      <w:r>
        <w:rPr>
          <w:rFonts w:cs="Arial" w:ascii="Arial" w:hAnsi="Arial"/>
          <w:sz w:val="20"/>
        </w:rPr>
        <w:t xml:space="preserve">" means the website referencing this GTC currently located at </w:t>
      </w:r>
      <w:hyperlink r:id="rId3">
        <w:r>
          <w:rPr>
            <w:rStyle w:val="Hyperlink"/>
            <w:rFonts w:cs="Arial" w:ascii="Arial" w:hAnsi="Arial"/>
            <w:sz w:val="20"/>
          </w:rPr>
          <w:t>http://www.enrononline.com</w:t>
        </w:r>
      </w:hyperlink>
      <w:r>
        <w:rPr>
          <w:rFonts w:cs="Arial" w:ascii="Arial" w:hAnsi="Arial"/>
          <w:sz w:val="20"/>
        </w:rPr>
        <w:t>, or any successor thereto.</w:t>
      </w:r>
    </w:p>
    <w:p>
      <w:pPr>
        <w:pStyle w:val="Normal"/>
        <w:spacing w:before="100" w:after="100"/>
        <w:jc w:val="both"/>
        <w:rPr>
          <w:rFonts w:ascii="Arial" w:hAnsi="Arial" w:cs="Arial"/>
          <w:b/>
          <w:bCs/>
          <w:sz w:val="20"/>
        </w:rPr>
      </w:pPr>
      <w:r>
        <w:rPr>
          <w:rFonts w:cs="Arial" w:ascii="Arial" w:hAnsi="Arial"/>
          <w:b/>
          <w:bCs/>
          <w:sz w:val="20"/>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1z0">
    <w:name w:val="WW8Num1z0"/>
    <w:qFormat/>
    <w:rPr>
      <w:rFonts w:cs="Times New Roman"/>
    </w:rPr>
  </w:style>
  <w:style w:type="character" w:styleId="WW8Num2z0">
    <w:name w:val="WW8Num2z0"/>
    <w:qFormat/>
    <w:rPr>
      <w:rFonts w:cs="Times New Roman"/>
      <w:b/>
      <w:u w:val="single"/>
    </w:rPr>
  </w:style>
  <w:style w:type="character" w:styleId="WW8Num3z0">
    <w:name w:val="WW8Num3z0"/>
    <w:qFormat/>
    <w:rPr>
      <w:rFonts w:cs="Times New Roman"/>
      <w:b/>
      <w:u w:val="single"/>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BodyTextIndent">
    <w:name w:val="Body Text Indent"/>
    <w:basedOn w:val="Normal"/>
    <w:pPr>
      <w:widowControl/>
      <w:spacing w:before="0" w:after="0"/>
      <w:ind w:hanging="0" w:start="720" w:end="0"/>
      <w:jc w:val="both"/>
    </w:pPr>
    <w:rPr>
      <w:szCs w:val="24"/>
      <w:lang w:val="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RC.gov/" TargetMode="External"/><Relationship Id="rId3" Type="http://schemas.openxmlformats.org/officeDocument/2006/relationships/hyperlink" Target="http://www.enrononline.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2000-07-20T12:00:00Z</dcterms:created>
  <dc:creator>NEdmonds</dc:creator>
  <dc:description/>
  <dc:language>en-CA</dc:language>
  <cp:lastModifiedBy>leslie hansen</cp:lastModifiedBy>
  <cp:lastPrinted>2000-06-06T10:00:00Z</cp:lastPrinted>
  <dcterms:modified xsi:type="dcterms:W3CDTF">2000-07-20T12:05:00Z</dcterms:modified>
  <cp:revision>3</cp:revision>
  <dc:subject/>
  <dc:title>ENA Financial GTC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