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720" w:end="0"/>
        <w:rPr>
          <w:b/>
          <w:bCs/>
          <w:sz w:val="28"/>
        </w:rPr>
      </w:pPr>
      <w:r>
        <w:rPr>
          <w:b/>
          <w:bCs/>
          <w:sz w:val="28"/>
        </w:rPr>
        <w:t>Fast and accurate calculation of Value-at-Risk and other</w:t>
        <w:br/>
        <w:t xml:space="preserve"> risk measures for a portfolio of derivative securities </w:t>
        <w:br/>
        <w:t>using First- and Second-Order Reliability Methods</w:t>
      </w:r>
    </w:p>
    <w:p>
      <w:pPr>
        <w:pStyle w:val="Normal"/>
        <w:rPr/>
      </w:pPr>
      <w:r>
        <w:rPr/>
        <w:t xml:space="preserve">   </w:t>
      </w:r>
    </w:p>
    <w:p>
      <w:pPr>
        <w:pStyle w:val="Heading3"/>
        <w:rPr/>
      </w:pPr>
      <w:r>
        <w:rPr/>
        <w:t>Rabi De and Tanya Tamarchenko</w:t>
      </w:r>
    </w:p>
    <w:p>
      <w:pPr>
        <w:pStyle w:val="Heading2"/>
        <w:rPr/>
      </w:pPr>
      <w:r>
        <w:rPr/>
        <w:t>Enron Corp, Research Department</w:t>
      </w:r>
    </w:p>
    <w:p>
      <w:pPr>
        <w:pStyle w:val="Normal"/>
        <w:ind w:start="720" w:end="0"/>
        <w:rPr/>
      </w:pPr>
      <w:r>
        <w:rPr/>
      </w:r>
    </w:p>
    <w:p>
      <w:pPr>
        <w:pStyle w:val="Heading1"/>
        <w:rPr/>
      </w:pPr>
      <w:r>
        <w:rPr/>
        <w:t xml:space="preserve">Abstract </w:t>
      </w:r>
    </w:p>
    <w:p>
      <w:pPr>
        <w:pStyle w:val="Normal"/>
        <w:jc w:val="both"/>
        <w:rPr>
          <w:sz w:val="22"/>
        </w:rPr>
      </w:pPr>
      <w:r>
        <w:rPr>
          <w:sz w:val="22"/>
        </w:rPr>
        <w:t xml:space="preserve">We calculate Value-at-Risk (VAR) and other tail-risk measures for a portfolio of derivative securities using first- and second-order reliability method (FORM/SORM), a widely used technique to estimate failure probability in structural engineering.  The probability of loss due to market price fluctuations is analogous to the probability of failure in structural engineering. </w:t>
      </w:r>
    </w:p>
    <w:p>
      <w:pPr>
        <w:pStyle w:val="Normal"/>
        <w:jc w:val="both"/>
        <w:rPr>
          <w:sz w:val="22"/>
        </w:rPr>
      </w:pPr>
      <w:r>
        <w:rPr>
          <w:sz w:val="22"/>
        </w:rPr>
      </w:r>
    </w:p>
    <w:p>
      <w:pPr>
        <w:pStyle w:val="Normal"/>
        <w:jc w:val="both"/>
        <w:rPr/>
      </w:pPr>
      <w:r>
        <w:rPr>
          <w:sz w:val="22"/>
        </w:rPr>
        <w:t xml:space="preserve">The underlying probability framework is capable of treating correlated non-Gaussian distribution of risk factors (price, return, etc.) as well as any “reasonably regular” non-linear portfolio payoff function.  Unlike Monte Carlo simulation, the computational burden in FORM/SORM </w:t>
      </w:r>
      <w:r>
        <w:rPr>
          <w:rFonts w:cs="Times;Times New Roman" w:ascii="Times;Times New Roman" w:hAnsi="Times;Times New Roman"/>
          <w:sz w:val="22"/>
        </w:rPr>
        <w:t xml:space="preserve">does not increase for low probability events. Unlike numerical integration techniques, the computational burden in FORM/SORM is relatively insensitive to the increase in the number of risk factors considered.  </w:t>
      </w:r>
    </w:p>
    <w:p>
      <w:pPr>
        <w:pStyle w:val="Normal"/>
        <w:jc w:val="both"/>
        <w:rPr>
          <w:rFonts w:ascii="Times;Times New Roman" w:hAnsi="Times;Times New Roman" w:cs="Times;Times New Roman"/>
          <w:sz w:val="22"/>
        </w:rPr>
      </w:pPr>
      <w:r>
        <w:rPr>
          <w:rFonts w:cs="Times;Times New Roman" w:ascii="Times;Times New Roman" w:hAnsi="Times;Times New Roman"/>
          <w:sz w:val="22"/>
        </w:rPr>
      </w:r>
    </w:p>
    <w:p>
      <w:pPr>
        <w:pStyle w:val="Normal"/>
        <w:jc w:val="both"/>
        <w:rPr/>
      </w:pPr>
      <w:r>
        <w:rPr>
          <w:rFonts w:cs="Times;Times New Roman" w:ascii="Times;Times New Roman" w:hAnsi="Times;Times New Roman"/>
          <w:sz w:val="22"/>
        </w:rPr>
        <w:t>We use the FORM/SORM technology</w:t>
      </w:r>
      <w:r>
        <w:rPr>
          <w:sz w:val="22"/>
        </w:rPr>
        <w:t xml:space="preserve"> to calculate the lower tail of the daily profit-and-loss distribution of a portfolio of stocks and options and label the estimated VAR as “Reliability VAR”.  The numerical examples demonstrate the advantages of using Reliability VAR with respect to speed and accuracy over standard methods used in the financial community.   For VAR calculation in the presence of “fat-tailed” risk factors, we discuss the use of a probability preserving transformation for mapping the probability estimation problem to a standard Gaussian space.</w:t>
      </w:r>
    </w:p>
    <w:p>
      <w:pPr>
        <w:pStyle w:val="Normal"/>
        <w:rPr>
          <w:sz w:val="22"/>
        </w:rPr>
      </w:pPr>
      <w:r>
        <w:rPr>
          <w:sz w:val="22"/>
        </w:rPr>
      </w:r>
    </w:p>
    <w:p>
      <w:pPr>
        <w:pStyle w:val="Normal"/>
        <w:ind w:end="-360"/>
        <w:rPr/>
      </w:pPr>
      <w:r>
        <w:rPr>
          <w:i/>
          <w:iCs/>
        </w:rPr>
        <w:t>Keywords</w:t>
      </w:r>
      <w:r>
        <w:rPr/>
        <w:t xml:space="preserve">: Value-at-Risk, VAR, Expected Tail Loss, Structural Reliability, FORM/SORM, Monte-Carlo Simulation. </w:t>
      </w:r>
    </w:p>
    <w:p>
      <w:pPr>
        <w:pStyle w:val="Normal"/>
        <w:ind w:end="-360"/>
        <w:rPr/>
      </w:pPr>
      <w:r>
        <w:rPr/>
      </w:r>
    </w:p>
    <w:p>
      <w:pPr>
        <w:pStyle w:val="Heading1"/>
        <w:rPr/>
      </w:pPr>
      <w:r>
        <w:rPr/>
        <w:t>Introduction</w:t>
      </w:r>
    </w:p>
    <w:p>
      <w:pPr>
        <w:pStyle w:val="BodyText3"/>
        <w:rPr/>
      </w:pPr>
      <w:r>
        <w:rPr/>
        <w:t xml:space="preserve">Increased volatility in financial markets has spurred development of probabilistic measures of portfolio risk arising out of adverse price movements.  Value-at-Risk (VAR), by-far the most popular among such measures, answers the question: “How much money might we loose over a given time horizon with a given small probability assuming that the portfolio does not change.”  Calculation of VAR and related risk measures, such as the Expected Tail Loss, require accurate estimation of the lower tail of the return distribution.  Practical implementation of such tail-risk measures for a trading portfolio calls for heroic assumptions about the form of the underlying price processes and the payoff equations of the underlying instruments.  One standard approach is to simulate prices of the underlying instruments over a specified time horizon, calculate the portfolio value for each set of simulated prices, and obtain a distribution of changes in portfolio value.  Typically a large number of simulations is required to reliably estimate tail probabilities.  As a result, simulating additional risk measures such as the Expected Tail Loss may become impractical, especially if the portfolio payoff is a function of a large number of risk factors, is expensive to evaluate, and /or the return distribution is fat-tailed (leptokurtic).  </w:t>
      </w:r>
    </w:p>
    <w:p>
      <w:pPr>
        <w:pStyle w:val="BodyText3"/>
        <w:rPr/>
      </w:pPr>
      <w:r>
        <w:rPr/>
      </w:r>
    </w:p>
    <w:p>
      <w:pPr>
        <w:pStyle w:val="BodyText3"/>
        <w:rPr/>
      </w:pPr>
      <w:r>
        <w:rPr/>
        <w:t>The Analytical VAR approach suggested by Duffie and Pan, 1999, overcomes this difficulty by using a fast convolution technique but the framework requires that the portfolio be represented by its delta-gamma sensitivities to underlying risk factors that are normally distributed.   In contrast, the approach we use in this work is not constrained by a delta-gamma representation of derivative positions. For many portfolios delta-gamma representations are inadequate for capturing tail risk.  In this paper, we show that the reliability-based approach works very well even in extreme cases, where the portfolio consists of hedged instruments making delta-gamma representation insufficient for capturing tail risk.</w:t>
      </w:r>
    </w:p>
    <w:p>
      <w:pPr>
        <w:pStyle w:val="BodyText2"/>
        <w:tabs>
          <w:tab w:val="clear" w:pos="720"/>
          <w:tab w:val="left" w:pos="7380" w:leader="none"/>
        </w:tabs>
        <w:rPr/>
      </w:pPr>
      <w:r>
        <w:rPr/>
      </w:r>
    </w:p>
    <w:p>
      <w:pPr>
        <w:pStyle w:val="Heading1"/>
        <w:rPr/>
      </w:pPr>
      <w:r>
        <w:rPr/>
        <w:t>Basic idea</w:t>
      </w:r>
    </w:p>
    <w:p>
      <w:pPr>
        <w:pStyle w:val="BodyText2"/>
        <w:jc w:val="both"/>
        <w:rPr/>
      </w:pPr>
      <w:r>
        <w:rPr/>
        <w:t>In structural reliability applications, a failure surface, defined by a limit-state equation (capacity – demand = 0), is used to divide the sample space of governing random variables (load and capacity variables) into safe and failure domain.   The general equation for failure probability is a multidimensional integral of the form:</w:t>
      </w:r>
    </w:p>
    <w:p>
      <w:pPr>
        <w:pStyle w:val="BodyText2"/>
        <w:tabs>
          <w:tab w:val="clear" w:pos="720"/>
          <w:tab w:val="right" w:pos="6300" w:leader="none"/>
        </w:tabs>
        <w:jc w:val="both"/>
        <w:rPr/>
      </w:pPr>
      <w:r>
        <w:rPr/>
      </w:r>
      <m:oMath xmlns:m="http://schemas.openxmlformats.org/officeDocument/2006/math">
        <m:sSub>
          <m:e>
            <m:r>
              <m:t xml:space="preserve">P</m:t>
            </m:r>
          </m:e>
          <m:sub>
            <m:r>
              <m:t xml:space="preserve">f</m:t>
            </m:r>
          </m:sub>
        </m:sSub>
        <m:r>
          <m:t xml:space="preserve">=</m:t>
        </m:r>
        <m:nary>
          <m:naryPr>
            <m:chr m:val="∫"/>
            <m:supHide m:val="1"/>
          </m:naryPr>
          <m:sub>
            <m:r>
              <m:t xml:space="preserve">g</m:t>
            </m:r>
            <m:r>
              <m:t xml:space="preserve">(</m:t>
            </m:r>
            <m:r>
              <m:t xml:space="preserve">x</m:t>
            </m:r>
            <m:r>
              <m:t xml:space="preserve">)</m:t>
            </m:r>
            <m:r>
              <m:t xml:space="preserve">≤</m:t>
            </m:r>
            <m:r>
              <m:t xml:space="preserve">0</m:t>
            </m:r>
          </m:sub>
          <m:sup/>
          <m:e>
            <m:sSub>
              <m:e>
                <m:r>
                  <m:t xml:space="preserve">f</m:t>
                </m:r>
              </m:e>
              <m:sub>
                <m:r>
                  <m:t xml:space="preserve">X</m:t>
                </m:r>
              </m:sub>
            </m:sSub>
            <m:r>
              <m:t xml:space="preserve">(</m:t>
            </m:r>
            <m:r>
              <m:t xml:space="preserve">x</m:t>
            </m:r>
            <m:r>
              <m:t xml:space="preserve">)</m:t>
            </m:r>
            <m:r>
              <m:t xml:space="preserve">dx</m:t>
            </m:r>
          </m:e>
        </m:nary>
      </m:oMath>
      <w:r>
        <w:rPr/>
        <w:tab/>
        <w:tab/>
        <w:tab/>
        <w:tab/>
        <w:t>(1)</w:t>
      </w:r>
    </w:p>
    <w:p>
      <w:pPr>
        <w:pStyle w:val="BodyText2"/>
        <w:jc w:val="both"/>
        <w:rPr/>
      </w:pPr>
      <w:r>
        <w:rPr/>
        <w:t xml:space="preserve">in which </w:t>
      </w:r>
      <w:r>
        <w:rPr>
          <w:i/>
          <w:iCs/>
        </w:rPr>
        <w:t>f</w:t>
      </w:r>
      <w:r>
        <w:rPr>
          <w:b/>
          <w:bCs/>
          <w:i/>
          <w:iCs/>
          <w:vertAlign w:val="subscript"/>
        </w:rPr>
        <w:t>X</w:t>
      </w:r>
      <w:r>
        <w:rPr>
          <w:i/>
          <w:iCs/>
        </w:rPr>
        <w:t>(</w:t>
      </w:r>
      <w:r>
        <w:rPr>
          <w:b/>
          <w:bCs/>
          <w:i/>
          <w:iCs/>
        </w:rPr>
        <w:t>x</w:t>
      </w:r>
      <w:r>
        <w:rPr>
          <w:i/>
          <w:iCs/>
        </w:rPr>
        <w:t>)</w:t>
      </w:r>
      <w:r>
        <w:rPr/>
        <w:t xml:space="preserve"> is the joint probability density function of the vector of risk factors, </w:t>
      </w:r>
      <w:r>
        <w:rPr>
          <w:b/>
          <w:bCs/>
          <w:i/>
          <w:iCs/>
        </w:rPr>
        <w:t xml:space="preserve">X </w:t>
      </w:r>
      <w:r>
        <w:rPr>
          <w:i/>
          <w:iCs/>
        </w:rPr>
        <w:t>= [X</w:t>
      </w:r>
      <w:r>
        <w:rPr>
          <w:i/>
          <w:iCs/>
          <w:vertAlign w:val="subscript"/>
        </w:rPr>
        <w:t>1</w:t>
      </w:r>
      <w:r>
        <w:rPr>
          <w:i/>
          <w:iCs/>
        </w:rPr>
        <w:t>, X</w:t>
      </w:r>
      <w:r>
        <w:rPr>
          <w:i/>
          <w:iCs/>
          <w:vertAlign w:val="subscript"/>
        </w:rPr>
        <w:t>2</w:t>
      </w:r>
      <w:r>
        <w:rPr>
          <w:i/>
          <w:iCs/>
        </w:rPr>
        <w:t>,.. .., X</w:t>
      </w:r>
      <w:r>
        <w:rPr>
          <w:i/>
          <w:iCs/>
          <w:vertAlign w:val="subscript"/>
        </w:rPr>
        <w:t>n</w:t>
      </w:r>
      <w:r>
        <w:rPr>
          <w:i/>
          <w:iCs/>
        </w:rPr>
        <w:t>]</w:t>
      </w:r>
      <w:r>
        <w:rPr>
          <w:i/>
          <w:iCs/>
          <w:vertAlign w:val="superscript"/>
        </w:rPr>
        <w:t>T</w:t>
      </w:r>
      <w:r>
        <w:rPr/>
        <w:t xml:space="preserve">, and </w:t>
      </w:r>
      <w:r>
        <w:rPr>
          <w:i/>
          <w:iCs/>
        </w:rPr>
        <w:t>g(</w:t>
      </w:r>
      <w:r>
        <w:rPr>
          <w:b/>
          <w:bCs/>
          <w:i/>
          <w:iCs/>
        </w:rPr>
        <w:t>x</w:t>
      </w:r>
      <w:r>
        <w:rPr>
          <w:i/>
          <w:iCs/>
        </w:rPr>
        <w:t>) = 0</w:t>
      </w:r>
      <w:r>
        <w:rPr/>
        <w:t xml:space="preserve"> denotes the limit state (or failure) surface, i.e.,  </w:t>
      </w:r>
      <w:r>
        <w:rPr>
          <w:i/>
          <w:iCs/>
        </w:rPr>
        <w:t>g(</w:t>
      </w:r>
      <w:r>
        <w:rPr>
          <w:b/>
          <w:bCs/>
          <w:i/>
          <w:iCs/>
        </w:rPr>
        <w:t>x</w:t>
      </w:r>
      <w:r>
        <w:rPr>
          <w:i/>
          <w:iCs/>
        </w:rPr>
        <w:t xml:space="preserve">) </w:t>
      </w:r>
      <w:r>
        <w:rPr>
          <w:i/>
          <w:iCs/>
          <w:u w:val="single"/>
        </w:rPr>
        <w:t>&lt;</w:t>
      </w:r>
      <w:r>
        <w:rPr>
          <w:i/>
          <w:iCs/>
        </w:rPr>
        <w:t xml:space="preserve"> 0</w:t>
      </w:r>
      <w:r>
        <w:rPr/>
        <w:t xml:space="preserve"> denotes the failure set. </w:t>
      </w:r>
    </w:p>
    <w:p>
      <w:pPr>
        <w:pStyle w:val="BodyText2"/>
        <w:jc w:val="both"/>
        <w:rPr/>
      </w:pPr>
      <w:r>
        <w:rPr/>
      </w:r>
    </w:p>
    <w:p>
      <w:pPr>
        <w:pStyle w:val="BodyText2"/>
        <w:jc w:val="both"/>
        <w:rPr/>
      </w:pPr>
      <w:r>
        <w:rPr/>
        <w:t xml:space="preserve">The first and second-order reliability method (FORM/SORM) is essentially a fast and efficient probability integration technique to estimate the probability content of the failure set. The probability integration problem in the </w:t>
      </w:r>
      <w:r>
        <w:rPr>
          <w:b/>
          <w:bCs/>
          <w:i/>
          <w:iCs/>
        </w:rPr>
        <w:t>x</w:t>
      </w:r>
      <w:r>
        <w:rPr/>
        <w:t xml:space="preserve">-space given by Equation 1 is first mapped in the multi-dimensional standard Gaussian (uncorrelated) space, </w:t>
      </w:r>
      <w:r>
        <w:rPr>
          <w:b/>
          <w:bCs/>
          <w:i/>
          <w:iCs/>
        </w:rPr>
        <w:t>u</w:t>
      </w:r>
      <w:r>
        <w:rPr/>
        <w:t xml:space="preserve">-space, using a suitable “probability-preserving” transformation, </w:t>
      </w:r>
      <w:r>
        <w:rPr>
          <w:b/>
          <w:bCs/>
          <w:i/>
          <w:iCs/>
        </w:rPr>
        <w:t>x</w:t>
      </w:r>
      <w:r>
        <w:rPr>
          <w:i/>
          <w:iCs/>
        </w:rPr>
        <w:t xml:space="preserve"> = T(</w:t>
      </w:r>
      <w:r>
        <w:rPr>
          <w:b/>
          <w:bCs/>
          <w:i/>
          <w:iCs/>
        </w:rPr>
        <w:t>u</w:t>
      </w:r>
      <w:r>
        <w:rPr>
          <w:i/>
          <w:iCs/>
        </w:rPr>
        <w:t>)</w:t>
      </w:r>
      <w:r>
        <w:rPr/>
        <w:t xml:space="preserve">.  </w:t>
      </w:r>
    </w:p>
    <w:p>
      <w:pPr>
        <w:pStyle w:val="BodyText2"/>
        <w:jc w:val="both"/>
        <w:rPr/>
      </w:pPr>
      <w:r>
        <w:rPr/>
      </w:r>
    </w:p>
    <w:p>
      <w:pPr>
        <w:pStyle w:val="BodyText2"/>
        <w:tabs>
          <w:tab w:val="clear" w:pos="720"/>
          <w:tab w:val="right" w:pos="6300" w:leader="none"/>
        </w:tabs>
        <w:jc w:val="both"/>
        <w:rPr/>
      </w:pPr>
      <w:r>
        <w:rPr/>
      </w:r>
      <m:oMath xmlns:m="http://schemas.openxmlformats.org/officeDocument/2006/math">
        <m:sSub>
          <m:e>
            <m:r>
              <m:t xml:space="preserve">P</m:t>
            </m:r>
          </m:e>
          <m:sub>
            <m:r>
              <m:t xml:space="preserve">f</m:t>
            </m:r>
          </m:sub>
        </m:sSub>
        <m:r>
          <m:t xml:space="preserve">=</m:t>
        </m:r>
        <m:nary>
          <m:naryPr>
            <m:chr m:val="∫"/>
            <m:supHide m:val="1"/>
          </m:naryPr>
          <m:sub>
            <m:r>
              <m:t xml:space="preserve">g</m:t>
            </m:r>
            <m:r>
              <m:t xml:space="preserve">(</m:t>
            </m:r>
            <m:r>
              <m:t xml:space="preserve">T</m:t>
            </m:r>
            <m:r>
              <m:t xml:space="preserve">(</m:t>
            </m:r>
            <m:r>
              <m:t xml:space="preserve">u</m:t>
            </m:r>
            <m:r>
              <m:t xml:space="preserve">)</m:t>
            </m:r>
            <m:r>
              <m:t xml:space="preserve">)</m:t>
            </m:r>
            <m:r>
              <m:t xml:space="preserve">≤</m:t>
            </m:r>
            <m:r>
              <m:t xml:space="preserve">0</m:t>
            </m:r>
          </m:sub>
          <m:sup/>
          <m:e>
            <m:sSub>
              <m:e>
                <m:r>
                  <m:t xml:space="preserve">φ</m:t>
                </m:r>
              </m:e>
              <m:sub>
                <m:r>
                  <m:t xml:space="preserve">U</m:t>
                </m:r>
              </m:sub>
            </m:sSub>
            <m:r>
              <m:t xml:space="preserve">(</m:t>
            </m:r>
            <m:r>
              <m:t xml:space="preserve">u</m:t>
            </m:r>
            <m:r>
              <m:t xml:space="preserve">)</m:t>
            </m:r>
            <m:r>
              <m:t xml:space="preserve">du</m:t>
            </m:r>
          </m:e>
        </m:nary>
      </m:oMath>
      <w:r>
        <w:rPr/>
        <w:tab/>
        <w:tab/>
        <w:tab/>
        <w:tab/>
        <w:t>(2)</w:t>
      </w:r>
    </w:p>
    <w:p>
      <w:pPr>
        <w:pStyle w:val="BodyText2"/>
        <w:jc w:val="both"/>
        <w:rPr/>
      </w:pPr>
      <w:r>
        <w:rPr/>
      </w:r>
    </w:p>
    <w:p>
      <w:pPr>
        <w:pStyle w:val="BodyText2"/>
        <w:jc w:val="both"/>
        <w:rPr/>
      </w:pPr>
      <w:r>
        <w:rPr/>
        <w:t xml:space="preserve">The beauty of the standard Gaussian space is that it is rotationally symmetric and the probability density </w:t>
      </w:r>
      <w:r>
        <w:rPr>
          <w:rFonts w:cs="Symbol" w:ascii="Symbol" w:hAnsi="Symbol"/>
          <w:i/>
          <w:iCs/>
        </w:rPr>
        <w:sym w:font="Symbol" w:char="f066"/>
      </w:r>
      <w:r>
        <w:rPr>
          <w:rFonts w:cs="Times;Times New Roman" w:ascii="Times;Times New Roman" w:hAnsi="Times;Times New Roman"/>
          <w:b/>
          <w:bCs/>
          <w:i/>
          <w:iCs/>
          <w:sz w:val="20"/>
          <w:vertAlign w:val="subscript"/>
        </w:rPr>
        <w:t>U</w:t>
      </w:r>
      <w:r>
        <w:rPr>
          <w:i/>
          <w:iCs/>
        </w:rPr>
        <w:t>(</w:t>
      </w:r>
      <w:r>
        <w:rPr>
          <w:b/>
          <w:bCs/>
          <w:i/>
          <w:iCs/>
        </w:rPr>
        <w:t>u</w:t>
      </w:r>
      <w:r>
        <w:rPr>
          <w:i/>
          <w:iCs/>
        </w:rPr>
        <w:t>)</w:t>
      </w:r>
      <w:r>
        <w:rPr/>
        <w:t xml:space="preserve"> tapers off super exponentially as its distance from the origin increases.  Furthermore, the problem of multi-dimensional integral can be avoided by solving a constrained optimization problem in the standard Gaussian (</w:t>
      </w:r>
      <w:r>
        <w:rPr>
          <w:b/>
          <w:bCs/>
          <w:i/>
          <w:iCs/>
        </w:rPr>
        <w:t>u</w:t>
      </w:r>
      <w:r>
        <w:rPr>
          <w:i/>
          <w:iCs/>
        </w:rPr>
        <w:t>-)</w:t>
      </w:r>
      <w:r>
        <w:rPr/>
        <w:t xml:space="preserve"> space to locate the point on the transformed limit-state surface, </w:t>
      </w:r>
      <w:r>
        <w:rPr>
          <w:i/>
          <w:iCs/>
        </w:rPr>
        <w:t>G(</w:t>
      </w:r>
      <w:r>
        <w:rPr>
          <w:b/>
          <w:bCs/>
          <w:i/>
          <w:iCs/>
        </w:rPr>
        <w:t>u</w:t>
      </w:r>
      <w:r>
        <w:rPr>
          <w:i/>
          <w:iCs/>
        </w:rPr>
        <w:t>) = g (T(</w:t>
      </w:r>
      <w:r>
        <w:rPr>
          <w:b/>
          <w:bCs/>
          <w:i/>
          <w:iCs/>
        </w:rPr>
        <w:t>x</w:t>
      </w:r>
      <w:r>
        <w:rPr>
          <w:i/>
          <w:iCs/>
        </w:rPr>
        <w:t>)) = 0</w:t>
      </w:r>
      <w:r>
        <w:rPr/>
        <w:t xml:space="preserve">,  that is the closest to the origin, which is called the “design point”. </w:t>
      </w:r>
    </w:p>
    <w:p>
      <w:pPr>
        <w:pStyle w:val="BodyText2"/>
        <w:jc w:val="both"/>
        <w:rPr/>
      </w:pPr>
      <w:r>
        <w:rPr/>
      </w:r>
    </w:p>
    <w:p>
      <w:pPr>
        <w:pStyle w:val="BodyText2"/>
        <w:jc w:val="both"/>
        <w:rPr/>
      </w:pPr>
      <w:r>
        <w:rPr/>
        <w:t xml:space="preserve">The “design point”, </w:t>
      </w:r>
      <w:r>
        <w:rPr>
          <w:b/>
          <w:bCs/>
          <w:i/>
          <w:iCs/>
        </w:rPr>
        <w:t>u</w:t>
      </w:r>
      <w:r>
        <w:rPr>
          <w:i/>
          <w:iCs/>
        </w:rPr>
        <w:t>*</w:t>
      </w:r>
      <w:r>
        <w:rPr/>
        <w:t xml:space="preserve"> (or more precisely the corresponding point </w:t>
      </w:r>
      <w:r>
        <w:rPr>
          <w:b/>
          <w:bCs/>
          <w:i/>
          <w:iCs/>
        </w:rPr>
        <w:t>x</w:t>
      </w:r>
      <w:r>
        <w:rPr>
          <w:i/>
          <w:iCs/>
        </w:rPr>
        <w:t>*</w:t>
      </w:r>
      <w:r>
        <w:rPr/>
        <w:t xml:space="preserve"> in the original </w:t>
      </w:r>
      <w:r>
        <w:rPr>
          <w:b/>
          <w:bCs/>
          <w:i/>
          <w:iCs/>
        </w:rPr>
        <w:t>x</w:t>
      </w:r>
      <w:r>
        <w:rPr/>
        <w:t xml:space="preserve">-space) represents the “state of risk factors” that is most likely to cause failure.  The largest contribution to the integral in Equation 2 comes from the vicinity of the “design point”, </w:t>
      </w:r>
      <w:r>
        <w:rPr>
          <w:b/>
          <w:bCs/>
          <w:i/>
          <w:iCs/>
        </w:rPr>
        <w:t>u</w:t>
      </w:r>
      <w:r>
        <w:rPr>
          <w:i/>
          <w:iCs/>
        </w:rPr>
        <w:t>*</w:t>
      </w:r>
      <w:r>
        <w:rPr/>
        <w:t xml:space="preserve">, on the limit-state surface because it is the closest to the origin (see Figure 1).  For the Value-at-Risk calculation, the limit-state surface is given by the level surface defined by loss equal to a specified threshold and the “design point” corresponds to the most-likely-to-occur combination of underlying risk factors that produce a loss equal to a specified threshold.  </w:t>
      </w:r>
    </w:p>
    <w:p>
      <w:pPr>
        <w:pStyle w:val="BodyText2"/>
        <w:jc w:val="both"/>
        <w:rPr/>
      </w:pPr>
      <w:r>
        <w:rPr/>
      </w:r>
    </w:p>
    <w:p>
      <w:pPr>
        <w:pStyle w:val="BodyText2"/>
        <w:jc w:val="both"/>
        <w:rPr/>
      </w:pPr>
      <w:r>
        <w:rPr/>
        <w:t xml:space="preserve">In most cases, a very good first approximation to the integral in Equation 2 is given by the expression </w:t>
      </w:r>
      <w:r>
        <w:rPr>
          <w:rFonts w:cs="Symbol" w:ascii="Symbol" w:hAnsi="Symbol"/>
          <w:i/>
          <w:iCs/>
        </w:rPr>
        <w:sym w:font="Symbol" w:char="f046"/>
      </w:r>
      <w:r>
        <w:rPr>
          <w:i/>
          <w:iCs/>
        </w:rPr>
        <w:t>(-</w:t>
      </w:r>
      <w:r>
        <w:rPr>
          <w:rFonts w:cs="Symbol" w:ascii="Symbol" w:hAnsi="Symbol"/>
          <w:i/>
          <w:iCs/>
        </w:rPr>
        <w:sym w:font="Symbol" w:char="f062"/>
      </w:r>
      <w:r>
        <w:rPr>
          <w:i/>
          <w:iCs/>
        </w:rPr>
        <w:t>)</w:t>
      </w:r>
      <w:r>
        <w:rPr/>
        <w:t xml:space="preserve">, where </w:t>
      </w:r>
      <w:r>
        <w:rPr>
          <w:rFonts w:cs="Symbol" w:ascii="Symbol" w:hAnsi="Symbol"/>
          <w:i/>
          <w:iCs/>
        </w:rPr>
        <w:sym w:font="Symbol" w:char="f062"/>
      </w:r>
      <w:r>
        <w:rPr/>
        <w:t xml:space="preserve"> is the distance of the “design point” from the origin and </w:t>
      </w:r>
      <w:r>
        <w:rPr>
          <w:rFonts w:cs="Symbol" w:ascii="Symbol" w:hAnsi="Symbol"/>
          <w:i/>
          <w:iCs/>
        </w:rPr>
        <w:sym w:font="Symbol" w:char="f046"/>
      </w:r>
      <w:r>
        <w:rPr>
          <w:i/>
          <w:iCs/>
        </w:rPr>
        <w:t>(.)</w:t>
      </w:r>
      <w:r>
        <w:rPr/>
        <w:t xml:space="preserve"> is the standard Gaussian cumulative distribution function. This approximation, known as the first-order reliability method (FORM), is based on approximating the limit-state surface by a linear hyper-plane at the “design point”.  </w:t>
      </w:r>
    </w:p>
    <w:p>
      <w:pPr>
        <w:pStyle w:val="BodyText2"/>
        <w:jc w:val="both"/>
        <w:rPr/>
      </w:pPr>
      <w:r>
        <w:rPr/>
      </w:r>
    </w:p>
    <w:p>
      <w:pPr>
        <w:pStyle w:val="BodyText2"/>
        <w:jc w:val="both"/>
        <w:rPr/>
      </w:pPr>
      <w:r>
        <w:rPr/>
      </w:r>
    </w:p>
    <w:p>
      <w:pPr>
        <w:pStyle w:val="BodyText2"/>
        <w:jc w:val="both"/>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22">
                <wp:simplePos x="0" y="0"/>
                <wp:positionH relativeFrom="column">
                  <wp:posOffset>-4445</wp:posOffset>
                </wp:positionH>
                <wp:positionV relativeFrom="paragraph">
                  <wp:posOffset>-4445</wp:posOffset>
                </wp:positionV>
                <wp:extent cx="4923790" cy="3193415"/>
                <wp:effectExtent l="0" t="0" r="0" b="0"/>
                <wp:wrapSquare wrapText="bothSides"/>
                <wp:docPr id="1" name="Frame1"/>
                <a:graphic xmlns:a="http://schemas.openxmlformats.org/drawingml/2006/main">
                  <a:graphicData uri="http://schemas.microsoft.com/office/word/2010/wordprocessingShape">
                    <wps:wsp>
                      <wps:cNvSpPr txBox="1"/>
                      <wps:spPr>
                        <a:xfrm>
                          <a:off x="0" y="0"/>
                          <a:ext cx="4923790" cy="3193415"/>
                        </a:xfrm>
                        <a:prstGeom prst="rect"/>
                        <a:solidFill>
                          <a:srgbClr val="FFFFFF"/>
                        </a:solidFill>
                        <a:ln w="9525">
                          <a:solidFill>
                            <a:srgbClr val="000000"/>
                          </a:solidFill>
                        </a:ln>
                      </wps:spPr>
                      <wps:txbx>
                        <w:txbxContent>
                          <w:p>
                            <w:pPr>
                              <w:pStyle w:val="Normal"/>
                              <w:rPr/>
                            </w:pPr>
                            <w:r>
                              <w:rPr/>
                              <w:object w:dxaOrig="7200" w:dyaOrig="469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0pt;height:234.75pt" filled="f" o:ole="">
                                  <v:imagedata r:id="rId3" o:title=""/>
                                </v:shape>
                                <o:OLEObject Type="Embed" ProgID="" ShapeID="ole_rId2" DrawAspect="Content" ObjectID="_1611671567" r:id="rId2"/>
                              </w:object>
                            </w:r>
                            <w:r>
                              <w:rPr/>
                              <w:object w:dxaOrig="7200" w:dyaOrig="43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60pt;height:216pt" filled="f" o:ole="">
                                  <v:imagedata r:id="rId5" o:title=""/>
                                </v:shape>
                                <o:OLEObject Type="Embed" ProgID="" ShapeID="ole_rId4" DrawAspect="Content" ObjectID="_852481896" r:id="rId4"/>
                              </w:object>
                            </w:r>
                          </w:p>
                        </w:txbxContent>
                      </wps:txbx>
                      <wps:bodyPr anchor="t" lIns="91440" tIns="45720" rIns="91440" bIns="45720">
                        <a:noAutofit/>
                      </wps:bodyPr>
                    </wps:wsp>
                  </a:graphicData>
                </a:graphic>
              </wp:anchor>
            </w:drawing>
          </mc:Choice>
          <mc:Fallback>
            <w:pict>
              <v:rect fillcolor="#FFFFFF" strokecolor="#000000" strokeweight="0pt" style="position:absolute;rotation:-0;width:387.7pt;height:251.45pt;mso-wrap-distance-left:9.05pt;mso-wrap-distance-right:9.05pt;mso-wrap-distance-top:0pt;mso-wrap-distance-bottom:0pt;margin-top:-0.35pt;mso-position-vertical-relative:text;margin-left:-0.35pt;mso-position-horizontal-relative:text">
                <v:textbox>
                  <w:txbxContent>
                    <w:p>
                      <w:pPr>
                        <w:pStyle w:val="Normal"/>
                        <w:rPr/>
                      </w:pPr>
                      <w:r>
                        <w:rPr/>
                        <w:object w:dxaOrig="7200" w:dyaOrig="469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60pt;height:234.75pt" filled="f" o:ole="">
                            <v:imagedata r:id="rId7" o:title=""/>
                          </v:shape>
                          <o:OLEObject Type="Embed" ProgID="" ShapeID="ole_rId6" DrawAspect="Content" ObjectID="_877135020" r:id="rId6"/>
                        </w:object>
                      </w:r>
                      <w:r>
                        <w:rPr/>
                        <w:object w:dxaOrig="7200" w:dyaOrig="43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60pt;height:216pt" filled="f" o:ole="">
                            <v:imagedata r:id="rId9" o:title=""/>
                          </v:shape>
                          <o:OLEObject Type="Embed" ProgID="" ShapeID="ole_rId8" DrawAspect="Content" ObjectID="_1515665502" r:id="rId8"/>
                        </w:object>
                      </w:r>
                    </w:p>
                  </w:txbxContent>
                </v:textbox>
                <w10:wrap type="square"/>
              </v:rect>
            </w:pict>
          </mc:Fallback>
        </mc:AlternateContent>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t xml:space="preserve">In second-order reliability method (SORM), the limit-state surface in the standard Gaussian space is approximated by a quadratic (parabolic) hyper-surface fitted around the “design point”.  A number of closed-form expressions for probability content of a region bounded by a parabolic surface in the standard Gaussian space are available (see Madsen, Krenk, and Lind,1986).  </w:t>
      </w:r>
    </w:p>
    <w:p>
      <w:pPr>
        <w:pStyle w:val="BodyText2"/>
        <w:jc w:val="both"/>
        <w:rPr/>
      </w:pPr>
      <w:r>
        <w:rPr/>
      </w:r>
    </w:p>
    <w:p>
      <w:pPr>
        <w:pStyle w:val="BodyText2"/>
        <w:jc w:val="both"/>
        <w:rPr/>
      </w:pPr>
      <w:r>
        <w:rPr/>
        <w:t xml:space="preserve">Importance sampling on top of FORM/SORM asymptotically converges to the exact solution at the cost of additional numerical effort in terms of evaluations of the limit-state function.  However, in this work sufficient accuracy was obtained without importance sampling around the “design point”.  </w:t>
      </w:r>
    </w:p>
    <w:p>
      <w:pPr>
        <w:pStyle w:val="BodyText2"/>
        <w:jc w:val="both"/>
        <w:rPr/>
      </w:pPr>
      <w:r>
        <w:rPr/>
      </w:r>
    </w:p>
    <w:p>
      <w:pPr>
        <w:pStyle w:val="BodyText2"/>
        <w:jc w:val="both"/>
        <w:rPr/>
      </w:pPr>
      <w:r>
        <w:rPr/>
        <w:t xml:space="preserve">It is however possible to construct pathological (albeit artificial) examples of limit-state equations having multiple design points (local minima) located at roughly comparable distances away from the origin in the standard space.  In such instances, SORM approximations at each design point followed by a series system reliability analysis would improve estimates of the probability integral (Der Kiureghian and Dakessian, 1998).    </w:t>
      </w:r>
    </w:p>
    <w:p>
      <w:pPr>
        <w:pStyle w:val="BodyText2"/>
        <w:jc w:val="both"/>
        <w:rPr/>
      </w:pPr>
      <w:r>
        <w:rPr/>
      </w:r>
    </w:p>
    <w:p>
      <w:pPr>
        <w:pStyle w:val="BodyText2"/>
        <w:jc w:val="both"/>
        <w:rPr/>
      </w:pPr>
      <w:r>
        <w:rPr/>
      </w:r>
    </w:p>
    <w:p>
      <w:pPr>
        <w:pStyle w:val="BodyText2"/>
        <w:jc w:val="both"/>
        <w:rPr/>
      </w:pPr>
      <w:r>
        <w:rPr/>
      </w:r>
    </w:p>
    <w:p>
      <w:pPr>
        <w:pStyle w:val="Heading1"/>
        <w:rPr/>
      </w:pPr>
      <w:r>
        <w:rPr/>
        <w:t>Implementation of FORM/SORM for Value-at-Risk calculation</w:t>
      </w:r>
    </w:p>
    <w:p>
      <w:pPr>
        <w:pStyle w:val="BodyText2"/>
        <w:jc w:val="both"/>
        <w:rPr/>
      </w:pPr>
      <w:r>
        <w:rPr>
          <w:rFonts w:eastAsia="Times;Times New Roman" w:cs="Times;Times New Roman" w:ascii="Times;Times New Roman" w:hAnsi="Times;Times New Roman"/>
        </w:rPr>
        <w:t xml:space="preserve"> </w:t>
      </w:r>
      <w:r>
        <w:rPr/>
        <w:t>To illustrate how this basic idea applies to the VAR problem, let us assume that we have a portfolio of stocks and options on stocks with log-normally distributed and uncorrelated prices. The probability model for the change in the portfolio value over short time horizon can be written as follows:</w:t>
      </w:r>
    </w:p>
    <w:p>
      <w:pPr>
        <w:pStyle w:val="BodyText2"/>
        <w:jc w:val="both"/>
        <w:rPr/>
      </w:pPr>
      <w:r>
        <w:rPr/>
      </w:r>
    </w:p>
    <w:p>
      <w:pPr>
        <w:pStyle w:val="BodyText2"/>
        <w:rPr/>
      </w:pPr>
      <w:r>
        <w:rPr/>
      </w:r>
      <m:oMath xmlns:m="http://schemas.openxmlformats.org/officeDocument/2006/math">
        <m:r>
          <m:t xml:space="preserve">dΠ</m:t>
        </m:r>
        <m:r>
          <m:t xml:space="preserve">=</m:t>
        </m:r>
        <m:nary>
          <m:naryPr>
            <m:chr m:val="∑"/>
          </m:naryPr>
          <m:sub>
            <m:r>
              <m:t xml:space="preserve">i</m:t>
            </m:r>
            <m:r>
              <m:t xml:space="preserve">=</m:t>
            </m:r>
            <m:r>
              <m:t xml:space="preserve">1</m:t>
            </m:r>
          </m:sub>
          <m:sup>
            <m:r>
              <m:t xml:space="preserve">n</m:t>
            </m:r>
          </m:sup>
          <m:e>
            <m:sSub>
              <m:e>
                <m:r>
                  <m:t xml:space="preserve">N</m:t>
                </m:r>
              </m:e>
              <m:sub>
                <m:r>
                  <m:t xml:space="preserve">i</m:t>
                </m:r>
              </m:sub>
            </m:sSub>
            <m:sSub>
              <m:e>
                <m:r>
                  <m:t xml:space="preserve">c</m:t>
                </m:r>
              </m:e>
              <m:sub>
                <m:r>
                  <m:t xml:space="preserve">i</m:t>
                </m:r>
              </m:sub>
            </m:sSub>
            <m:r>
              <m:t xml:space="preserve">(</m:t>
            </m:r>
            <m:sSub>
              <m:e>
                <m:r>
                  <m:t xml:space="preserve">S</m:t>
                </m:r>
              </m:e>
              <m:sub>
                <m:r>
                  <m:t xml:space="preserve">i</m:t>
                </m:r>
              </m:sub>
            </m:sSub>
            <m:sSup>
              <m:e>
                <m:r>
                  <m:t xml:space="preserve">e</m:t>
                </m:r>
              </m:e>
              <m:sup>
                <m:sSub>
                  <m:e>
                    <m:r>
                      <m:t xml:space="preserve">σ</m:t>
                    </m:r>
                  </m:e>
                  <m:sub>
                    <m:r>
                      <m:t xml:space="preserve">i</m:t>
                    </m:r>
                  </m:sub>
                </m:sSub>
                <m:sSub>
                  <m:e>
                    <m:r>
                      <m:t xml:space="preserve">u</m:t>
                    </m:r>
                  </m:e>
                  <m:sub>
                    <m:r>
                      <m:t xml:space="preserve">i</m:t>
                    </m:r>
                  </m:sub>
                </m:sSub>
                <m:rad>
                  <m:radPr>
                    <m:degHide m:val="1"/>
                  </m:radPr>
                  <m:deg/>
                  <m:e>
                    <m:r>
                      <m:t xml:space="preserve">t</m:t>
                    </m:r>
                  </m:e>
                </m:rad>
              </m:sup>
            </m:sSup>
            <m:r>
              <m:t xml:space="preserve">)</m:t>
            </m:r>
            <m:r>
              <m:t xml:space="preserve">−</m:t>
            </m:r>
          </m:e>
        </m:nary>
        <m:sSub>
          <m:e>
            <m:r>
              <m:t xml:space="preserve">Π</m:t>
            </m:r>
          </m:e>
          <m:sub>
            <m:r>
              <m:t xml:space="preserve">0</m:t>
            </m:r>
          </m:sub>
        </m:sSub>
      </m:oMath>
      <w:r>
        <w:rPr/>
        <w:t>,</w:t>
        <w:tab/>
        <w:tab/>
        <w:tab/>
        <w:tab/>
        <w:tab/>
        <w:tab/>
        <w:tab/>
        <w:tab/>
        <w:t>(3)</w:t>
        <w:tab/>
        <w:tab/>
      </w:r>
    </w:p>
    <w:p>
      <w:pPr>
        <w:pStyle w:val="BodyText2"/>
        <w:jc w:val="both"/>
        <w:rPr/>
      </w:pPr>
      <w:r>
        <w:rPr/>
        <w:t xml:space="preserve">where  </w:t>
      </w:r>
      <w:r>
        <w:rPr>
          <w:i/>
          <w:iCs/>
        </w:rPr>
        <w:t>N</w:t>
      </w:r>
      <w:r>
        <w:rPr>
          <w:rFonts w:cs="Times;Times New Roman" w:ascii="Times;Times New Roman" w:hAnsi="Times;Times New Roman"/>
          <w:i/>
          <w:iCs/>
          <w:vertAlign w:val="subscript"/>
        </w:rPr>
        <w:t xml:space="preserve">i </w:t>
      </w:r>
      <w:r>
        <w:rPr>
          <w:i/>
          <w:iCs/>
        </w:rPr>
        <w:t>, S</w:t>
      </w:r>
      <w:r>
        <w:rPr>
          <w:rFonts w:cs="Times;Times New Roman" w:ascii="Times;Times New Roman" w:hAnsi="Times;Times New Roman"/>
          <w:i/>
          <w:iCs/>
          <w:vertAlign w:val="subscript"/>
        </w:rPr>
        <w:t>i</w:t>
      </w:r>
      <w:r>
        <w:rPr>
          <w:i/>
          <w:iCs/>
        </w:rPr>
        <w:t xml:space="preserve"> , </w:t>
      </w:r>
      <w:r>
        <w:rPr>
          <w:rFonts w:eastAsia="Symbol" w:cs="Symbol" w:ascii="Symbol" w:hAnsi="Symbol"/>
          <w:i/>
          <w:iCs/>
        </w:rPr>
        <w:sym w:font="Symbol" w:char="f073"/>
      </w:r>
      <w:r>
        <w:rPr>
          <w:rFonts w:cs="Times;Times New Roman" w:ascii="Times;Times New Roman" w:hAnsi="Times;Times New Roman"/>
          <w:i/>
          <w:iCs/>
          <w:vertAlign w:val="subscript"/>
        </w:rPr>
        <w:t>i</w:t>
      </w:r>
      <w:r>
        <w:rPr/>
        <w:t xml:space="preserve">, and </w:t>
      </w:r>
      <w:r>
        <w:rPr>
          <w:i/>
          <w:iCs/>
        </w:rPr>
        <w:t>u</w:t>
      </w:r>
      <w:r>
        <w:rPr>
          <w:rFonts w:cs="Times;Times New Roman" w:ascii="Times;Times New Roman" w:hAnsi="Times;Times New Roman"/>
          <w:vertAlign w:val="subscript"/>
        </w:rPr>
        <w:t>i</w:t>
      </w:r>
      <w:r>
        <w:rPr/>
        <w:t xml:space="preserve"> are respectively the number of shares, price, volatility, and standard Gaussian  (zero mean and unit standard deviation) shocks corresponding to the log-return of the i</w:t>
      </w:r>
      <w:r>
        <w:rPr>
          <w:rFonts w:cs="Times;Times New Roman" w:ascii="Times;Times New Roman" w:hAnsi="Times;Times New Roman"/>
          <w:vertAlign w:val="superscript"/>
        </w:rPr>
        <w:t>th</w:t>
      </w:r>
      <w:r>
        <w:rPr/>
        <w:t xml:space="preserve">  stock in the portfolio. C</w:t>
      </w:r>
      <w:r>
        <w:rPr>
          <w:rFonts w:cs="Times;Times New Roman" w:ascii="Times;Times New Roman" w:hAnsi="Times;Times New Roman"/>
          <w:vertAlign w:val="subscript"/>
        </w:rPr>
        <w:t>i</w:t>
      </w:r>
      <w:r>
        <w:rPr/>
        <w:t xml:space="preserve">(S)  is the value of the </w:t>
      </w:r>
      <w:r>
        <w:rPr>
          <w:i/>
          <w:iCs/>
        </w:rPr>
        <w:t>i</w:t>
      </w:r>
      <w:r>
        <w:rPr>
          <w:i/>
          <w:iCs/>
          <w:vertAlign w:val="superscript"/>
        </w:rPr>
        <w:t>th</w:t>
      </w:r>
      <w:r>
        <w:rPr/>
        <w:t xml:space="preserve"> derivative position as a function of stock price </w:t>
      </w:r>
      <w:r>
        <w:rPr>
          <w:i/>
          <w:iCs/>
        </w:rPr>
        <w:t>S</w:t>
      </w:r>
      <w:r>
        <w:rPr/>
        <w:t xml:space="preserve">, </w:t>
      </w:r>
      <w:r>
        <w:rPr>
          <w:i/>
          <w:iCs/>
        </w:rPr>
        <w:t>t</w:t>
      </w:r>
      <w:r>
        <w:rPr/>
        <w:t xml:space="preserve"> is time horizon and </w:t>
      </w:r>
      <w:r>
        <w:rPr>
          <w:rFonts w:eastAsia="Symbol" w:cs="Symbol" w:ascii="Symbol" w:hAnsi="Symbol"/>
          <w:i/>
          <w:iCs/>
        </w:rPr>
        <w:sym w:font="Symbol" w:char="f050"/>
      </w:r>
      <w:r>
        <w:rPr>
          <w:rFonts w:cs="Times;Times New Roman" w:ascii="Times;Times New Roman" w:hAnsi="Times;Times New Roman"/>
          <w:i/>
          <w:iCs/>
          <w:vertAlign w:val="subscript"/>
        </w:rPr>
        <w:t>0</w:t>
      </w:r>
      <w:r>
        <w:rPr>
          <w:i/>
          <w:iCs/>
        </w:rPr>
        <w:t xml:space="preserve"> </w:t>
      </w:r>
      <w:r>
        <w:rPr/>
        <w:t xml:space="preserve">is initial value of portfolio. For the VAR problem, we are interested in finding the value change </w:t>
      </w:r>
      <w:r>
        <w:rPr>
          <w:rFonts w:eastAsia="Symbol" w:cs="Symbol" w:ascii="Symbol" w:hAnsi="Symbol"/>
        </w:rPr>
        <w:sym w:font="Symbol" w:char="f06e"/>
      </w:r>
      <w:r>
        <w:rPr/>
        <w:t xml:space="preserve"> corresponding to probability of exceedance </w:t>
      </w:r>
      <w:r>
        <w:rPr>
          <w:i/>
          <w:iCs/>
        </w:rPr>
        <w:t>q</w:t>
      </w:r>
      <w:r>
        <w:rPr/>
        <w:t xml:space="preserve"> (= </w:t>
      </w:r>
      <w:r>
        <w:rPr>
          <w:i/>
          <w:iCs/>
        </w:rPr>
        <w:t>1 - p</w:t>
      </w:r>
      <w:r>
        <w:rPr/>
        <w:t xml:space="preserve">, where </w:t>
      </w:r>
      <w:r>
        <w:rPr>
          <w:i/>
          <w:iCs/>
        </w:rPr>
        <w:t>p is</w:t>
      </w:r>
      <w:r>
        <w:rPr/>
        <w:t xml:space="preserve"> the VAR confidence level) such that</w:t>
      </w:r>
    </w:p>
    <w:p>
      <w:pPr>
        <w:pStyle w:val="BodyText2"/>
        <w:rPr/>
      </w:pPr>
      <w:r>
        <w:rPr/>
      </w:r>
    </w:p>
    <w:p>
      <w:pPr>
        <w:pStyle w:val="BodyText2"/>
        <w:rPr/>
      </w:pPr>
      <w:r>
        <w:rPr/>
      </w:r>
      <m:oMath xmlns:m="http://schemas.openxmlformats.org/officeDocument/2006/math">
        <m:r>
          <m:t xml:space="preserve">P</m:t>
        </m:r>
        <m:d>
          <m:dPr>
            <m:begChr m:val="{"/>
            <m:endChr m:val="}"/>
          </m:dPr>
          <m:e>
            <m:r>
              <m:t xml:space="preserve">dΠ</m:t>
            </m:r>
            <m:r>
              <m:t xml:space="preserve">&lt;</m:t>
            </m:r>
            <m:r>
              <m:t xml:space="preserve">v</m:t>
            </m:r>
          </m:e>
        </m:d>
        <m:r>
          <m:t xml:space="preserve">=</m:t>
        </m:r>
        <m:r>
          <m:t xml:space="preserve">q</m:t>
        </m:r>
      </m:oMath>
      <w:r>
        <w:rPr/>
        <w:t xml:space="preserve"> </w:t>
      </w:r>
      <w:r>
        <w:rPr/>
        <w:tab/>
        <w:tab/>
        <w:tab/>
        <w:tab/>
        <w:t>S</w:t>
        <w:tab/>
        <w:tab/>
        <w:tab/>
        <w:tab/>
        <w:tab/>
        <w:t>(4)</w:t>
      </w:r>
    </w:p>
    <w:p>
      <w:pPr>
        <w:pStyle w:val="BodyText2"/>
        <w:rPr/>
      </w:pPr>
      <w:r>
        <w:rPr/>
      </w:r>
    </w:p>
    <w:p>
      <w:pPr>
        <w:pStyle w:val="Normal"/>
        <w:ind w:end="-360"/>
        <w:jc w:val="both"/>
        <w:rPr/>
      </w:pPr>
      <w:r>
        <w:rPr/>
        <w:t xml:space="preserve">We denote the level surface given by </w:t>
      </w:r>
      <w:r>
        <w:rPr/>
      </w:r>
      <m:oMath xmlns:m="http://schemas.openxmlformats.org/officeDocument/2006/math">
        <m:r>
          <m:t xml:space="preserve">dΠ</m:t>
        </m:r>
        <m:r>
          <m:t xml:space="preserve">=</m:t>
        </m:r>
        <m:r>
          <m:t xml:space="preserve">v</m:t>
        </m:r>
      </m:oMath>
      <w:r>
        <w:rPr/>
        <w:t xml:space="preserve"> in </w:t>
      </w:r>
      <w:r>
        <w:rPr>
          <w:i/>
          <w:iCs/>
        </w:rPr>
        <w:t>R</w:t>
      </w:r>
      <w:r>
        <w:rPr>
          <w:rFonts w:cs="Times;Times New Roman" w:ascii="Times;Times New Roman" w:hAnsi="Times;Times New Roman"/>
          <w:i/>
          <w:iCs/>
          <w:vertAlign w:val="superscript"/>
        </w:rPr>
        <w:t>n</w:t>
      </w:r>
      <w:r>
        <w:rPr/>
        <w:t xml:space="preserve"> as the limit-state surface.  Probability of loss </w:t>
      </w:r>
      <w:r>
        <w:rPr>
          <w:i/>
          <w:iCs/>
        </w:rPr>
        <w:t>q</w:t>
      </w:r>
      <w:r>
        <w:rPr/>
        <w:t xml:space="preserve"> can then be calculated by integrating the multi-normal probability (log returns are normal) density function of standard Gaussian variates, </w:t>
      </w:r>
      <w:r>
        <w:rPr>
          <w:i/>
          <w:iCs/>
        </w:rPr>
        <w:t>U</w:t>
      </w:r>
      <w:r>
        <w:rPr>
          <w:rFonts w:cs="Times;Times New Roman" w:ascii="Times;Times New Roman" w:hAnsi="Times;Times New Roman"/>
          <w:i/>
          <w:iCs/>
          <w:vertAlign w:val="subscript"/>
        </w:rPr>
        <w:t>1,</w:t>
      </w:r>
      <w:r>
        <w:rPr>
          <w:i/>
          <w:iCs/>
        </w:rPr>
        <w:t xml:space="preserve"> U</w:t>
      </w:r>
      <w:r>
        <w:rPr>
          <w:rFonts w:cs="Times;Times New Roman" w:ascii="Times;Times New Roman" w:hAnsi="Times;Times New Roman"/>
          <w:i/>
          <w:iCs/>
          <w:vertAlign w:val="subscript"/>
        </w:rPr>
        <w:t>2</w:t>
      </w:r>
      <w:r>
        <w:rPr>
          <w:i/>
          <w:iCs/>
        </w:rPr>
        <w:t>, ……, U</w:t>
      </w:r>
      <w:r>
        <w:rPr>
          <w:rFonts w:cs="Times;Times New Roman" w:ascii="Times;Times New Roman" w:hAnsi="Times;Times New Roman"/>
          <w:i/>
          <w:iCs/>
          <w:vertAlign w:val="subscript"/>
        </w:rPr>
        <w:t>n</w:t>
      </w:r>
      <w:r>
        <w:rPr/>
        <w:t xml:space="preserve"> , over the loss region bounded by the limit-state surface:</w:t>
      </w:r>
    </w:p>
    <w:p>
      <w:pPr>
        <w:pStyle w:val="Normal"/>
        <w:ind w:end="-360"/>
        <w:rPr/>
      </w:pPr>
      <w:r>
        <w:rPr/>
      </w:r>
    </w:p>
    <w:p>
      <w:pPr>
        <w:pStyle w:val="Normal"/>
        <w:ind w:end="-360"/>
        <w:rPr/>
      </w:pPr>
      <w:r>
        <w:rPr/>
      </w:r>
      <m:oMath xmlns:m="http://schemas.openxmlformats.org/officeDocument/2006/math">
        <m:r>
          <m:t xml:space="preserve">q</m:t>
        </m:r>
        <m:r>
          <m:t xml:space="preserve">=</m:t>
        </m:r>
        <m:nary>
          <m:naryPr>
            <m:chr m:val="∭"/>
            <m:supHide m:val="1"/>
          </m:naryPr>
          <m:sub>
            <m:r>
              <m:t xml:space="preserve">dΠ</m:t>
            </m:r>
            <m:r>
              <m:t xml:space="preserve">&lt;</m:t>
            </m:r>
            <m:r>
              <m:t xml:space="preserve">v</m:t>
            </m:r>
          </m:sub>
          <m:sup/>
          <m:e>
            <m:sSub>
              <m:e>
                <m:r>
                  <m:t xml:space="preserve">φ</m:t>
                </m:r>
              </m:e>
              <m:sub>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n</m:t>
                    </m:r>
                  </m:sub>
                </m:sSub>
              </m:sub>
            </m:sSub>
          </m:e>
        </m:nary>
        <m:r>
          <m:t xml:space="preserve">(</m:t>
        </m:r>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n</m:t>
            </m:r>
          </m:sub>
        </m:sSub>
        <m:r>
          <m:t xml:space="preserve">)</m:t>
        </m:r>
        <m:sSub>
          <m:e>
            <m:r>
              <m:rPr>
                <m:lit/>
                <m:nor/>
              </m:rPr>
              <m:t xml:space="preserve">du</m:t>
            </m:r>
          </m:e>
          <m:sub>
            <m:r>
              <m:t xml:space="preserve">1</m:t>
            </m:r>
          </m:sub>
        </m:sSub>
        <m:sSub>
          <m:e>
            <m:r>
              <m:rPr>
                <m:lit/>
                <m:nor/>
              </m:rPr>
              <m:t xml:space="preserve">du</m:t>
            </m:r>
          </m:e>
          <m:sub>
            <m:r>
              <m:t xml:space="preserve">2</m:t>
            </m:r>
          </m:sub>
        </m:sSub>
        <m:r>
          <m:rPr>
            <m:lit/>
            <m:nor/>
          </m:rPr>
          <m:t xml:space="preserve">.</m:t>
        </m:r>
        <m:r>
          <m:rPr>
            <m:lit/>
            <m:nor/>
          </m:rPr>
          <m:t xml:space="preserve">.</m:t>
        </m:r>
        <m:r>
          <m:rPr>
            <m:lit/>
            <m:nor/>
          </m:rPr>
          <m:t xml:space="preserve">.</m:t>
        </m:r>
        <m:sSub>
          <m:e>
            <m:r>
              <m:rPr>
                <m:lit/>
                <m:nor/>
              </m:rPr>
              <m:t xml:space="preserve">du</m:t>
            </m:r>
          </m:e>
          <m:sub>
            <m:r>
              <m:t xml:space="preserve">n</m:t>
            </m:r>
          </m:sub>
        </m:sSub>
      </m:oMath>
      <w:r>
        <w:rPr/>
        <w:tab/>
        <w:tab/>
        <w:tab/>
        <w:tab/>
        <w:tab/>
        <w:t>(5)</w:t>
      </w:r>
    </w:p>
    <w:p>
      <w:pPr>
        <w:pStyle w:val="BodyText2"/>
        <w:rPr/>
      </w:pPr>
      <w:r>
        <w:rPr/>
      </w:r>
    </w:p>
    <w:p>
      <w:pPr>
        <w:pStyle w:val="Normal"/>
        <w:ind w:end="-360"/>
        <w:jc w:val="both"/>
        <w:rPr/>
      </w:pPr>
      <w:r>
        <w:rPr/>
        <w:t xml:space="preserve">Note that we have written the limit-state function for a portfolio of derivative securities as a function of log-returns of the underlying stocks.   Because security prices are commonly assumed to be lognormal, their log-returns are normally distributed and hence the limit-state surface defined by Equation 3 is directly given in the standard Gaussian space.   Let us denote the limit- state equation given by </w:t>
      </w:r>
      <w:r>
        <w:rPr>
          <w:i/>
          <w:iCs/>
        </w:rPr>
        <w:t>d</w:t>
      </w:r>
      <w:r>
        <w:rPr>
          <w:rFonts w:cs="Symbol" w:ascii="Symbol" w:hAnsi="Symbol"/>
          <w:i/>
          <w:iCs/>
        </w:rPr>
        <w:sym w:font="Symbol" w:char="f050"/>
      </w:r>
      <w:r>
        <w:rPr>
          <w:i/>
          <w:iCs/>
        </w:rPr>
        <w:t xml:space="preserve"> – v = 0</w:t>
      </w:r>
      <w:r>
        <w:rPr/>
        <w:t xml:space="preserve"> in the</w:t>
      </w:r>
      <w:r>
        <w:rPr>
          <w:b/>
          <w:bCs/>
        </w:rPr>
        <w:t xml:space="preserve"> </w:t>
      </w:r>
      <w:r>
        <w:rPr>
          <w:b/>
          <w:bCs/>
          <w:i/>
          <w:iCs/>
        </w:rPr>
        <w:t>u</w:t>
      </w:r>
      <w:r>
        <w:rPr/>
        <w:t xml:space="preserve">-space as </w:t>
      </w:r>
      <w:r>
        <w:rPr>
          <w:i/>
          <w:iCs/>
        </w:rPr>
        <w:t>G(u</w:t>
      </w:r>
      <w:r>
        <w:rPr>
          <w:rFonts w:cs="Times;Times New Roman" w:ascii="Times;Times New Roman" w:hAnsi="Times;Times New Roman"/>
          <w:i/>
          <w:iCs/>
          <w:vertAlign w:val="subscript"/>
        </w:rPr>
        <w:t>1</w:t>
      </w:r>
      <w:r>
        <w:rPr>
          <w:i/>
          <w:iCs/>
        </w:rPr>
        <w:t>, u</w:t>
      </w:r>
      <w:r>
        <w:rPr>
          <w:rFonts w:cs="Times;Times New Roman" w:ascii="Times;Times New Roman" w:hAnsi="Times;Times New Roman"/>
          <w:i/>
          <w:iCs/>
          <w:vertAlign w:val="subscript"/>
        </w:rPr>
        <w:t>2</w:t>
      </w:r>
      <w:r>
        <w:rPr>
          <w:i/>
          <w:iCs/>
        </w:rPr>
        <w:t>,…,u</w:t>
      </w:r>
      <w:r>
        <w:rPr>
          <w:rFonts w:cs="Times;Times New Roman" w:ascii="Times;Times New Roman" w:hAnsi="Times;Times New Roman"/>
          <w:i/>
          <w:iCs/>
          <w:vertAlign w:val="subscript"/>
        </w:rPr>
        <w:t>n</w:t>
      </w:r>
      <w:r>
        <w:rPr>
          <w:i/>
          <w:iCs/>
        </w:rPr>
        <w:t xml:space="preserve">) = 0.  </w:t>
      </w:r>
    </w:p>
    <w:p>
      <w:pPr>
        <w:pStyle w:val="BodyText2"/>
        <w:jc w:val="both"/>
        <w:rPr/>
      </w:pPr>
      <w:r>
        <w:rPr/>
        <w:t>The software implementing FORM/SORM methodology should be able to perform the following calculations:</w:t>
      </w:r>
    </w:p>
    <w:p>
      <w:pPr>
        <w:pStyle w:val="Normal"/>
        <w:numPr>
          <w:ilvl w:val="0"/>
          <w:numId w:val="3"/>
        </w:numPr>
        <w:ind w:hanging="360" w:start="1080" w:end="-360"/>
        <w:jc w:val="both"/>
        <w:rPr/>
      </w:pPr>
      <w:r>
        <w:rPr/>
        <w:t xml:space="preserve">Solve the first-order reliability problem, i.e., find the “design point”, which is a point on the limit-state surface closest to the origin in the </w:t>
      </w:r>
      <w:r>
        <w:rPr>
          <w:b/>
          <w:bCs/>
          <w:i/>
          <w:iCs/>
        </w:rPr>
        <w:t>u</w:t>
      </w:r>
      <w:r>
        <w:rPr/>
        <w:t>-space.</w:t>
      </w:r>
    </w:p>
    <w:p>
      <w:pPr>
        <w:pStyle w:val="Normal"/>
        <w:numPr>
          <w:ilvl w:val="0"/>
          <w:numId w:val="3"/>
        </w:numPr>
        <w:ind w:hanging="360" w:start="1080" w:end="-360"/>
        <w:jc w:val="both"/>
        <w:rPr/>
      </w:pPr>
      <w:r>
        <w:rPr/>
        <w:t>Apply second order correction using a quadratic approximation of the limit-state surface at the “design point”.</w:t>
      </w:r>
    </w:p>
    <w:p>
      <w:pPr>
        <w:pStyle w:val="Normal"/>
        <w:numPr>
          <w:ilvl w:val="0"/>
          <w:numId w:val="3"/>
        </w:numPr>
        <w:ind w:hanging="360" w:start="1080" w:end="-360"/>
        <w:jc w:val="both"/>
        <w:rPr/>
      </w:pPr>
      <w:r>
        <w:rPr/>
        <w:t>Find multiple design points, if they exist.</w:t>
      </w:r>
    </w:p>
    <w:p>
      <w:pPr>
        <w:pStyle w:val="Normal"/>
        <w:numPr>
          <w:ilvl w:val="0"/>
          <w:numId w:val="3"/>
        </w:numPr>
        <w:ind w:hanging="360" w:start="1080" w:end="-360"/>
        <w:jc w:val="both"/>
        <w:rPr/>
      </w:pPr>
      <w:r>
        <w:rPr/>
        <w:t>Add probability contribution from multiple “design points” using series system methodology (see Madsen, Krenk, and Lind, 1986).</w:t>
      </w:r>
    </w:p>
    <w:p>
      <w:pPr>
        <w:pStyle w:val="Normal"/>
        <w:ind w:start="360" w:end="-360"/>
        <w:jc w:val="both"/>
        <w:rPr/>
      </w:pPr>
      <w:r>
        <w:rPr/>
      </w:r>
    </w:p>
    <w:p>
      <w:pPr>
        <w:pStyle w:val="Normal"/>
        <w:ind w:end="-360"/>
        <w:jc w:val="both"/>
        <w:rPr/>
      </w:pPr>
      <w:r>
        <w:rPr/>
        <w:t xml:space="preserve">We used a simple iterative procedure described in Der Kiureghian and Dakessian, 1998, to calculate the coordinates of the “design point”.  It is based on the fact that at the “design point” </w:t>
      </w:r>
      <w:r>
        <w:rPr>
          <w:b/>
          <w:bCs/>
          <w:i/>
          <w:iCs/>
        </w:rPr>
        <w:t>u</w:t>
      </w:r>
      <w:r>
        <w:rPr>
          <w:i/>
          <w:iCs/>
        </w:rPr>
        <w:t>*</w:t>
      </w:r>
      <w:r>
        <w:rPr/>
        <w:t xml:space="preserve">, the gradient of the function </w:t>
      </w:r>
      <w:r>
        <w:rPr>
          <w:i/>
          <w:iCs/>
        </w:rPr>
        <w:t>G(</w:t>
      </w:r>
      <w:r>
        <w:rPr>
          <w:b/>
          <w:bCs/>
          <w:i/>
          <w:iCs/>
        </w:rPr>
        <w:t>u</w:t>
      </w:r>
      <w:r>
        <w:rPr>
          <w:i/>
          <w:iCs/>
        </w:rPr>
        <w:t>*)</w:t>
      </w:r>
      <w:r>
        <w:rPr/>
        <w:t xml:space="preserve"> is collinear with vector </w:t>
      </w:r>
      <w:r>
        <w:rPr>
          <w:b/>
          <w:bCs/>
          <w:i/>
          <w:iCs/>
        </w:rPr>
        <w:t>u</w:t>
      </w:r>
      <w:r>
        <w:rPr>
          <w:i/>
          <w:iCs/>
        </w:rPr>
        <w:t>*</w:t>
      </w:r>
      <w:r>
        <w:rPr/>
        <w:t xml:space="preserve">.  In its simplest form the algorithm finds a sequence of vectors </w:t>
      </w:r>
      <w:r>
        <w:rPr>
          <w:b/>
          <w:bCs/>
          <w:i/>
          <w:iCs/>
        </w:rPr>
        <w:t>u</w:t>
      </w:r>
      <w:r>
        <w:rPr>
          <w:rFonts w:cs="Times;Times New Roman" w:ascii="Times;Times New Roman" w:hAnsi="Times;Times New Roman"/>
          <w:i/>
          <w:iCs/>
          <w:vertAlign w:val="superscript"/>
        </w:rPr>
        <w:t>(m)</w:t>
      </w:r>
      <w:r>
        <w:rPr/>
        <w:t>, each one calculated as follows:</w:t>
      </w:r>
    </w:p>
    <w:p>
      <w:pPr>
        <w:pStyle w:val="Normal"/>
        <w:ind w:end="-360"/>
        <w:rPr/>
      </w:pPr>
      <w:r>
        <w:rPr/>
      </w:r>
      <m:oMath xmlns:m="http://schemas.openxmlformats.org/officeDocument/2006/math">
        <m:eqArr>
          <m:e>
            <m:sSup>
              <m:e>
                <m:r>
                  <m:t xml:space="preserve">u</m:t>
                </m:r>
              </m:e>
              <m:sup>
                <m:r>
                  <m:t xml:space="preserve">(</m:t>
                </m:r>
                <m:r>
                  <m:t xml:space="preserve">m</m:t>
                </m:r>
                <m:r>
                  <m:t xml:space="preserve">+</m:t>
                </m:r>
                <m:r>
                  <m:t xml:space="preserve">1</m:t>
                </m:r>
                <m:r>
                  <m:t xml:space="preserve">)</m:t>
                </m:r>
              </m:sup>
            </m:sSup>
            <m:r>
              <m:t xml:space="preserve">=</m:t>
            </m:r>
            <m:d>
              <m:dPr>
                <m:begChr m:val="["/>
                <m:endChr m:val="]"/>
              </m:dPr>
              <m:e>
                <m:r>
                  <m:t xml:space="preserve">(</m:t>
                </m:r>
                <m:sSup>
                  <m:e>
                    <m:r>
                      <m:t xml:space="preserve">u</m:t>
                    </m:r>
                  </m:e>
                  <m:sup>
                    <m:r>
                      <m:t xml:space="preserve">(</m:t>
                    </m:r>
                    <m:r>
                      <m:t xml:space="preserve">m</m:t>
                    </m:r>
                    <m:r>
                      <m:t xml:space="preserve">)</m:t>
                    </m:r>
                  </m:sup>
                </m:sSup>
                <m:r>
                  <m:rPr>
                    <m:lit/>
                    <m:nor/>
                  </m:rPr>
                  <m:t xml:space="preserve">.</m:t>
                </m:r>
                <m:sSup>
                  <m:e>
                    <m:r>
                      <m:t xml:space="preserve">α</m:t>
                    </m:r>
                  </m:e>
                  <m:sup>
                    <m:r>
                      <m:t xml:space="preserve">(</m:t>
                    </m:r>
                    <m:r>
                      <m:t xml:space="preserve">m</m:t>
                    </m:r>
                    <m:r>
                      <m:t xml:space="preserve">)</m:t>
                    </m:r>
                  </m:sup>
                </m:sSup>
                <m:r>
                  <m:t xml:space="preserve">)</m:t>
                </m:r>
                <m:r>
                  <m:t xml:space="preserve">+</m:t>
                </m:r>
                <m:f>
                  <m:num>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d>
            <m:sSup>
              <m:e>
                <m:r>
                  <m:t xml:space="preserve">α</m:t>
                </m:r>
              </m:e>
              <m:sup>
                <m:r>
                  <m:t xml:space="preserve">(</m:t>
                </m:r>
                <m:r>
                  <m:t xml:space="preserve">m</m:t>
                </m:r>
                <m:r>
                  <m:t xml:space="preserve">)</m:t>
                </m:r>
              </m:sup>
            </m:sSup>
          </m:e>
          <m:e>
            <m:sSup>
              <m:e>
                <m:r>
                  <m:t xml:space="preserve">α</m:t>
                </m:r>
              </m:e>
              <m:sup>
                <m:r>
                  <m:t xml:space="preserve">(</m:t>
                </m:r>
                <m:r>
                  <m:t xml:space="preserve">m</m:t>
                </m:r>
                <m:r>
                  <m:t xml:space="preserve">)</m:t>
                </m:r>
              </m:sup>
            </m:sSup>
            <m:r>
              <m:t xml:space="preserve">=</m:t>
            </m:r>
            <m:r>
              <m:t xml:space="preserve">−</m:t>
            </m:r>
            <m:f>
              <m:num>
                <m:r>
                  <m:t xml:space="preserve">∇</m:t>
                </m:r>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eqArr>
      </m:oMath>
      <w:r>
        <w:rPr/>
        <w:tab/>
        <w:tab/>
        <w:tab/>
        <w:tab/>
        <w:tab/>
        <w:tab/>
        <w:t>(6)</w:t>
      </w:r>
    </w:p>
    <w:p>
      <w:pPr>
        <w:pStyle w:val="Normal"/>
        <w:ind w:end="-360"/>
        <w:jc w:val="both"/>
        <w:rPr/>
      </w:pPr>
      <w:r>
        <w:rPr/>
        <w:t>Even for complicated limit-state functions, it usually takes only a few iterations to converge to a solution for the design point.  The calculation of the FORM estimate is trivial once the design point is known.  Hence FORM approximation requires only a few evaluations of the payoff function and its gradient.  In the numerical examples presented below the error of FORM approximation was in the range of 2%-4% for exceedance levels in the range of 10</w:t>
      </w:r>
      <w:r>
        <w:rPr>
          <w:rFonts w:cs="Times;Times New Roman" w:ascii="Times;Times New Roman" w:hAnsi="Times;Times New Roman"/>
          <w:vertAlign w:val="superscript"/>
        </w:rPr>
        <w:t xml:space="preserve">-5 </w:t>
      </w:r>
      <w:r>
        <w:rPr/>
        <w:t>to10</w:t>
      </w:r>
      <w:r>
        <w:rPr>
          <w:rFonts w:cs="Times;Times New Roman" w:ascii="Times;Times New Roman" w:hAnsi="Times;Times New Roman"/>
          <w:vertAlign w:val="superscript"/>
        </w:rPr>
        <w:t>-1</w:t>
      </w:r>
      <w:r>
        <w:rPr/>
        <w:t>. The error of FORM decreases for lower probability levels because the limit-state surface becomes flatter.</w:t>
      </w:r>
    </w:p>
    <w:p>
      <w:pPr>
        <w:pStyle w:val="Normal"/>
        <w:ind w:firstLine="360" w:end="-360"/>
        <w:rPr/>
      </w:pPr>
      <w:r>
        <w:rPr/>
      </w:r>
    </w:p>
    <w:p>
      <w:pPr>
        <w:pStyle w:val="BodyText2"/>
        <w:rPr/>
      </w:pPr>
      <w:r>
        <w:rPr/>
        <w:t>To obtain SORM approximation we fit a quadratic (parabolic) surface to the limit-state function by matching the curvatures at the design point, as described in Der Kiureghian and Dakessian, 1998.  The procedure involves the following numerical operations:</w:t>
      </w:r>
    </w:p>
    <w:p>
      <w:pPr>
        <w:pStyle w:val="Normal"/>
        <w:numPr>
          <w:ilvl w:val="0"/>
          <w:numId w:val="2"/>
        </w:numPr>
        <w:ind w:hanging="360" w:start="1080" w:end="-360"/>
        <w:rPr/>
      </w:pPr>
      <w:r>
        <w:rPr/>
        <w:t xml:space="preserve">Calculate the matrix </w:t>
      </w:r>
      <w:r>
        <w:rPr>
          <w:b/>
          <w:i/>
          <w:iCs/>
        </w:rPr>
        <w:t>M</w:t>
      </w:r>
      <w:r>
        <w:rPr/>
        <w:t xml:space="preserve"> of second derivatives </w:t>
      </w:r>
      <w:r>
        <w:rPr/>
      </w:r>
      <m:oMath xmlns:m="http://schemas.openxmlformats.org/officeDocument/2006/math">
        <m:f>
          <m:num>
            <m:sSup>
              <m:e>
                <m:r>
                  <m:t xml:space="preserve">∂</m:t>
                </m:r>
              </m:e>
              <m:sup>
                <m:r>
                  <m:t xml:space="preserve">2</m:t>
                </m:r>
              </m:sup>
            </m:sSup>
            <m:r>
              <m:t xml:space="preserve">G</m:t>
            </m:r>
            <m:r>
              <m:t xml:space="preserve">(</m:t>
            </m:r>
            <m:r>
              <m:t xml:space="preserve">u</m:t>
            </m:r>
            <m:r>
              <m:t xml:space="preserve">)</m:t>
            </m:r>
          </m:num>
          <m:den>
            <m:r>
              <m:t xml:space="preserve">∂</m:t>
            </m:r>
            <m:sSub>
              <m:e>
                <m:r>
                  <m:t xml:space="preserve">u</m:t>
                </m:r>
              </m:e>
              <m:sub>
                <m:r>
                  <m:t xml:space="preserve">i</m:t>
                </m:r>
              </m:sub>
            </m:sSub>
            <m:r>
              <m:t xml:space="preserve">∂</m:t>
            </m:r>
            <m:sSub>
              <m:e>
                <m:r>
                  <m:t xml:space="preserve">u</m:t>
                </m:r>
              </m:e>
              <m:sub>
                <m:r>
                  <m:t xml:space="preserve">j</m:t>
                </m:r>
              </m:sub>
            </m:sSub>
          </m:den>
        </m:f>
        <m:sSub>
          <m:e>
            <m:r>
              <m:t xml:space="preserve">|</m:t>
            </m:r>
          </m:e>
          <m:sub>
            <m:r>
              <m:t xml:space="preserve">u</m:t>
            </m:r>
            <m:r>
              <m:t xml:space="preserve">=</m:t>
            </m:r>
            <m:r>
              <m:t xml:space="preserve">u</m:t>
            </m:r>
            <m:r>
              <m:t xml:space="preserve">∗</m:t>
            </m:r>
          </m:sub>
        </m:sSub>
      </m:oMath>
      <w:r>
        <w:rPr/>
        <w:t xml:space="preserve"> at the design point. </w:t>
      </w:r>
    </w:p>
    <w:p>
      <w:pPr>
        <w:pStyle w:val="Normal"/>
        <w:numPr>
          <w:ilvl w:val="0"/>
          <w:numId w:val="2"/>
        </w:numPr>
        <w:ind w:hanging="360" w:start="1080" w:end="-360"/>
        <w:rPr/>
      </w:pPr>
      <w:r>
        <w:rPr/>
        <w:t xml:space="preserve">Rotate the </w:t>
      </w:r>
      <w:r>
        <w:rPr>
          <w:b/>
          <w:bCs/>
          <w:i/>
          <w:iCs/>
        </w:rPr>
        <w:t>u</w:t>
      </w:r>
      <w:r>
        <w:rPr/>
        <w:t xml:space="preserve">-space coordinate system using an orthogonalization scheme  (e.g., Gram-Schmidt) such that the one of the new axes is collinear with the gradient of </w:t>
      </w:r>
      <w:r>
        <w:rPr>
          <w:i/>
          <w:iCs/>
        </w:rPr>
        <w:t>G</w:t>
      </w:r>
      <w:r>
        <w:rPr/>
        <w:t xml:space="preserve"> (.) at the design point.  </w:t>
      </w:r>
    </w:p>
    <w:p>
      <w:pPr>
        <w:pStyle w:val="Normal"/>
        <w:ind w:end="-360"/>
        <w:rPr/>
      </w:pPr>
      <w:r>
        <w:rPr/>
      </w:r>
    </w:p>
    <w:p>
      <w:pPr>
        <w:pStyle w:val="Normal"/>
        <w:numPr>
          <w:ilvl w:val="0"/>
          <w:numId w:val="2"/>
        </w:numPr>
        <w:ind w:hanging="360" w:start="1080" w:end="-360"/>
        <w:rPr/>
      </w:pPr>
      <w:r>
        <w:rPr/>
        <w:t xml:space="preserve">Map the second-derivatives matrix </w:t>
      </w:r>
      <w:r>
        <w:rPr>
          <w:b/>
          <w:bCs/>
          <w:i/>
          <w:iCs/>
        </w:rPr>
        <w:t>M</w:t>
      </w:r>
      <w:r>
        <w:rPr/>
        <w:t xml:space="preserve"> into the new co-ordinate system.</w:t>
      </w:r>
    </w:p>
    <w:p>
      <w:pPr>
        <w:pStyle w:val="Normal"/>
        <w:numPr>
          <w:ilvl w:val="0"/>
          <w:numId w:val="2"/>
        </w:numPr>
        <w:ind w:hanging="360" w:start="1080" w:end="-360"/>
        <w:rPr/>
      </w:pPr>
      <w:r>
        <w:rPr/>
        <w:t xml:space="preserve">Factorization (e.g., Jacobi) of the transformed matrix </w:t>
      </w:r>
      <w:r>
        <w:rPr>
          <w:b/>
          <w:bCs/>
          <w:i/>
          <w:iCs/>
        </w:rPr>
        <w:t>M</w:t>
      </w:r>
      <w:r>
        <w:rPr/>
        <w:t>.</w:t>
      </w:r>
    </w:p>
    <w:p>
      <w:pPr>
        <w:pStyle w:val="Normal"/>
        <w:ind w:start="360" w:end="-360"/>
        <w:rPr/>
      </w:pPr>
      <w:r>
        <w:rPr/>
      </w:r>
    </w:p>
    <w:p>
      <w:pPr>
        <w:pStyle w:val="Normal"/>
        <w:ind w:end="-360"/>
        <w:jc w:val="both"/>
        <w:rPr/>
      </w:pPr>
      <w:r>
        <w:rPr/>
        <w:t xml:space="preserve">SORM, is therefore more expensive because an additional </w:t>
      </w:r>
      <w:r>
        <w:rPr>
          <w:i/>
          <w:iCs/>
        </w:rPr>
        <w:t>n(n+1)/2</w:t>
      </w:r>
      <w:r>
        <w:rPr/>
        <w:t xml:space="preserve"> </w:t>
      </w:r>
      <w:r>
        <w:rPr>
          <w:i/>
          <w:iCs/>
        </w:rPr>
        <w:t>G</w:t>
      </w:r>
      <w:r>
        <w:rPr/>
        <w:t xml:space="preserve">-function evaluations are necessary to calculate the </w:t>
      </w:r>
      <w:r>
        <w:rPr>
          <w:i/>
          <w:iCs/>
        </w:rPr>
        <w:t>n(n-1)/2</w:t>
      </w:r>
      <w:r>
        <w:rPr/>
        <w:t xml:space="preserve"> second-order derivatives, where </w:t>
      </w:r>
      <w:r>
        <w:rPr>
          <w:i/>
          <w:iCs/>
        </w:rPr>
        <w:t>n</w:t>
      </w:r>
      <w:r>
        <w:rPr/>
        <w:t xml:space="preserve"> is the number of risk factors.  Other methods (e.g., point fitting method requiring only </w:t>
      </w:r>
      <w:r>
        <w:rPr>
          <w:i/>
          <w:iCs/>
        </w:rPr>
        <w:t>2n</w:t>
      </w:r>
      <w:r>
        <w:rPr/>
        <w:t xml:space="preserve"> </w:t>
      </w:r>
      <w:r>
        <w:rPr>
          <w:i/>
          <w:iCs/>
        </w:rPr>
        <w:t>G</w:t>
      </w:r>
      <w:r>
        <w:rPr/>
        <w:t>-function evaluations) for parabolic-surface fitting are available that are less sensitive to the number of risk factors.  In this work use a formula suggested by Tvedt (given in Madsen, Krenk, and Lind, 1986) to estimate the probability content of the region bounded by the fitted parabolic surface.</w:t>
      </w:r>
    </w:p>
    <w:p>
      <w:pPr>
        <w:pStyle w:val="Normal"/>
        <w:ind w:end="-360"/>
        <w:rPr/>
      </w:pPr>
      <w:r>
        <w:rPr/>
        <w:t xml:space="preserve"> </w:t>
      </w:r>
    </w:p>
    <w:p>
      <w:pPr>
        <w:pStyle w:val="Normal"/>
        <w:ind w:end="-360"/>
        <w:rPr/>
      </w:pPr>
      <w:r>
        <w:rPr/>
        <w:t xml:space="preserve">To locate multiple design points, if they exist, we use an algorithm described in Der Kiureghian and Dakessian, 1998.  This algorithm is based on adding “bulges” to the </w:t>
      </w:r>
      <w:r>
        <w:rPr>
          <w:i/>
          <w:iCs/>
        </w:rPr>
        <w:t>G</w:t>
      </w:r>
      <w:r>
        <w:rPr/>
        <w:t>-function at the identified design point. This forces the search algorithm to look outside the vicinity of the design point that has been already identified.  The probability contribution from the multiple design points is taken into account by computing the union of failure events as is common in series-system reliability analysis.</w:t>
      </w:r>
    </w:p>
    <w:p>
      <w:pPr>
        <w:pStyle w:val="Normal"/>
        <w:ind w:end="-360"/>
        <w:rPr/>
      </w:pPr>
      <w:r>
        <w:rPr/>
      </w:r>
    </w:p>
    <w:p>
      <w:pPr>
        <w:pStyle w:val="Heading1"/>
        <w:rPr/>
      </w:pPr>
      <w:r>
        <w:rPr/>
        <w:t>Mapping to a Standard Gaussian space</w:t>
      </w:r>
    </w:p>
    <w:p>
      <w:pPr>
        <w:pStyle w:val="BodyText3"/>
        <w:rPr/>
      </w:pPr>
      <w:r>
        <w:rPr/>
        <w:t>The FORM/SORM approach exploits the rotational symmetry and rapidly decaying property of the joint probability density function in the standard Gaussian space.  Fortunately Geometric Brownian Motion, the most commonly used assumption of price processes, produces normally distributed log-returns for terminal prices.  As long as the payoff function can be expressed in terms of normally distributed risk factors, which in general may be correlated, mapping of the failure surface to a standard Gaussian space requires only a simple transformation -- a simple translation (to remove mean), scaling (to normalize standard deviation), and rotation (to remove correlation).</w:t>
      </w:r>
    </w:p>
    <w:p>
      <w:pPr>
        <w:pStyle w:val="Normal"/>
        <w:ind w:end="-360"/>
        <w:jc w:val="both"/>
        <w:rPr/>
      </w:pPr>
      <w:r>
        <w:rPr/>
      </w:r>
    </w:p>
    <w:p>
      <w:pPr>
        <w:pStyle w:val="Normal"/>
        <w:ind w:end="-360"/>
        <w:jc w:val="both"/>
        <w:rPr/>
      </w:pPr>
      <w:r>
        <w:rPr/>
        <w:t xml:space="preserve">If the risk factors are fat-tailed, the complete probabilistic description of risk factors requires specification of the joint </w:t>
      </w:r>
      <w:r>
        <w:rPr>
          <w:u w:val="single"/>
        </w:rPr>
        <w:t>non</w:t>
      </w:r>
      <w:r>
        <w:rPr/>
        <w:t xml:space="preserve">-Gaussian distribution function.  In practice, the joint distribution function of all risk factors is seldom available.  It may often be convenient to describe the few skewed and /or fat-tailed risk factors affecting the portfolio by their respective higher marginal moments, e.g., skewness and kurtosis coefficients, or by any other suitable non-Gaussian distributions.  Given the higher moments, the marginal distribution function for a risk factor can implicitly be modeled by a scalar transformation (between the risk factor </w:t>
      </w:r>
      <w:r>
        <w:rPr>
          <w:i/>
          <w:iCs/>
        </w:rPr>
        <w:t>X</w:t>
      </w:r>
      <w:r>
        <w:rPr/>
        <w:t xml:space="preserve"> and the standard Gaussian Variate </w:t>
      </w:r>
      <w:r>
        <w:rPr>
          <w:i/>
          <w:iCs/>
        </w:rPr>
        <w:t>U</w:t>
      </w:r>
      <w:r>
        <w:rPr/>
        <w:t>) using orthogonal Hermite polynomials such that the specified marginal moments match (see Appendix I and Winterstein, De, and Bjerager, 1989).  In general, individual risk factors can be modeled by any suitable scalar Gaussian and non-Gaussian distributions together with linear correlation between pairs of all available risk factors.</w:t>
      </w:r>
    </w:p>
    <w:p>
      <w:pPr>
        <w:pStyle w:val="Normal"/>
        <w:ind w:end="-360"/>
        <w:jc w:val="both"/>
        <w:rPr/>
      </w:pPr>
      <w:r>
        <w:rPr/>
      </w:r>
    </w:p>
    <w:p>
      <w:pPr>
        <w:pStyle w:val="Normal"/>
        <w:ind w:end="-360"/>
        <w:jc w:val="both"/>
        <w:rPr/>
      </w:pPr>
      <w:r>
        <w:rPr/>
        <w:t xml:space="preserve">Following Nataf model (see Der Kiureghian and Liu, 1986) the risk factors (in general non-Gaussian) are first transformed into </w:t>
      </w:r>
      <w:r>
        <w:rPr>
          <w:u w:val="single"/>
        </w:rPr>
        <w:t>correlated</w:t>
      </w:r>
      <w:r>
        <w:rPr/>
        <w:t xml:space="preserve"> standard Gaussian variables.  For example, consider a pair of random variables (</w:t>
      </w:r>
      <w:r>
        <w:rPr>
          <w:i/>
          <w:iCs/>
        </w:rPr>
        <w:t>X</w:t>
      </w:r>
      <w:r>
        <w:rPr>
          <w:i/>
          <w:iCs/>
          <w:vertAlign w:val="subscript"/>
        </w:rPr>
        <w:t>i</w:t>
      </w:r>
      <w:r>
        <w:rPr>
          <w:i/>
          <w:iCs/>
        </w:rPr>
        <w:t xml:space="preserve"> </w:t>
      </w:r>
      <w:r>
        <w:rPr/>
        <w:t xml:space="preserve">and </w:t>
      </w:r>
      <w:r>
        <w:rPr>
          <w:i/>
          <w:iCs/>
        </w:rPr>
        <w:t>X</w:t>
      </w:r>
      <w:r>
        <w:rPr>
          <w:i/>
          <w:iCs/>
          <w:vertAlign w:val="subscript"/>
        </w:rPr>
        <w:t>j</w:t>
      </w:r>
      <w:r>
        <w:rPr/>
        <w:t xml:space="preserve">) whose marginal distributions are known.  Let </w:t>
      </w:r>
      <w:r>
        <w:rPr>
          <w:rFonts w:cs="Symbol" w:ascii="Symbol" w:hAnsi="Symbol"/>
          <w:i/>
          <w:iCs/>
        </w:rPr>
        <w:sym w:font="Symbol" w:char="f072"/>
      </w:r>
      <w:r>
        <w:rPr>
          <w:i/>
          <w:iCs/>
          <w:vertAlign w:val="subscript"/>
        </w:rPr>
        <w:t>x</w:t>
      </w:r>
      <w:r>
        <w:rPr/>
        <w:t xml:space="preserve"> be the correlation coefficient between the pair </w:t>
      </w:r>
      <w:r>
        <w:rPr>
          <w:i/>
          <w:iCs/>
        </w:rPr>
        <w:t>X</w:t>
      </w:r>
      <w:r>
        <w:rPr>
          <w:i/>
          <w:iCs/>
          <w:vertAlign w:val="subscript"/>
        </w:rPr>
        <w:t>i</w:t>
      </w:r>
      <w:r>
        <w:rPr/>
        <w:t xml:space="preserve"> and </w:t>
      </w:r>
      <w:r>
        <w:rPr>
          <w:i/>
          <w:iCs/>
        </w:rPr>
        <w:t>X</w:t>
      </w:r>
      <w:r>
        <w:rPr>
          <w:i/>
          <w:iCs/>
          <w:vertAlign w:val="subscript"/>
        </w:rPr>
        <w:t>j</w:t>
      </w:r>
      <w:r>
        <w:rPr/>
        <w:t xml:space="preserve">.  The random variables are first mapped into standard (but correlated) Gaussian Variables </w:t>
      </w:r>
      <w:r>
        <w:rPr>
          <w:i/>
          <w:iCs/>
        </w:rPr>
        <w:t>U</w:t>
      </w:r>
      <w:r>
        <w:rPr>
          <w:i/>
          <w:iCs/>
          <w:vertAlign w:val="subscript"/>
        </w:rPr>
        <w:t>i</w:t>
      </w:r>
      <w:r>
        <w:rPr/>
        <w:t xml:space="preserve"> and </w:t>
      </w:r>
      <w:r>
        <w:rPr>
          <w:i/>
          <w:iCs/>
        </w:rPr>
        <w:t>U</w:t>
      </w:r>
      <w:r>
        <w:rPr>
          <w:i/>
          <w:iCs/>
          <w:vertAlign w:val="subscript"/>
        </w:rPr>
        <w:t>j</w:t>
      </w:r>
      <w:r>
        <w:rPr/>
        <w:t xml:space="preserve">.  Hence </w:t>
      </w:r>
      <w:r>
        <w:rPr>
          <w:i/>
          <w:iCs/>
        </w:rPr>
        <w:t>U</w:t>
      </w:r>
      <w:r>
        <w:rPr>
          <w:i/>
          <w:iCs/>
          <w:vertAlign w:val="subscript"/>
        </w:rPr>
        <w:t>k</w:t>
      </w:r>
      <w:r>
        <w:rPr>
          <w:i/>
          <w:iCs/>
        </w:rPr>
        <w:t>=</w:t>
      </w:r>
      <w:r>
        <w:rPr>
          <w:rFonts w:cs="Symbol" w:ascii="Symbol" w:hAnsi="Symbol"/>
          <w:i/>
          <w:iCs/>
        </w:rPr>
        <w:sym w:font="Symbol" w:char="f046"/>
      </w:r>
      <w:r>
        <w:rPr>
          <w:rFonts w:cs="Symbol" w:ascii="Symbol" w:hAnsi="Symbol"/>
          <w:i/>
          <w:iCs/>
          <w:sz w:val="20"/>
          <w:vertAlign w:val="superscript"/>
        </w:rPr>
        <w:sym w:font="Symbol" w:char="f02d"/>
        <w:sym w:font="Symbol" w:char="f031"/>
      </w:r>
      <w:r>
        <w:rPr>
          <w:i/>
          <w:iCs/>
        </w:rPr>
        <w:t>[F</w:t>
      </w:r>
      <w:r>
        <w:rPr>
          <w:i/>
          <w:iCs/>
          <w:vertAlign w:val="subscript"/>
        </w:rPr>
        <w:t>Xk</w:t>
      </w:r>
      <w:r>
        <w:rPr>
          <w:i/>
          <w:iCs/>
        </w:rPr>
        <w:t>(x</w:t>
      </w:r>
      <w:r>
        <w:rPr>
          <w:i/>
          <w:iCs/>
          <w:vertAlign w:val="subscript"/>
        </w:rPr>
        <w:t>k</w:t>
      </w:r>
      <w:r>
        <w:rPr>
          <w:i/>
          <w:iCs/>
        </w:rPr>
        <w:t>)</w:t>
      </w:r>
      <w:r>
        <w:rPr/>
        <w:t xml:space="preserve">]; k = i, j.  </w:t>
      </w:r>
    </w:p>
    <w:p>
      <w:pPr>
        <w:pStyle w:val="Normal"/>
        <w:ind w:end="-360"/>
        <w:jc w:val="both"/>
        <w:rPr/>
      </w:pPr>
      <w:r>
        <w:rPr/>
      </w:r>
    </w:p>
    <w:p>
      <w:pPr>
        <w:pStyle w:val="Normal"/>
        <w:ind w:end="-360"/>
        <w:jc w:val="both"/>
        <w:rPr/>
      </w:pPr>
      <w:r>
        <w:rPr/>
        <w:t xml:space="preserve">The “equivalent Gaussian correlation” </w:t>
      </w:r>
      <w:r>
        <w:rPr>
          <w:rFonts w:cs="Symbol" w:ascii="Symbol" w:hAnsi="Symbol"/>
          <w:i/>
          <w:iCs/>
        </w:rPr>
        <w:sym w:font="Symbol" w:char="f072"/>
      </w:r>
      <w:r>
        <w:rPr>
          <w:i/>
          <w:iCs/>
          <w:vertAlign w:val="subscript"/>
        </w:rPr>
        <w:t>u</w:t>
      </w:r>
      <w:r>
        <w:rPr/>
        <w:t xml:space="preserve"> (correlation between </w:t>
      </w:r>
      <w:r>
        <w:rPr>
          <w:i/>
          <w:iCs/>
        </w:rPr>
        <w:t>U</w:t>
      </w:r>
      <w:r>
        <w:rPr>
          <w:i/>
          <w:iCs/>
          <w:vertAlign w:val="subscript"/>
        </w:rPr>
        <w:t>i</w:t>
      </w:r>
      <w:r>
        <w:rPr>
          <w:i/>
          <w:iCs/>
        </w:rPr>
        <w:t xml:space="preserve"> </w:t>
      </w:r>
      <w:r>
        <w:rPr/>
        <w:t xml:space="preserve">and </w:t>
      </w:r>
      <w:r>
        <w:rPr>
          <w:i/>
          <w:iCs/>
        </w:rPr>
        <w:t>U</w:t>
      </w:r>
      <w:r>
        <w:rPr>
          <w:i/>
          <w:iCs/>
          <w:vertAlign w:val="subscript"/>
        </w:rPr>
        <w:t>j</w:t>
      </w:r>
      <w:r>
        <w:rPr/>
        <w:t xml:space="preserve">) that produces the desired correlation, </w:t>
      </w:r>
      <w:r>
        <w:rPr>
          <w:rFonts w:cs="Symbol" w:ascii="Symbol" w:hAnsi="Symbol"/>
          <w:i/>
          <w:iCs/>
        </w:rPr>
        <w:sym w:font="Symbol" w:char="f072"/>
      </w:r>
      <w:r>
        <w:rPr>
          <w:i/>
          <w:iCs/>
          <w:vertAlign w:val="subscript"/>
        </w:rPr>
        <w:t>x</w:t>
      </w:r>
      <w:r>
        <w:rPr/>
        <w:t xml:space="preserve">, between the corresponding non-Gaussian random variables, </w:t>
      </w:r>
      <w:r>
        <w:rPr>
          <w:i/>
          <w:iCs/>
        </w:rPr>
        <w:t>X</w:t>
      </w:r>
      <w:r>
        <w:rPr>
          <w:i/>
          <w:iCs/>
          <w:vertAlign w:val="subscript"/>
        </w:rPr>
        <w:t>i</w:t>
      </w:r>
      <w:r>
        <w:rPr/>
        <w:t xml:space="preserve"> and </w:t>
      </w:r>
      <w:r>
        <w:rPr>
          <w:i/>
          <w:iCs/>
        </w:rPr>
        <w:t>X</w:t>
      </w:r>
      <w:r>
        <w:rPr>
          <w:i/>
          <w:iCs/>
          <w:vertAlign w:val="subscript"/>
        </w:rPr>
        <w:t>j</w:t>
      </w:r>
      <w:r>
        <w:rPr/>
        <w:t xml:space="preserve">, can be estimated in closed form (using Hermite expansion method) </w:t>
      </w:r>
      <w:r>
        <w:rPr>
          <w:rFonts w:cs="Times;Times New Roman" w:ascii="Times;Times New Roman" w:hAnsi="Times;Times New Roman"/>
        </w:rPr>
        <w:t xml:space="preserve">from either full marginal distributions or a limited number of moments of </w:t>
      </w:r>
      <w:r>
        <w:rPr>
          <w:rFonts w:cs="Times;Times New Roman" w:ascii="Times;Times New Roman" w:hAnsi="Times;Times New Roman"/>
          <w:i/>
          <w:iCs/>
        </w:rPr>
        <w:t>X</w:t>
      </w:r>
      <w:r>
        <w:rPr>
          <w:rFonts w:cs="Times;Times New Roman" w:ascii="Times;Times New Roman" w:hAnsi="Times;Times New Roman"/>
          <w:i/>
          <w:iCs/>
          <w:vertAlign w:val="subscript"/>
        </w:rPr>
        <w:t>i</w:t>
      </w:r>
      <w:r>
        <w:rPr>
          <w:rFonts w:cs="Times;Times New Roman" w:ascii="Times;Times New Roman" w:hAnsi="Times;Times New Roman"/>
        </w:rPr>
        <w:t xml:space="preserve"> and </w:t>
      </w:r>
      <w:r>
        <w:rPr>
          <w:rFonts w:cs="Times;Times New Roman" w:ascii="Times;Times New Roman" w:hAnsi="Times;Times New Roman"/>
          <w:i/>
          <w:iCs/>
        </w:rPr>
        <w:t>X</w:t>
      </w:r>
      <w:r>
        <w:rPr>
          <w:rFonts w:cs="Times;Times New Roman" w:ascii="Times;Times New Roman" w:hAnsi="Times;Times New Roman"/>
          <w:i/>
          <w:iCs/>
          <w:vertAlign w:val="subscript"/>
        </w:rPr>
        <w:t>j</w:t>
      </w:r>
      <w:r>
        <w:rPr/>
        <w:t xml:space="preserve">. These estimates are found to agree well with exact results for </w:t>
      </w:r>
      <w:r>
        <w:rPr>
          <w:rFonts w:cs="Symbol" w:ascii="Symbol" w:hAnsi="Symbol"/>
          <w:i/>
          <w:iCs/>
        </w:rPr>
        <w:sym w:font="Symbol" w:char="f072"/>
      </w:r>
      <w:r>
        <w:rPr>
          <w:i/>
          <w:iCs/>
          <w:vertAlign w:val="subscript"/>
        </w:rPr>
        <w:t>u</w:t>
      </w:r>
      <w:r>
        <w:rPr/>
        <w:t xml:space="preserve"> (see Winterstein, De, and Bjerager, 1989), which require iterative use of double integration over the joint Gaussian density (Der Kiureghian and Liu, 1986).   Appendix I contains details of the algorithm for correlation mapping.  </w:t>
      </w:r>
    </w:p>
    <w:p>
      <w:pPr>
        <w:pStyle w:val="Normal"/>
        <w:ind w:end="-360"/>
        <w:jc w:val="both"/>
        <w:rPr/>
      </w:pPr>
      <w:r>
        <w:rPr/>
      </w:r>
    </w:p>
    <w:p>
      <w:pPr>
        <w:pStyle w:val="BodyText3"/>
        <w:rPr/>
      </w:pPr>
      <w:r>
        <w:rPr/>
        <w:t xml:space="preserve">The mapping framework from a non-Gaussian space to the standard-Gaussian space discussed in this section (and in Appendix I) can be used in conjunction with Monte Carlo Simulation and Analytic VAR methodology.   </w:t>
      </w:r>
    </w:p>
    <w:p>
      <w:pPr>
        <w:pStyle w:val="Normal"/>
        <w:ind w:firstLine="720" w:end="-360"/>
        <w:jc w:val="both"/>
        <w:rPr/>
      </w:pPr>
      <w:r>
        <w:rPr/>
      </w:r>
    </w:p>
    <w:p>
      <w:pPr>
        <w:pStyle w:val="Normal"/>
        <w:ind w:firstLine="720" w:end="-360"/>
        <w:jc w:val="both"/>
        <w:rPr/>
      </w:pPr>
      <w:r>
        <w:rPr/>
      </w:r>
    </w:p>
    <w:p>
      <w:pPr>
        <w:pStyle w:val="Normal"/>
        <w:ind w:firstLine="720" w:end="-360"/>
        <w:jc w:val="both"/>
        <w:rPr/>
      </w:pPr>
      <w:r>
        <w:rPr/>
      </w:r>
    </w:p>
    <w:p>
      <w:pPr>
        <w:pStyle w:val="Normal"/>
        <w:ind w:firstLine="720" w:end="-360"/>
        <w:jc w:val="both"/>
        <w:rPr/>
      </w:pPr>
      <w:r>
        <w:rPr/>
      </w:r>
    </w:p>
    <w:p>
      <w:pPr>
        <w:pStyle w:val="Normal"/>
        <w:ind w:end="-360"/>
        <w:rPr/>
      </w:pPr>
      <w:r>
        <w:rPr/>
      </w:r>
    </w:p>
    <w:p>
      <w:pPr>
        <w:pStyle w:val="Heading1"/>
        <w:rPr/>
      </w:pPr>
      <w:r>
        <w:rPr/>
        <w:t>Numerical results</w:t>
      </w:r>
    </w:p>
    <w:p>
      <w:pPr>
        <w:pStyle w:val="Normal"/>
        <w:ind w:end="-360"/>
        <w:rPr/>
      </w:pPr>
      <w:r>
        <w:rPr/>
        <w:t>We present below a few numerical examples for portfolios of stocks and options.</w:t>
      </w:r>
    </w:p>
    <w:p>
      <w:pPr>
        <w:pStyle w:val="Normal"/>
        <w:ind w:end="-360"/>
        <w:rPr/>
      </w:pPr>
      <w:r>
        <w:rPr/>
      </w:r>
    </w:p>
    <w:p>
      <w:pPr>
        <w:pStyle w:val="Normal"/>
        <w:ind w:end="-360"/>
        <w:rPr>
          <w:b/>
          <w:bCs/>
        </w:rPr>
      </w:pPr>
      <w:r>
        <w:rPr>
          <w:b/>
          <w:bCs/>
        </w:rPr>
        <w:t xml:space="preserve">Enron’s equity portfolio of 170 stocks and options </w:t>
      </w:r>
    </w:p>
    <w:p>
      <w:pPr>
        <w:pStyle w:val="Normal"/>
        <w:ind w:end="-360"/>
        <w:jc w:val="both"/>
        <w:rPr/>
      </w:pPr>
      <w:r>
        <w:rPr/>
        <w:t>For Enron’s equity portfolio of 170 stocks and options we calculate the tail of the distribution of daily change in the portfolio value using first- and second-order reliability methods. The second-order method gives us a correction in the range of 3.8%-1.5% versus the first-order method results. We also present the results of Monte-Carlo simulation with 5,000 and 50,000 simulations (see Figure 2). Finding the first design point followed by a FORM estimate of probability without the curvature correction is very fast and sufficiently accurate in most real-life situations.</w:t>
      </w:r>
    </w:p>
    <w:p>
      <w:pPr>
        <w:pStyle w:val="Normal"/>
        <w:ind w:start="720" w:end="-360"/>
        <w:jc w:val="both"/>
        <w:rPr/>
      </w:pPr>
      <w:r>
        <w:rPr/>
      </w:r>
    </w:p>
    <w:p>
      <w:pPr>
        <w:pStyle w:val="BlockText"/>
        <w:ind w:start="0" w:end="-360"/>
        <w:jc w:val="both"/>
        <w:rPr/>
      </w:pPr>
      <w:r>
        <w:rPr/>
        <w:t xml:space="preserve">Since we are examining the performance of a new technique we wanted to test the method for a problem with a very non-linear limit-state surface and more specifically where delta-gamma representation is inadequate.   For hedged portfolios, such is the case and hence VAR results based on linear approximation of the failure surface (e.g., using FORM) as well as results based on delta-gamma representation of the payoff function (e.g., using Analytic VAR, SORM or Monte Carlo) will produce quite different results from that obtained from Monte Carlo simulation with full options revaluation for each set of simulated price. </w:t>
      </w:r>
    </w:p>
    <w:p>
      <w:pPr>
        <w:pStyle w:val="BlockText"/>
        <w:ind w:start="0" w:end="-360"/>
        <w:rPr/>
      </w:pPr>
      <w:r>
        <w:rPr/>
      </w:r>
    </w:p>
    <w:p>
      <w:pPr>
        <w:pStyle w:val="BlockText"/>
        <w:ind w:start="0" w:end="-360"/>
        <w:rPr>
          <w:b/>
          <w:bCs/>
        </w:rPr>
      </w:pPr>
      <w:r>
        <w:rPr>
          <w:b/>
          <w:bCs/>
        </w:rPr>
        <w:t>Hedged portfolio of stocks and options</w:t>
      </w:r>
    </w:p>
    <w:p>
      <w:pPr>
        <w:pStyle w:val="BlockText"/>
        <w:ind w:start="0" w:end="-360"/>
        <w:jc w:val="both"/>
        <w:rPr/>
      </w:pPr>
      <w:r>
        <w:rPr/>
        <w:t>In this example we considered a portfolio of 30 stock and option pairs. We assume lognormal distribution for 60 underlying stock prices. The correlations between the stocks are assumed to be of the form:</w:t>
      </w:r>
    </w:p>
    <w:p>
      <w:pPr>
        <w:pStyle w:val="Normal"/>
        <w:ind w:end="-360"/>
        <w:rPr/>
      </w:pPr>
      <w:r>
        <w:rPr/>
      </w:r>
      <m:oMath xmlns:m="http://schemas.openxmlformats.org/officeDocument/2006/math">
        <m:sSub>
          <m:e>
            <m:r>
              <m:t xml:space="preserve">ρ</m:t>
            </m:r>
          </m:e>
          <m:sub>
            <m:r>
              <m:rPr>
                <m:lit/>
                <m:nor/>
              </m:rPr>
              <m:t xml:space="preserve">ij</m:t>
            </m:r>
          </m:sub>
        </m:sSub>
        <m:r>
          <m:t xml:space="preserve">=</m:t>
        </m:r>
        <m:f>
          <m:num>
            <m:r>
              <m:t xml:space="preserve">1</m:t>
            </m:r>
          </m:num>
          <m:den>
            <m:r>
              <m:t xml:space="preserve">1</m:t>
            </m:r>
            <m:r>
              <m:t xml:space="preserve">+</m:t>
            </m:r>
            <m:r>
              <m:t xml:space="preserve">0</m:t>
            </m:r>
            <m:r>
              <m:rPr>
                <m:lit/>
                <m:nor/>
              </m:rPr>
              <m:t xml:space="preserve">.</m:t>
            </m:r>
            <m:r>
              <m:rPr>
                <m:lit/>
                <m:nor/>
              </m:rPr>
              <m:t xml:space="preserve">02</m:t>
            </m:r>
            <m:d>
              <m:dPr>
                <m:begChr m:val="|"/>
                <m:endChr m:val="|"/>
              </m:dPr>
              <m:e>
                <m:r>
                  <m:t xml:space="preserve">i</m:t>
                </m:r>
                <m:r>
                  <m:t xml:space="preserve">−</m:t>
                </m:r>
                <m:r>
                  <m:t xml:space="preserve">j</m:t>
                </m:r>
              </m:e>
            </m:d>
          </m:den>
        </m:f>
      </m:oMath>
      <w:r>
        <w:rPr/>
        <w:t xml:space="preserve"> </w:t>
      </w:r>
    </w:p>
    <w:p>
      <w:pPr>
        <w:pStyle w:val="BodyText3"/>
        <w:rPr/>
      </w:pPr>
      <w:r>
        <w:rPr/>
        <w:t xml:space="preserve">The options are American and European at-the-money options expiring in 5 days. The volatilities range from 20% to 110%. For each stock and option pair, the number of shares of stock is chosen to approximately hedge the corresponding option position. The portfolio contains 1000 shares of options on stocks number 1, 3, 5, …, 59 and 550 shares of stocks number 2, 4, 6, …, 60. A portfolio constructed in this way has very significant gammas. Figure 3 below shows the tail of probability distribution for this portfolio calculated by three different methods: Monte-Carlo simulation, Analytical VAR and FORM/SORM (Reliability VAR). As we expect Analytical VAR which is based on delta-gamma representation of the positions in this case produces very different results from Monte-Carlo and FORM/SORM methods. On the other hand, Monte-Carlo requires many simulations to accurately estimate the tail of the distribution. In our example we used 100,000 simulations and the results are in a good agreement for percentiles </w:t>
      </w:r>
      <w:r>
        <w:rPr>
          <w:i/>
          <w:iCs/>
        </w:rPr>
        <w:t>p</w:t>
      </w:r>
      <w:r>
        <w:rPr/>
        <w:t xml:space="preserve"> greater than 0.08%. For </w:t>
      </w:r>
      <w:r>
        <w:rPr>
          <w:i/>
          <w:iCs/>
        </w:rPr>
        <w:t>p</w:t>
      </w:r>
      <w:r>
        <w:rPr/>
        <w:t xml:space="preserve"> &lt; 0.08% the accuracy of Monte-Carlo method is not sufficient. The time expenditures are 20 sec. for Analytical VAR, 35 sec for Reliability VAR and 55 sec for Monte-Carlo on a Pentium III desk-top computer. In this example, the accurate calculation with FORM/SORM method requires finding two closest design points and second-order approximation at design points.</w:t>
      </w:r>
    </w:p>
    <w:p>
      <w:pPr>
        <w:pStyle w:val="BodyText2"/>
        <w:rPr/>
      </w:pPr>
      <w:r>
        <w:rPr/>
      </w:r>
    </w:p>
    <w:p>
      <w:pPr>
        <w:pStyle w:val="Normal"/>
        <w:ind w:end="-360"/>
        <w:rPr/>
      </w:pPr>
      <w:r>
        <w:rPr/>
      </w:r>
    </w:p>
    <w:p>
      <w:pPr>
        <w:pStyle w:val="Normal"/>
        <w:ind w:end="-360"/>
        <w:rPr/>
      </w:pPr>
      <w:r>
        <w:rPr/>
      </w:r>
    </w:p>
    <w:p>
      <w:pPr>
        <w:pStyle w:val="Normal"/>
        <w:ind w:end="-360"/>
        <w:rPr/>
      </w:pPr>
      <w:r>
        <w:rPr/>
      </w:r>
    </w:p>
    <w:p>
      <w:pPr>
        <w:pStyle w:val="Normal"/>
        <w:ind w:end="-360"/>
        <w:rPr/>
      </w:pPr>
      <w:r>
        <w:rPr/>
      </w:r>
    </w:p>
    <w:p>
      <w:pPr>
        <w:pStyle w:val="BlockText"/>
        <w:ind w:start="0" w:end="-360"/>
        <w:rPr>
          <w:b/>
          <w:bCs/>
        </w:rPr>
      </w:pPr>
      <w:r>
        <w:rPr>
          <w:b/>
          <w:bCs/>
        </w:rPr>
        <w:t>Matching four moments of marginal distributions and correlations across underlying stocks for “fat-tailed” distribution.</w:t>
      </w:r>
    </w:p>
    <w:p>
      <w:pPr>
        <w:pStyle w:val="BlockText"/>
        <w:ind w:start="0" w:end="-360"/>
        <w:jc w:val="both"/>
        <w:rPr/>
      </w:pPr>
      <w:r>
        <w:rPr/>
        <w:t>In this experiment we consider again the portfolio of the same 30 stock-option pairs described in the preceding section.  We further assume that the marginal distributions of stock log-returns have equal skewness of 0 and equal kurtosis of 4, i.e., the distributions are “fat tailed”.  Following the approach outlined in Appendix I we map the marginal distributions and correlations into standard Gaussian space.  Figure 4 shows the tail of   distribution of portfolio returns, calculated using FORM/SORM (Reliability VAR) and Monte-Carlo simulation. For Monte-Carlo simulation, we used the same transformation used in FORM/SORM to simulate log-returns with prescribed marginal moments and pair-wise correlations.   In Figure 4, we also present distribution results for normally distributed log-returns having identical second-moment specifications, i.e., means, standard deviations, and pair-wise correlations between them. As expected for lower exceedance thresholds the two distributions diverge.  We used 100,000 Monte-Carlo simulations. The Reliability VAR results are based on SORM approximation. The computational expense for this case is not higher than for normally distributed risk factors.</w:t>
      </w:r>
    </w:p>
    <w:p>
      <w:pPr>
        <w:pStyle w:val="Normal"/>
        <w:ind w:start="360" w:end="-360"/>
        <w:rPr/>
      </w:pPr>
      <w:r>
        <w:rPr/>
        <w:t xml:space="preserve"> </w:t>
      </w:r>
    </w:p>
    <w:p>
      <w:pPr>
        <w:pStyle w:val="Heading1"/>
        <w:rPr/>
      </w:pPr>
      <w:r>
        <w:rPr/>
        <w:t>Conclusions</w:t>
      </w:r>
    </w:p>
    <w:p>
      <w:pPr>
        <w:pStyle w:val="BodyText3"/>
        <w:rPr/>
      </w:pPr>
      <w:r>
        <w:rPr/>
        <w:t xml:space="preserve">We successfully demonstrate the application and advantages of first- and second order structural reliability methods (FORM/SORM) in estimating tail probabilities of portfolio returns.  FORM/SORM produce faster and more accurate results compared to standard methods used in financial mathematics. We also show that the proposed framework works in the presence of risk factors with so-called “fat tails”.  High accuracy and much reduced computational burden allow FORM/SORM (Reliability VAR) very suitable for calculation of  Value-at-Risk and  additional risk measures such as Expected Tail Loss. </w:t>
      </w:r>
      <w:r>
        <w:br w:type="page"/>
      </w:r>
    </w:p>
    <w:p>
      <w:pPr>
        <w:pStyle w:val="Normal"/>
        <w:ind w:start="360" w:end="-360"/>
        <w:rPr/>
      </w:pPr>
      <w:r>
        <w:rPr/>
      </w:r>
    </w:p>
    <w:p>
      <w:pPr>
        <w:pStyle w:val="Normal"/>
        <w:ind w:end="-360"/>
        <w:rPr/>
      </w:pPr>
      <w:r>
        <w:rPr/>
      </w:r>
    </w:p>
    <w:p>
      <w:pPr>
        <w:pStyle w:val="Normal"/>
        <w:ind w:end="-360"/>
        <w:rPr/>
      </w:pPr>
      <w:r>
        <w:rPr/>
        <w:drawing>
          <wp:inline distT="0" distB="0" distL="0" distR="0">
            <wp:extent cx="5655945" cy="570674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0"/>
                    <a:srcRect l="-7" t="-7" r="-7" b="-7"/>
                    <a:stretch>
                      <a:fillRect/>
                    </a:stretch>
                  </pic:blipFill>
                  <pic:spPr bwMode="auto">
                    <a:xfrm>
                      <a:off x="0" y="0"/>
                      <a:ext cx="5655945" cy="5706745"/>
                    </a:xfrm>
                    <a:prstGeom prst="rect">
                      <a:avLst/>
                    </a:prstGeom>
                    <a:noFill/>
                  </pic:spPr>
                </pic:pic>
              </a:graphicData>
            </a:graphic>
          </wp:inline>
        </w:drawing>
      </w:r>
    </w:p>
    <w:p>
      <w:pPr>
        <w:pStyle w:val="Normal"/>
        <w:ind w:end="-360"/>
        <w:rPr/>
      </w:pPr>
      <w:r>
        <w:rPr/>
        <w:t>Figure 2. Performance of  “Reliability” VAR method for Enron’s portfolio</w:t>
      </w:r>
    </w:p>
    <w:p>
      <w:pPr>
        <w:pStyle w:val="Normal"/>
        <w:ind w:end="-360"/>
        <w:rPr/>
      </w:pPr>
      <w:r>
        <w:rPr/>
      </w:r>
    </w:p>
    <w:p>
      <w:pPr>
        <w:pStyle w:val="Normal"/>
        <w:ind w:end="-360"/>
        <w:rPr/>
      </w:pPr>
      <w:r>
        <w:rPr/>
      </w:r>
    </w:p>
    <w:p>
      <w:pPr>
        <w:pStyle w:val="Normal"/>
        <w:ind w:end="-360"/>
        <w:rPr/>
      </w:pPr>
      <w:r>
        <w:rPr/>
      </w:r>
    </w:p>
    <w:p>
      <w:pPr>
        <w:pStyle w:val="Normal"/>
        <w:ind w:end="-360"/>
        <w:rPr/>
      </w:pPr>
      <w:r>
        <w:rPr/>
      </w:r>
    </w:p>
    <w:p>
      <w:pPr>
        <w:pStyle w:val="Normal"/>
        <w:ind w:end="-360"/>
        <w:rPr/>
      </w:pPr>
      <w:r>
        <w:rPr/>
        <w:drawing>
          <wp:inline distT="0" distB="0" distL="0" distR="0">
            <wp:extent cx="5484495" cy="515556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1"/>
                    <a:srcRect l="-6" t="-7" r="-6" b="-7"/>
                    <a:stretch>
                      <a:fillRect/>
                    </a:stretch>
                  </pic:blipFill>
                  <pic:spPr bwMode="auto">
                    <a:xfrm>
                      <a:off x="0" y="0"/>
                      <a:ext cx="5484495" cy="5155565"/>
                    </a:xfrm>
                    <a:prstGeom prst="rect">
                      <a:avLst/>
                    </a:prstGeom>
                    <a:noFill/>
                  </pic:spPr>
                </pic:pic>
              </a:graphicData>
            </a:graphic>
          </wp:inline>
        </w:drawing>
      </w:r>
    </w:p>
    <w:p>
      <w:pPr>
        <w:pStyle w:val="Normal"/>
        <w:ind w:end="-360"/>
        <w:rPr/>
      </w:pPr>
      <w:r>
        <w:rPr/>
      </w:r>
    </w:p>
    <w:p>
      <w:pPr>
        <w:pStyle w:val="Normal"/>
        <w:ind w:end="-360"/>
        <w:rPr/>
      </w:pPr>
      <w:r>
        <w:rPr/>
        <w:t>Figure 3. Comparison of different methods of calculating the tail of the probability distribution for a hedged portfolio of stocks and options; stock prices are lognormally distributed.</w:t>
      </w:r>
    </w:p>
    <w:p>
      <w:pPr>
        <w:pStyle w:val="Normal"/>
        <w:ind w:end="-360"/>
        <w:rPr/>
      </w:pPr>
      <w:r>
        <w:rPr/>
      </w:r>
    </w:p>
    <w:p>
      <w:pPr>
        <w:pStyle w:val="Normal"/>
        <w:ind w:end="-360"/>
        <w:rPr/>
      </w:pPr>
      <w:r>
        <w:rPr/>
      </w:r>
      <w:r>
        <w:br w:type="page"/>
      </w:r>
    </w:p>
    <w:p>
      <w:pPr>
        <w:pStyle w:val="Normal"/>
        <w:ind w:end="-360"/>
        <w:rPr/>
      </w:pPr>
      <w:r>
        <w:rPr/>
        <w:drawing>
          <wp:inline distT="0" distB="0" distL="0" distR="0">
            <wp:extent cx="5486400" cy="515302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2"/>
                    <a:srcRect l="-7" t="-7" r="-7" b="-7"/>
                    <a:stretch>
                      <a:fillRect/>
                    </a:stretch>
                  </pic:blipFill>
                  <pic:spPr bwMode="auto">
                    <a:xfrm>
                      <a:off x="0" y="0"/>
                      <a:ext cx="5486400" cy="5153025"/>
                    </a:xfrm>
                    <a:prstGeom prst="rect">
                      <a:avLst/>
                    </a:prstGeom>
                    <a:noFill/>
                  </pic:spPr>
                </pic:pic>
              </a:graphicData>
            </a:graphic>
          </wp:inline>
        </w:drawing>
      </w:r>
    </w:p>
    <w:p>
      <w:pPr>
        <w:pStyle w:val="Normal"/>
        <w:ind w:end="-360"/>
        <w:rPr/>
      </w:pPr>
      <w:r>
        <w:rPr/>
        <w:t>Figure 4. Reliability VAR applied to “fat-tailed” risk factors (matching 4 moments for marginal distributions and correlations across underlying stocks, kurtosis coefficients of log-returns equal to 4).</w:t>
      </w:r>
    </w:p>
    <w:p>
      <w:pPr>
        <w:pStyle w:val="Normal"/>
        <w:ind w:end="-360"/>
        <w:rPr/>
      </w:pPr>
      <w:r>
        <w:rPr/>
      </w:r>
      <w:r>
        <w:br w:type="page"/>
      </w:r>
    </w:p>
    <w:p>
      <w:pPr>
        <w:pStyle w:val="Normal"/>
        <w:ind w:end="-360"/>
        <w:rPr/>
      </w:pPr>
      <w:r>
        <w:rPr/>
      </w:r>
    </w:p>
    <w:p>
      <w:pPr>
        <w:pStyle w:val="Heading1"/>
        <w:rPr/>
      </w:pPr>
      <w:r>
        <w:rPr/>
        <w:t>References</w:t>
      </w:r>
    </w:p>
    <w:p>
      <w:pPr>
        <w:pStyle w:val="Normal"/>
        <w:rPr/>
      </w:pPr>
      <w:r>
        <w:rPr/>
      </w:r>
    </w:p>
    <w:p>
      <w:pPr>
        <w:pStyle w:val="BodyText2"/>
        <w:rPr/>
      </w:pPr>
      <w:r>
        <w:rPr/>
        <w:t>DER KEREGHIAN and LIU, P.-L.: “ Structural Reliability under Incomplete Probability Information”, J. Eng. Mech., Vol. 112, No.1,1986, pp. 85-104.</w:t>
      </w:r>
    </w:p>
    <w:p>
      <w:pPr>
        <w:pStyle w:val="Normal"/>
        <w:ind w:end="-360"/>
        <w:rPr/>
      </w:pPr>
      <w:r>
        <w:rPr/>
      </w:r>
    </w:p>
    <w:p>
      <w:pPr>
        <w:pStyle w:val="Normal"/>
        <w:ind w:end="-360"/>
        <w:rPr/>
      </w:pPr>
      <w:r>
        <w:rPr/>
        <w:t>DER KEREGHIAN, A. and DAKESSIAN, T.:  “Multiple Design Points in First and Second-Order Reliability”, Structural Safety, Vol. 20 (1998), pp. 37-49</w:t>
      </w:r>
    </w:p>
    <w:p>
      <w:pPr>
        <w:pStyle w:val="Normal"/>
        <w:ind w:end="-360"/>
        <w:rPr/>
      </w:pPr>
      <w:r>
        <w:rPr/>
      </w:r>
    </w:p>
    <w:p>
      <w:pPr>
        <w:pStyle w:val="Normal"/>
        <w:ind w:end="-360"/>
        <w:rPr/>
      </w:pPr>
      <w:r>
        <w:rPr/>
        <w:t>DUFFIE, D. and PAN, J.: “Analytical Value-At-Risk with Jumps and Credit Risk”, Working Paper, draft dated, November 29, 1999.</w:t>
      </w:r>
    </w:p>
    <w:p>
      <w:pPr>
        <w:pStyle w:val="Normal"/>
        <w:ind w:end="-360"/>
        <w:rPr/>
      </w:pPr>
      <w:r>
        <w:rPr/>
      </w:r>
    </w:p>
    <w:p>
      <w:pPr>
        <w:pStyle w:val="Normal"/>
        <w:ind w:end="-360"/>
        <w:rPr/>
      </w:pPr>
      <w:r>
        <w:rPr/>
        <w:t xml:space="preserve">MADSEN, H. O., KRENK S., and LIND N.C.:  “Methods of Structural Safety”, Prentice Hall, Inc., USA, 1986 </w:t>
      </w:r>
    </w:p>
    <w:p>
      <w:pPr>
        <w:pStyle w:val="Normal"/>
        <w:ind w:end="-360"/>
        <w:rPr/>
      </w:pPr>
      <w:r>
        <w:rPr/>
      </w:r>
    </w:p>
    <w:p>
      <w:pPr>
        <w:pStyle w:val="Normal"/>
        <w:ind w:end="-360"/>
        <w:rPr/>
      </w:pPr>
      <w:r>
        <w:rPr/>
        <w:t xml:space="preserve">WINTERSTEIN, S.R., DE, R.S., and BJERAGER, P.:  Correlated Non-Gaussian Models in Offshore Structural Reliability”, Presented at the Fifth International Conference on </w:t>
      </w:r>
    </w:p>
    <w:p>
      <w:pPr>
        <w:pStyle w:val="Normal"/>
        <w:ind w:end="-360"/>
        <w:rPr/>
      </w:pPr>
      <w:r>
        <w:rPr/>
        <w:t xml:space="preserve">Structural Safety and Reliability, ASCE, San Fransisco, 1989 </w:t>
      </w:r>
    </w:p>
    <w:p>
      <w:pPr>
        <w:pStyle w:val="Normal"/>
        <w:ind w:end="-360"/>
        <w:rPr/>
      </w:pPr>
      <w:r>
        <w:rPr/>
      </w:r>
    </w:p>
    <w:p>
      <w:pPr>
        <w:pStyle w:val="Normal"/>
        <w:ind w:end="-360"/>
        <w:rPr/>
      </w:pPr>
      <w:r>
        <w:rPr/>
        <w:t>WINTERSTEIN, S.R.: Moment-Based Hermite Models of Random Vibrations, Report No. 219, Series R, Department of Structural Engineering, Technical University of Denmark, Lyngby, Denmark, 1987.</w:t>
      </w:r>
    </w:p>
    <w:p>
      <w:pPr>
        <w:pStyle w:val="Normal"/>
        <w:ind w:end="-360"/>
        <w:rPr/>
      </w:pPr>
      <w:r>
        <w:rPr/>
      </w:r>
    </w:p>
    <w:p>
      <w:pPr>
        <w:pStyle w:val="Heading1"/>
        <w:jc w:val="center"/>
        <w:rPr/>
      </w:pPr>
      <w:r>
        <w:rPr/>
        <w:t>APPENDIX I</w:t>
      </w:r>
    </w:p>
    <w:p>
      <w:pPr>
        <w:pStyle w:val="Normal"/>
        <w:rPr/>
      </w:pPr>
      <w:r>
        <w:rPr/>
      </w:r>
    </w:p>
    <w:p>
      <w:pPr>
        <w:pStyle w:val="Heading4"/>
        <w:ind w:hanging="0" w:start="0"/>
        <w:rPr/>
      </w:pPr>
      <w:r>
        <w:rPr/>
        <w:t xml:space="preserve">Scalar Transformation from </w:t>
      </w:r>
      <w:r>
        <w:rPr>
          <w:i/>
          <w:iCs/>
        </w:rPr>
        <w:t>x</w:t>
      </w:r>
      <w:r>
        <w:rPr/>
        <w:t xml:space="preserve">- to </w:t>
      </w:r>
      <w:r>
        <w:rPr>
          <w:i/>
          <w:iCs/>
        </w:rPr>
        <w:t>u</w:t>
      </w:r>
      <w:r>
        <w:rPr/>
        <w:t>-space</w:t>
      </w:r>
    </w:p>
    <w:p>
      <w:pPr>
        <w:pStyle w:val="Normal"/>
        <w:rPr/>
      </w:pPr>
      <w:r>
        <w:rPr/>
        <w:t xml:space="preserve">If the cumulative distribution function </w:t>
      </w:r>
      <w:r>
        <w:rPr>
          <w:i/>
          <w:iCs/>
        </w:rPr>
        <w:t>F</w:t>
      </w:r>
      <w:r>
        <w:rPr>
          <w:i/>
          <w:iCs/>
          <w:vertAlign w:val="subscript"/>
        </w:rPr>
        <w:t>x</w:t>
      </w:r>
      <w:r>
        <w:rPr>
          <w:i/>
          <w:iCs/>
        </w:rPr>
        <w:t xml:space="preserve"> </w:t>
      </w:r>
      <w:r>
        <w:rPr/>
        <w:t xml:space="preserve">(.) of  a random variable </w:t>
      </w:r>
      <w:r>
        <w:rPr>
          <w:i/>
          <w:iCs/>
        </w:rPr>
        <w:t>X</w:t>
      </w:r>
      <w:r>
        <w:rPr/>
        <w:t xml:space="preserve"> is known, the transformation from </w:t>
      </w:r>
      <w:r>
        <w:rPr>
          <w:i/>
          <w:iCs/>
        </w:rPr>
        <w:t>x</w:t>
      </w:r>
      <w:r>
        <w:rPr/>
        <w:t xml:space="preserve">-space to </w:t>
      </w:r>
      <w:r>
        <w:rPr>
          <w:i/>
          <w:iCs/>
        </w:rPr>
        <w:t>u</w:t>
      </w:r>
      <w:r>
        <w:rPr/>
        <w:t>-space can be written directly as:</w:t>
      </w:r>
    </w:p>
    <w:p>
      <w:pPr>
        <w:pStyle w:val="Normal"/>
        <w:rPr/>
      </w:pPr>
      <w:r>
        <w:rPr/>
      </w:r>
    </w:p>
    <w:p>
      <w:pPr>
        <w:pStyle w:val="Normal"/>
        <w:rPr/>
      </w:pPr>
      <w:r>
        <w:rPr>
          <w:i/>
          <w:iCs/>
        </w:rPr>
        <w:t>x = T</w:t>
      </w:r>
      <w:r>
        <w:rPr/>
        <w:t>(</w:t>
      </w:r>
      <w:r>
        <w:rPr>
          <w:i/>
          <w:iCs/>
        </w:rPr>
        <w:t>u</w:t>
      </w:r>
      <w:r>
        <w:rPr/>
        <w:t xml:space="preserve">) = </w:t>
      </w:r>
      <w:r>
        <w:rPr>
          <w:i/>
          <w:iCs/>
        </w:rPr>
        <w:t>F</w:t>
      </w:r>
      <w:r>
        <w:rPr>
          <w:i/>
          <w:iCs/>
          <w:vertAlign w:val="subscript"/>
        </w:rPr>
        <w:t>x</w:t>
      </w:r>
      <w:r>
        <w:rPr>
          <w:i/>
          <w:iCs/>
          <w:vertAlign w:val="superscript"/>
        </w:rPr>
        <w:t>-1</w:t>
      </w:r>
      <w:r>
        <w:rPr/>
        <w:t>[</w:t>
      </w:r>
      <w:r>
        <w:rPr>
          <w:rFonts w:cs="Symbol" w:ascii="Symbol" w:hAnsi="Symbol"/>
          <w:i/>
          <w:iCs/>
        </w:rPr>
        <w:sym w:font="Symbol" w:char="f046"/>
      </w:r>
      <w:r>
        <w:rPr/>
        <w:t>(</w:t>
      </w:r>
      <w:r>
        <w:rPr>
          <w:i/>
          <w:iCs/>
        </w:rPr>
        <w:t>u</w:t>
      </w:r>
      <w:r>
        <w:rPr/>
        <w:t>)],</w:t>
        <w:tab/>
        <w:tab/>
        <w:tab/>
        <w:tab/>
        <w:tab/>
        <w:tab/>
        <w:tab/>
        <w:tab/>
        <w:tab/>
        <w:t>(I.1)</w:t>
        <w:tab/>
        <w:tab/>
      </w:r>
    </w:p>
    <w:p>
      <w:pPr>
        <w:pStyle w:val="Normal"/>
        <w:rPr/>
      </w:pPr>
      <w:r>
        <w:rPr/>
        <w:tab/>
        <w:tab/>
      </w:r>
    </w:p>
    <w:p>
      <w:pPr>
        <w:pStyle w:val="Normal"/>
        <w:rPr/>
      </w:pPr>
      <w:r>
        <w:rPr/>
        <w:t xml:space="preserve">where </w:t>
      </w:r>
      <w:r>
        <w:rPr>
          <w:rFonts w:cs="Symbol" w:ascii="Symbol" w:hAnsi="Symbol"/>
          <w:i/>
          <w:iCs/>
        </w:rPr>
        <w:sym w:font="Symbol" w:char="f046"/>
      </w:r>
      <w:r>
        <w:rPr/>
        <w:t>(.) is cumulative Gaussian distribution function.</w:t>
      </w:r>
    </w:p>
    <w:p>
      <w:pPr>
        <w:pStyle w:val="Normal"/>
        <w:rPr/>
      </w:pPr>
      <w:r>
        <w:rPr/>
      </w:r>
    </w:p>
    <w:p>
      <w:pPr>
        <w:pStyle w:val="Normal"/>
        <w:jc w:val="both"/>
        <w:rPr/>
      </w:pPr>
      <w:r>
        <w:rPr/>
        <w:t xml:space="preserve">Alternatively, if only the first four marginal moments of </w:t>
      </w:r>
      <w:r>
        <w:rPr>
          <w:i/>
          <w:iCs/>
        </w:rPr>
        <w:t>X</w:t>
      </w:r>
      <w:r>
        <w:rPr/>
        <w:t xml:space="preserve"> of a leptokurtic (</w:t>
      </w:r>
      <w:r>
        <w:rPr>
          <w:rFonts w:cs="Symbol" w:ascii="Symbol" w:hAnsi="Symbol"/>
          <w:i/>
          <w:iCs/>
        </w:rPr>
        <w:sym w:font="Symbol" w:char="f061"/>
      </w:r>
      <w:r>
        <w:rPr>
          <w:i/>
          <w:iCs/>
          <w:vertAlign w:val="subscript"/>
        </w:rPr>
        <w:t>4</w:t>
      </w:r>
      <w:r>
        <w:rPr/>
        <w:t xml:space="preserve"> &gt; 3)are given, let us seek a functional transformations </w:t>
      </w:r>
      <w:r>
        <w:rPr>
          <w:i/>
          <w:iCs/>
        </w:rPr>
        <w:t>x =</w:t>
      </w:r>
      <w:r>
        <w:rPr/>
        <w:t xml:space="preserve"> </w:t>
      </w:r>
      <w:r>
        <w:rPr>
          <w:i/>
          <w:iCs/>
        </w:rPr>
        <w:t>T(u)</w:t>
      </w:r>
      <w:r>
        <w:rPr/>
        <w:t xml:space="preserve"> such that the four moments are preserved.  Let us denote the variable mean</w:t>
      </w:r>
      <w:r>
        <w:rPr>
          <w:vertAlign w:val="subscript"/>
        </w:rPr>
        <w:t xml:space="preserve"> </w:t>
      </w:r>
      <w:r>
        <w:rPr/>
        <w:t>by</w:t>
      </w:r>
      <w:r>
        <w:rPr>
          <w:rFonts w:cs="Symbol" w:ascii="Symbol" w:hAnsi="Symbol"/>
          <w:i/>
          <w:iCs/>
        </w:rPr>
        <w:sym w:font="Symbol" w:char="f020"/>
        <w:sym w:font="Symbol" w:char="f06d"/>
      </w:r>
      <w:r>
        <w:rPr>
          <w:i/>
          <w:iCs/>
          <w:vertAlign w:val="subscript"/>
        </w:rPr>
        <w:t>x</w:t>
      </w:r>
      <w:r>
        <w:rPr/>
        <w:t>, standard deviation by</w:t>
      </w:r>
      <w:r>
        <w:rPr>
          <w:rFonts w:cs="Symbol" w:ascii="Symbol" w:hAnsi="Symbol"/>
          <w:i/>
          <w:iCs/>
        </w:rPr>
        <w:sym w:font="Symbol" w:char="f020"/>
        <w:sym w:font="Symbol" w:char="f073"/>
      </w:r>
      <w:r>
        <w:rPr>
          <w:i/>
          <w:iCs/>
          <w:vertAlign w:val="subscript"/>
        </w:rPr>
        <w:t>x</w:t>
      </w:r>
      <w:r>
        <w:rPr>
          <w:vertAlign w:val="subscript"/>
        </w:rPr>
        <w:t xml:space="preserve">, </w:t>
      </w:r>
      <w:r>
        <w:rPr/>
        <w:t xml:space="preserve">skewness coefficient by </w:t>
      </w:r>
      <w:r>
        <w:rPr>
          <w:rFonts w:cs="Symbol" w:ascii="Symbol" w:hAnsi="Symbol"/>
          <w:i/>
          <w:iCs/>
        </w:rPr>
        <w:sym w:font="Symbol" w:char="f061"/>
      </w:r>
      <w:r>
        <w:rPr>
          <w:i/>
          <w:iCs/>
          <w:vertAlign w:val="subscript"/>
        </w:rPr>
        <w:t>3x</w:t>
      </w:r>
      <w:r>
        <w:rPr/>
        <w:t xml:space="preserve">, and kurtosis coefficient by </w:t>
      </w:r>
      <w:r>
        <w:rPr>
          <w:rFonts w:cs="Symbol" w:ascii="Symbol" w:hAnsi="Symbol"/>
          <w:i/>
          <w:iCs/>
        </w:rPr>
        <w:sym w:font="Symbol" w:char="f061"/>
      </w:r>
      <w:r>
        <w:rPr>
          <w:i/>
          <w:iCs/>
          <w:vertAlign w:val="subscript"/>
        </w:rPr>
        <w:t>4x</w:t>
      </w:r>
      <w:r>
        <w:rPr/>
        <w:t xml:space="preserve">.  A complete description of the treatment described in this appendix, including a transformation for variables with  </w:t>
      </w:r>
      <w:r>
        <w:rPr>
          <w:rFonts w:cs="Symbol" w:ascii="Symbol" w:hAnsi="Symbol"/>
          <w:i/>
          <w:iCs/>
        </w:rPr>
        <w:sym w:font="Symbol" w:char="f061"/>
      </w:r>
      <w:r>
        <w:rPr>
          <w:i/>
          <w:iCs/>
          <w:vertAlign w:val="subscript"/>
        </w:rPr>
        <w:t>4</w:t>
      </w:r>
      <w:r>
        <w:rPr>
          <w:vertAlign w:val="subscript"/>
        </w:rPr>
        <w:t xml:space="preserve"> </w:t>
      </w:r>
      <w:r>
        <w:rPr/>
        <w:t xml:space="preserve">&lt; 3, is given in Winterstein, De, and Bjerager, 1989. </w:t>
      </w:r>
    </w:p>
    <w:p>
      <w:pPr>
        <w:pStyle w:val="Normal"/>
        <w:rPr/>
      </w:pPr>
      <w:r>
        <w:rPr/>
      </w:r>
    </w:p>
    <w:p>
      <w:pPr>
        <w:pStyle w:val="Normal"/>
        <w:jc w:val="both"/>
        <w:rPr/>
      </w:pPr>
      <w:r>
        <w:rPr/>
        <w:t xml:space="preserve">The transformation can be written in terms of orthogonal Hermite polynomial bases </w:t>
      </w:r>
      <w:r>
        <w:rPr/>
      </w:r>
      <m:oMath xmlns:m="http://schemas.openxmlformats.org/officeDocument/2006/math">
        <m:r>
          <m:t xml:space="preserve">H</m:t>
        </m:r>
        <m:r>
          <m:t xml:space="preserve">(</m:t>
        </m:r>
        <m:r>
          <m:t xml:space="preserve">u</m:t>
        </m:r>
        <m:r>
          <m:t xml:space="preserve">)</m:t>
        </m:r>
        <m:r>
          <m:t xml:space="preserve">=</m:t>
        </m:r>
        <m:r>
          <m:t xml:space="preserve">[</m:t>
        </m:r>
        <m:sSub>
          <m:e>
            <m:r>
              <m:t xml:space="preserve">H</m:t>
            </m:r>
          </m:e>
          <m:sub>
            <m:r>
              <m:t xml:space="preserve">0</m:t>
            </m:r>
          </m:sub>
        </m:sSub>
        <m:r>
          <m:t xml:space="preserve">(</m:t>
        </m:r>
        <m:r>
          <m:t xml:space="preserve">u</m:t>
        </m:r>
        <m:r>
          <m:t xml:space="preserve">)</m:t>
        </m:r>
        <m:r>
          <m:t xml:space="preserve">,</m:t>
        </m:r>
        <m:r>
          <m:t xml:space="preserve"> </m:t>
        </m:r>
        <m:sSub>
          <m:e>
            <m:r>
              <m:t xml:space="preserve">H</m:t>
            </m:r>
          </m:e>
          <m:sub>
            <m:r>
              <m:t xml:space="preserve">1</m:t>
            </m:r>
          </m:sub>
        </m:sSub>
        <m:r>
          <m:t xml:space="preserve">(</m:t>
        </m:r>
        <m:r>
          <m:t xml:space="preserve">u</m:t>
        </m:r>
        <m:r>
          <m:t xml:space="preserve">)</m:t>
        </m:r>
        <m:r>
          <m:t xml:space="preserve">,</m:t>
        </m:r>
        <m:r>
          <m:t xml:space="preserve"> </m:t>
        </m:r>
        <m:sSub>
          <m:e>
            <m:r>
              <m:t xml:space="preserve">H</m:t>
            </m:r>
          </m:e>
          <m:sub>
            <m:r>
              <m:t xml:space="preserve">2</m:t>
            </m:r>
          </m:sub>
        </m:sSub>
        <m:r>
          <m:t xml:space="preserve">(</m:t>
        </m:r>
        <m:r>
          <m:t xml:space="preserve">u</m:t>
        </m:r>
        <m:r>
          <m:t xml:space="preserve">)</m:t>
        </m:r>
        <m:r>
          <m:t xml:space="preserve">,</m:t>
        </m:r>
        <m:r>
          <m:t xml:space="preserve"> </m:t>
        </m:r>
        <m:sSub>
          <m:e>
            <m:r>
              <m:t xml:space="preserve">H</m:t>
            </m:r>
          </m:e>
          <m:sub>
            <m:r>
              <m:t xml:space="preserve">3</m:t>
            </m:r>
          </m:sub>
        </m:sSub>
        <m:r>
          <m:t xml:space="preserve">(</m:t>
        </m:r>
        <m:r>
          <m:t xml:space="preserve">u</m:t>
        </m:r>
        <m:r>
          <m:t xml:space="preserve">)</m:t>
        </m:r>
        <m:r>
          <m:t xml:space="preserve">,</m:t>
        </m:r>
        <m:r>
          <m:rPr>
            <m:lit/>
            <m:nor/>
          </m:rPr>
          <m:t xml:space="preserve">.</m:t>
        </m:r>
        <m:r>
          <m:rPr>
            <m:lit/>
            <m:nor/>
          </m:rPr>
          <m:t xml:space="preserve">.</m:t>
        </m:r>
        <m:r>
          <m:rPr>
            <m:lit/>
            <m:nor/>
          </m:rPr>
          <m:t xml:space="preserve">.</m:t>
        </m:r>
        <m:r>
          <m:rPr>
            <m:lit/>
            <m:nor/>
          </m:rPr>
          <m:t xml:space="preserve">.</m:t>
        </m:r>
        <m:r>
          <m:rPr>
            <m:lit/>
            <m:nor/>
          </m:rPr>
          <m:t xml:space="preserve">.</m:t>
        </m:r>
        <m:sSup>
          <m:e>
            <m:r>
              <m:t xml:space="preserve">]</m:t>
            </m:r>
          </m:e>
          <m:sup>
            <m:r>
              <m:t xml:space="preserve">T</m:t>
            </m:r>
          </m:sup>
        </m:sSup>
        <m:r>
          <m:t xml:space="preserve">=</m:t>
        </m:r>
        <m:r>
          <m:t xml:space="preserve">[</m:t>
        </m:r>
        <m:r>
          <m:t xml:space="preserve">1</m:t>
        </m:r>
        <m:r>
          <m:t xml:space="preserve">,</m:t>
        </m:r>
        <m:r>
          <m:t xml:space="preserve"> </m:t>
        </m:r>
        <m:r>
          <m:t xml:space="preserve">u</m:t>
        </m:r>
        <m:r>
          <m:t xml:space="preserve">,</m:t>
        </m:r>
        <m:r>
          <m:t xml:space="preserve"> </m:t>
        </m:r>
        <m:r>
          <m:t xml:space="preserve">(</m:t>
        </m:r>
        <m:sSup>
          <m:e>
            <m:r>
              <m:t xml:space="preserve">u</m:t>
            </m:r>
          </m:e>
          <m:sup>
            <m:r>
              <m:t xml:space="preserve">2</m:t>
            </m:r>
          </m:sup>
        </m:sSup>
        <m:r>
          <m:t xml:space="preserve">−</m:t>
        </m:r>
        <m:r>
          <m:t xml:space="preserve">1</m:t>
        </m:r>
        <m:r>
          <m:t xml:space="preserve">)</m:t>
        </m:r>
        <m:r>
          <m:t xml:space="preserve">,</m:t>
        </m:r>
        <m:r>
          <m:t xml:space="preserve">(</m:t>
        </m:r>
        <m:sSup>
          <m:e>
            <m:r>
              <m:t xml:space="preserve">u</m:t>
            </m:r>
          </m:e>
          <m:sup>
            <m:r>
              <m:t xml:space="preserve">3</m:t>
            </m:r>
          </m:sup>
        </m:sSup>
        <m:r>
          <m:t xml:space="preserve">−</m:t>
        </m:r>
        <m:r>
          <m:t xml:space="preserve">3</m:t>
        </m:r>
        <m:r>
          <m:t xml:space="preserve">u</m:t>
        </m:r>
        <m:r>
          <m:t xml:space="preserve">)</m:t>
        </m:r>
        <m: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sSup>
          <m:e>
            <m:r>
              <m:t xml:space="preserve">]</m:t>
            </m:r>
          </m:e>
          <m:sup>
            <m:r>
              <m:t xml:space="preserve">T</m:t>
            </m:r>
          </m:sup>
        </m:sSup>
      </m:oMath>
      <w:r>
        <w:rPr/>
        <w:t xml:space="preserve"> and the first four moments of the leptokurtic (</w:t>
      </w:r>
      <w:r>
        <w:rPr>
          <w:rFonts w:cs="Symbol" w:ascii="Symbol" w:hAnsi="Symbol"/>
          <w:i/>
          <w:iCs/>
        </w:rPr>
        <w:sym w:font="Symbol" w:char="f061"/>
      </w:r>
      <w:r>
        <w:rPr>
          <w:i/>
          <w:iCs/>
          <w:vertAlign w:val="subscript"/>
        </w:rPr>
        <w:t>4</w:t>
      </w:r>
      <w:r>
        <w:rPr/>
        <w:t xml:space="preserve"> &gt; 3) distribution as:</w:t>
      </w:r>
    </w:p>
    <w:p>
      <w:pPr>
        <w:pStyle w:val="Normal"/>
        <w:rPr/>
      </w:pPr>
      <w:r>
        <w:rPr/>
      </w:r>
    </w:p>
    <w:p>
      <w:pPr>
        <w:pStyle w:val="Normal"/>
        <w:rPr/>
      </w:pPr>
      <w:r>
        <w:rPr/>
      </w:r>
      <m:oMath xmlns:m="http://schemas.openxmlformats.org/officeDocument/2006/math">
        <m:r>
          <m:t xml:space="preserve">x</m:t>
        </m:r>
        <m:r>
          <m:t xml:space="preserve">=</m:t>
        </m:r>
        <m:r>
          <m:t xml:space="preserve">T</m:t>
        </m:r>
        <m:r>
          <m:t xml:space="preserve">(</m:t>
        </m:r>
        <m:r>
          <m:t xml:space="preserve">u</m:t>
        </m:r>
        <m:r>
          <m:t xml:space="preserve">)</m:t>
        </m:r>
        <m:r>
          <m:t xml:space="preserve">=</m:t>
        </m:r>
        <m:sSub>
          <m:e>
            <m:r>
              <m:t xml:space="preserve">μ</m:t>
            </m:r>
          </m:e>
          <m:sub>
            <m:r>
              <m:t xml:space="preserve">x</m:t>
            </m:r>
          </m:sub>
        </m:sSub>
        <m:r>
          <m:t xml:space="preserve">+</m:t>
        </m:r>
        <m:sSub>
          <m:e>
            <m:r>
              <m:t xml:space="preserve">κ</m:t>
            </m:r>
          </m:e>
          <m:sub>
            <m:r>
              <m:t xml:space="preserve">x</m:t>
            </m:r>
          </m:sub>
        </m:sSub>
        <m:sSub>
          <m:e>
            <m:r>
              <m:t xml:space="preserve">σ</m:t>
            </m:r>
          </m:e>
          <m:sub>
            <m:r>
              <m:t xml:space="preserve">x</m:t>
            </m:r>
          </m:sub>
        </m:sSub>
        <m:d>
          <m:dPr>
            <m:begChr m:val="["/>
            <m:endChr m:val="]"/>
          </m:dPr>
          <m:e>
            <m:r>
              <m:t xml:space="preserve">u</m:t>
            </m:r>
            <m:r>
              <m:t xml:space="preserve">+</m:t>
            </m:r>
            <m:sSub>
              <m:e>
                <m:r>
                  <m:t xml:space="preserve">c</m:t>
                </m:r>
              </m:e>
              <m:sub>
                <m:r>
                  <m:t xml:space="preserve">3</m:t>
                </m:r>
                <m:r>
                  <m:t xml:space="preserve">x</m:t>
                </m:r>
              </m:sub>
            </m:sSub>
            <m:r>
              <m:t xml:space="preserve">(</m:t>
            </m:r>
            <m:sSup>
              <m:e>
                <m:r>
                  <m:t xml:space="preserve">u</m:t>
                </m:r>
              </m:e>
              <m:sup>
                <m:r>
                  <m:t xml:space="preserve">2</m:t>
                </m:r>
              </m:sup>
            </m:sSup>
            <m:r>
              <m:t xml:space="preserve">−</m:t>
            </m:r>
            <m:r>
              <m:t xml:space="preserve">1</m:t>
            </m:r>
            <m:r>
              <m:t xml:space="preserve">)</m:t>
            </m:r>
            <m:r>
              <m:t xml:space="preserve">+</m:t>
            </m:r>
            <m:sSub>
              <m:e>
                <m:r>
                  <m:t xml:space="preserve">c</m:t>
                </m:r>
              </m:e>
              <m:sub>
                <m:r>
                  <m:t xml:space="preserve">4</m:t>
                </m:r>
                <m:r>
                  <m:t xml:space="preserve">x</m:t>
                </m:r>
              </m:sub>
            </m:sSub>
            <m:r>
              <m:t xml:space="preserve">(</m:t>
            </m:r>
            <m:sSup>
              <m:e>
                <m:r>
                  <m:t xml:space="preserve">u</m:t>
                </m:r>
              </m:e>
              <m:sup>
                <m:r>
                  <m:t xml:space="preserve">3</m:t>
                </m:r>
              </m:sup>
            </m:sSup>
            <m:r>
              <m:t xml:space="preserve">−</m:t>
            </m:r>
            <m:r>
              <m:t xml:space="preserve">3</m:t>
            </m:r>
            <m:r>
              <m:t xml:space="preserve">u</m:t>
            </m:r>
            <m:r>
              <m:t xml:space="preserve">)</m:t>
            </m:r>
          </m:e>
        </m:d>
      </m:oMath>
      <w:r>
        <w:rPr/>
        <w:tab/>
        <w:tab/>
        <w:tab/>
        <w:tab/>
        <w:tab/>
        <w:t>(I.2)</w:t>
      </w:r>
    </w:p>
    <w:p>
      <w:pPr>
        <w:pStyle w:val="Normal"/>
        <w:rPr/>
      </w:pPr>
      <w:r>
        <w:rPr/>
      </w:r>
    </w:p>
    <w:p>
      <w:pPr>
        <w:pStyle w:val="Normal"/>
        <w:rPr/>
      </w:pPr>
      <w:r>
        <w:rPr/>
        <w:t xml:space="preserve">where </w:t>
      </w:r>
      <w:r>
        <w:rPr/>
      </w:r>
      <m:oMath xmlns:m="http://schemas.openxmlformats.org/officeDocument/2006/math">
        <m:sSub>
          <m:e>
            <m:r>
              <m:t xml:space="preserve">c</m:t>
            </m:r>
          </m:e>
          <m:sub>
            <m:r>
              <m:t xml:space="preserve">4</m:t>
            </m:r>
            <m:r>
              <m:t xml:space="preserve">x</m:t>
            </m:r>
          </m:sub>
        </m:sSub>
        <m:r>
          <m:t xml:space="preserve">=</m:t>
        </m:r>
        <m:d>
          <m:dPr>
            <m:begChr m:val="["/>
            <m:endChr m:val="]"/>
          </m:dPr>
          <m:e>
            <m:f>
              <m:num>
                <m:rad>
                  <m:radPr>
                    <m:degHide m:val="1"/>
                  </m:radPr>
                  <m:deg/>
                  <m:e>
                    <m:r>
                      <m:t xml:space="preserve">6</m:t>
                    </m:r>
                    <m:sSub>
                      <m:e>
                        <m:r>
                          <m:t xml:space="preserve">α</m:t>
                        </m:r>
                      </m:e>
                      <m:sub>
                        <m:r>
                          <m:t xml:space="preserve">4</m:t>
                        </m:r>
                        <m:r>
                          <m:t xml:space="preserve">x</m:t>
                        </m:r>
                      </m:sub>
                    </m:sSub>
                    <m:r>
                      <m:t xml:space="preserve">−</m:t>
                    </m:r>
                    <m:r>
                      <m:rPr>
                        <m:lit/>
                        <m:nor/>
                      </m:rPr>
                      <m:t xml:space="preserve">14</m:t>
                    </m:r>
                  </m:e>
                </m:rad>
                <m:r>
                  <m:t xml:space="preserve">−</m:t>
                </m:r>
                <m:r>
                  <m:t xml:space="preserve">2</m:t>
                </m:r>
              </m:num>
              <m:den>
                <m:r>
                  <m:rPr>
                    <m:lit/>
                    <m:nor/>
                  </m:rPr>
                  <m:t xml:space="preserve">36</m:t>
                </m:r>
              </m:den>
            </m:f>
          </m:e>
        </m:d>
        <m:r>
          <m:t xml:space="preserve">,</m:t>
        </m:r>
        <m:r>
          <m:t xml:space="preserve"> </m:t>
        </m:r>
        <m:sSub>
          <m:e>
            <m:r>
              <m:t xml:space="preserve">c</m:t>
            </m:r>
          </m:e>
          <m:sub>
            <m:r>
              <m:t xml:space="preserve">3</m:t>
            </m:r>
            <m:r>
              <m:t xml:space="preserve">x</m:t>
            </m:r>
          </m:sub>
        </m:sSub>
        <m:r>
          <m:t xml:space="preserve">=</m:t>
        </m:r>
        <m:f>
          <m:num>
            <m:sSub>
              <m:e>
                <m:r>
                  <m:t xml:space="preserve">α</m:t>
                </m:r>
              </m:e>
              <m:sub>
                <m:r>
                  <m:t xml:space="preserve">3</m:t>
                </m:r>
                <m:r>
                  <m:t xml:space="preserve">x</m:t>
                </m:r>
              </m:sub>
            </m:sSub>
          </m:num>
          <m:den>
            <m:r>
              <m:t xml:space="preserve">6</m:t>
            </m:r>
            <m:r>
              <m:t xml:space="preserve">(</m:t>
            </m:r>
            <m:r>
              <m:t xml:space="preserve">1</m:t>
            </m:r>
            <m:r>
              <m:t xml:space="preserve">+</m:t>
            </m:r>
            <m:r>
              <m:t xml:space="preserve">6</m:t>
            </m:r>
            <m:sSub>
              <m:e>
                <m:r>
                  <m:t xml:space="preserve">c</m:t>
                </m:r>
              </m:e>
              <m:sub>
                <m:r>
                  <m:t xml:space="preserve">4</m:t>
                </m:r>
                <m:r>
                  <m:t xml:space="preserve">x</m:t>
                </m:r>
              </m:sub>
            </m:sSub>
            <m:r>
              <m:t xml:space="preserve">)</m:t>
            </m:r>
          </m:den>
        </m:f>
        <m:r>
          <m:t xml:space="preserve">,</m:t>
        </m:r>
        <m:r>
          <m:t xml:space="preserve"> </m:t>
        </m:r>
        <m:r>
          <m:rPr>
            <m:lit/>
            <m:nor/>
          </m:rPr>
          <m:t xml:space="preserve">and</m:t>
        </m:r>
        <m:r>
          <m:t xml:space="preserve"> </m:t>
        </m:r>
        <m:sSub>
          <m:e>
            <m:r>
              <m:t xml:space="preserve">κ</m:t>
            </m:r>
          </m:e>
          <m:sub>
            <m:r>
              <m:t xml:space="preserve">x</m:t>
            </m:r>
          </m:sub>
        </m:sSub>
        <m:r>
          <m:t xml:space="preserve">=</m:t>
        </m:r>
        <m:rad>
          <m:radPr>
            <m:degHide m:val="1"/>
          </m:radPr>
          <m:deg/>
          <m:e>
            <m:r>
              <m:t xml:space="preserve">1</m:t>
            </m:r>
            <m:r>
              <m:t xml:space="preserve">+</m:t>
            </m:r>
            <m:r>
              <m:t xml:space="preserve">2</m:t>
            </m:r>
            <m:sSubSup>
              <m:e>
                <m:r>
                  <m:t xml:space="preserve">c</m:t>
                </m:r>
              </m:e>
              <m:sub>
                <m:r>
                  <m:t xml:space="preserve">3</m:t>
                </m:r>
                <m:r>
                  <m:t xml:space="preserve">x</m:t>
                </m:r>
              </m:sub>
              <m:sup>
                <m:r>
                  <m:t xml:space="preserve">2</m:t>
                </m:r>
              </m:sup>
            </m:sSubSup>
            <m:r>
              <m:t xml:space="preserve">+</m:t>
            </m:r>
            <m:r>
              <m:t xml:space="preserve">6</m:t>
            </m:r>
            <m:sSubSup>
              <m:e>
                <m:r>
                  <m:t xml:space="preserve">c</m:t>
                </m:r>
              </m:e>
              <m:sub>
                <m:r>
                  <m:t xml:space="preserve">4</m:t>
                </m:r>
                <m:r>
                  <m:t xml:space="preserve">x</m:t>
                </m:r>
              </m:sub>
              <m:sup>
                <m:r>
                  <m:t xml:space="preserve">2</m:t>
                </m:r>
              </m:sup>
            </m:sSubSup>
          </m:e>
        </m:rad>
      </m:oMath>
    </w:p>
    <w:p>
      <w:pPr>
        <w:pStyle w:val="Normal"/>
        <w:rPr>
          <w:b/>
          <w:bCs/>
        </w:rPr>
      </w:pPr>
      <w:r>
        <w:rPr>
          <w:b/>
          <w:bCs/>
        </w:rPr>
      </w:r>
    </w:p>
    <w:p>
      <w:pPr>
        <w:pStyle w:val="Normal"/>
        <w:rPr>
          <w:b/>
          <w:bCs/>
        </w:rPr>
      </w:pPr>
      <w:r>
        <w:rPr>
          <w:b/>
          <w:bCs/>
        </w:rPr>
      </w:r>
    </w:p>
    <w:p>
      <w:pPr>
        <w:pStyle w:val="Normal"/>
        <w:rPr>
          <w:b/>
          <w:bCs/>
        </w:rPr>
      </w:pPr>
      <w:r>
        <w:rPr>
          <w:b/>
          <w:bCs/>
        </w:rPr>
        <w:t>Correlation mapping from x- to u-space</w:t>
      </w:r>
    </w:p>
    <w:p>
      <w:pPr>
        <w:pStyle w:val="Normal"/>
        <w:rPr/>
      </w:pPr>
      <w:r>
        <w:rPr/>
        <w:t>The binormal probability density can be expressed in terms of Hermite polynomials as follows (Winterstein 1987):</w:t>
      </w:r>
    </w:p>
    <w:p>
      <w:pPr>
        <w:pStyle w:val="Normal"/>
        <w:rPr/>
      </w:pPr>
      <w:r>
        <w:rPr/>
      </w:r>
      <m:oMath xmlns:m="http://schemas.openxmlformats.org/officeDocument/2006/math">
        <m:sSub>
          <m:e>
            <m:r>
              <m:t xml:space="preserve">φ</m:t>
            </m:r>
          </m:e>
          <m:sub>
            <m:r>
              <m:t xml:space="preserve">2</m:t>
            </m:r>
          </m:sub>
        </m:sSub>
        <m:r>
          <m:t xml:space="preserve">(</m:t>
        </m:r>
        <m:sSub>
          <m:e>
            <m:r>
              <m:t xml:space="preserve">u</m:t>
            </m:r>
          </m:e>
          <m:sub>
            <m:r>
              <m:t xml:space="preserve">i</m:t>
            </m:r>
          </m:sub>
        </m:sSub>
        <m:r>
          <m:t xml:space="preserve">,</m:t>
        </m:r>
        <m:sSub>
          <m:e>
            <m:r>
              <m:t xml:space="preserve">u</m:t>
            </m:r>
          </m:e>
          <m:sub>
            <m:r>
              <m:t xml:space="preserve">j</m:t>
            </m:r>
          </m:sub>
        </m:sSub>
        <m:r>
          <m:t xml:space="preserve">,</m:t>
        </m:r>
        <m:sSub>
          <m:e>
            <m:r>
              <m:t xml:space="preserve">ρ</m:t>
            </m:r>
          </m:e>
          <m:sub>
            <m:r>
              <m:t xml:space="preserve">u</m:t>
            </m:r>
          </m:sub>
        </m:sSub>
        <m:r>
          <m:t xml:space="preserve">)</m:t>
        </m:r>
        <m:r>
          <m:t xml:space="preserve">=</m:t>
        </m:r>
        <m:r>
          <m:t xml:space="preserve">φ</m:t>
        </m:r>
        <m:r>
          <m:t xml:space="preserve">(</m:t>
        </m:r>
        <m:sSub>
          <m:e>
            <m:r>
              <m:t xml:space="preserve">u</m:t>
            </m:r>
          </m:e>
          <m:sub>
            <m:r>
              <m:t xml:space="preserve">i</m:t>
            </m:r>
          </m:sub>
        </m:sSub>
        <m:r>
          <m:t xml:space="preserve">)</m:t>
        </m:r>
        <m:r>
          <m:t xml:space="preserve">φ</m:t>
        </m:r>
        <m:r>
          <m:t xml:space="preserve">(</m:t>
        </m:r>
        <m:sSub>
          <m:e>
            <m:r>
              <m:t xml:space="preserve">u</m:t>
            </m:r>
          </m:e>
          <m:sub>
            <m:r>
              <m:t xml:space="preserve">j</m:t>
            </m:r>
          </m:sub>
        </m:sSub>
        <m:r>
          <m:t xml:space="preserve">)</m:t>
        </m:r>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sSub>
              <m:e>
                <m:r>
                  <m:t xml:space="preserve">H</m:t>
                </m:r>
              </m:e>
              <m:sub>
                <m:r>
                  <m:t xml:space="preserve">n</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j</m:t>
                </m:r>
              </m:sub>
            </m:sSub>
            <m:r>
              <m:t xml:space="preserve">)</m:t>
            </m:r>
          </m:e>
        </m:nary>
      </m:oMath>
      <w:r>
        <w:rPr/>
        <w:tab/>
        <w:tab/>
        <w:tab/>
        <w:tab/>
        <w:t>(I.3)</w:t>
      </w:r>
    </w:p>
    <w:p>
      <w:pPr>
        <w:pStyle w:val="Normal"/>
        <w:rPr/>
      </w:pPr>
      <w:r>
        <w:rPr/>
        <w:t xml:space="preserve">where </w:t>
      </w:r>
      <w:r>
        <w:rPr>
          <w:rFonts w:cs="Symbol" w:ascii="Symbol" w:hAnsi="Symbol"/>
          <w:i/>
          <w:iCs/>
        </w:rPr>
        <w:sym w:font="Symbol" w:char="f066"/>
      </w:r>
      <w:r>
        <w:rPr/>
        <w:t xml:space="preserve">(.) is the standard Gaussian density function.  It can readily be shown that the Hermite polynomials, </w:t>
      </w:r>
      <w:r>
        <w:rPr>
          <w:i/>
          <w:iCs/>
        </w:rPr>
        <w:t>H</w:t>
      </w:r>
      <w:r>
        <w:rPr>
          <w:i/>
          <w:iCs/>
          <w:vertAlign w:val="subscript"/>
        </w:rPr>
        <w:t>n</w:t>
      </w:r>
      <w:r>
        <w:rPr>
          <w:i/>
          <w:iCs/>
        </w:rPr>
        <w:t>(U)</w:t>
      </w:r>
      <w:r>
        <w:rPr/>
        <w:t xml:space="preserve">  for </w:t>
      </w:r>
      <w:r>
        <w:rPr>
          <w:i/>
          <w:iCs/>
        </w:rPr>
        <w:t>n = 1,2,3,</w:t>
      </w:r>
      <w:r>
        <w:rPr/>
        <w:t xml:space="preserve"> ….have mean = </w:t>
      </w:r>
      <w:r>
        <w:rPr>
          <w:i/>
          <w:iCs/>
        </w:rPr>
        <w:t>0</w:t>
      </w:r>
      <w:r>
        <w:rPr/>
        <w:t xml:space="preserve"> and variance = </w:t>
      </w:r>
      <w:r>
        <w:rPr>
          <w:i/>
          <w:iCs/>
        </w:rPr>
        <w:t>n!</w:t>
      </w:r>
      <w:r>
        <w:rPr/>
        <w:t xml:space="preserve"> and are uncorrelated (i.e., orthogonal) with each other.</w:t>
      </w:r>
    </w:p>
    <w:p>
      <w:pPr>
        <w:pStyle w:val="Normal"/>
        <w:rPr/>
      </w:pPr>
      <w:r>
        <w:rPr/>
        <w:t xml:space="preserve">We decompose the transformations </w:t>
      </w:r>
      <w:r>
        <w:rPr>
          <w:i/>
          <w:iCs/>
        </w:rPr>
        <w:t>x</w:t>
      </w:r>
      <w:r>
        <w:rPr>
          <w:i/>
          <w:iCs/>
          <w:vertAlign w:val="subscript"/>
        </w:rPr>
        <w:t>i</w:t>
      </w:r>
      <w:r>
        <w:rPr>
          <w:i/>
          <w:iCs/>
        </w:rPr>
        <w:t>=T</w:t>
      </w:r>
      <w:r>
        <w:rPr>
          <w:i/>
          <w:iCs/>
          <w:vertAlign w:val="subscript"/>
        </w:rPr>
        <w:t>i</w:t>
      </w:r>
      <w:r>
        <w:rPr>
          <w:i/>
          <w:iCs/>
        </w:rPr>
        <w:t>(u</w:t>
      </w:r>
      <w:r>
        <w:rPr>
          <w:i/>
          <w:iCs/>
          <w:vertAlign w:val="subscript"/>
        </w:rPr>
        <w:t>i</w:t>
      </w:r>
      <w:r>
        <w:rPr>
          <w:i/>
          <w:iCs/>
        </w:rPr>
        <w:t>)</w:t>
      </w:r>
      <w:r>
        <w:rPr/>
        <w:t xml:space="preserve"> and </w:t>
      </w:r>
      <w:r>
        <w:rPr>
          <w:i/>
          <w:iCs/>
        </w:rPr>
        <w:t>x</w:t>
      </w:r>
      <w:r>
        <w:rPr>
          <w:i/>
          <w:iCs/>
          <w:vertAlign w:val="subscript"/>
        </w:rPr>
        <w:t>j</w:t>
      </w:r>
      <w:r>
        <w:rPr>
          <w:i/>
          <w:iCs/>
        </w:rPr>
        <w:t>=T</w:t>
      </w:r>
      <w:r>
        <w:rPr>
          <w:i/>
          <w:iCs/>
          <w:vertAlign w:val="subscript"/>
        </w:rPr>
        <w:t>j</w:t>
      </w:r>
      <w:r>
        <w:rPr>
          <w:i/>
          <w:iCs/>
        </w:rPr>
        <w:t>(u</w:t>
      </w:r>
      <w:r>
        <w:rPr>
          <w:i/>
          <w:iCs/>
          <w:vertAlign w:val="subscript"/>
        </w:rPr>
        <w:t>j</w:t>
      </w:r>
      <w:r>
        <w:rPr>
          <w:i/>
          <w:iCs/>
        </w:rPr>
        <w:t>)</w:t>
      </w:r>
      <w:r>
        <w:rPr/>
        <w:t xml:space="preserve"> by a series of orthogonal bases associated with Hermite polynomials:</w:t>
      </w:r>
    </w:p>
    <w:p>
      <w:pPr>
        <w:pStyle w:val="Normal"/>
        <w:rPr/>
      </w:pPr>
      <w:r>
        <w:rPr/>
      </w:r>
    </w:p>
    <w:p>
      <w:pPr>
        <w:pStyle w:val="Normal"/>
        <w:rPr/>
      </w:pPr>
      <w:r>
        <w:rPr/>
      </w:r>
      <m:oMath xmlns:m="http://schemas.openxmlformats.org/officeDocument/2006/math">
        <m:eqArr>
          <m:e>
            <m:sSub>
              <m:e>
                <m:r>
                  <m:t xml:space="preserve">x</m:t>
                </m:r>
              </m:e>
              <m:sub>
                <m:r>
                  <m:t xml:space="preserve">i</m:t>
                </m:r>
              </m:sub>
            </m:sSub>
            <m:r>
              <m:t xml:space="preserve">=</m:t>
            </m:r>
            <m:sSub>
              <m:e>
                <m:r>
                  <m:t xml:space="preserve">T</m:t>
                </m:r>
              </m:e>
              <m:sub>
                <m:r>
                  <m:t xml:space="preserve">i</m:t>
                </m:r>
              </m:sub>
            </m:sSub>
            <m:r>
              <m:t xml:space="preserve">(</m:t>
            </m:r>
            <m:sSub>
              <m:e>
                <m:r>
                  <m:t xml:space="preserve">u</m:t>
                </m:r>
              </m:e>
              <m:sub>
                <m:r>
                  <m:t xml:space="preserve">i</m:t>
                </m:r>
              </m:sub>
            </m:sSub>
            <m:r>
              <m:t xml:space="preserve">)</m:t>
            </m:r>
            <m:r>
              <m:t xml:space="preserve">=</m:t>
            </m:r>
            <m:nary>
              <m:naryPr>
                <m:chr m:val="∑"/>
              </m:naryPr>
              <m:sub>
                <m:r>
                  <m:t xml:space="preserve">n</m:t>
                </m:r>
                <m:r>
                  <m:t xml:space="preserve">=</m:t>
                </m:r>
                <m:r>
                  <m:t xml:space="preserve">0</m:t>
                </m:r>
              </m:sub>
              <m:sup>
                <m:r>
                  <m:t xml:space="preserve">∞</m:t>
                </m:r>
              </m:sup>
              <m:e>
                <m:sSub>
                  <m:e>
                    <m:r>
                      <m:t xml:space="preserve">t</m:t>
                    </m:r>
                  </m:e>
                  <m:sub>
                    <m:r>
                      <m:rPr>
                        <m:lit/>
                        <m:nor/>
                      </m:rPr>
                      <m:t xml:space="preserve">in</m:t>
                    </m:r>
                  </m:sub>
                </m:sSub>
                <m:sSub>
                  <m:e>
                    <m:r>
                      <m:t xml:space="preserve">H</m:t>
                    </m:r>
                  </m:e>
                  <m:sub>
                    <m:r>
                      <m:t xml:space="preserve">i</m:t>
                    </m:r>
                  </m:sub>
                </m:sSub>
                <m:r>
                  <m:t xml:space="preserve">(</m:t>
                </m:r>
                <m:sSub>
                  <m:e>
                    <m:r>
                      <m:t xml:space="preserve">u</m:t>
                    </m:r>
                  </m:e>
                  <m:sub>
                    <m:r>
                      <m:t xml:space="preserve">i</m:t>
                    </m:r>
                  </m:sub>
                </m:sSub>
                <m:r>
                  <m:t xml:space="preserve">)</m:t>
                </m:r>
              </m:e>
            </m:nary>
            <m:r>
              <m:t xml:space="preserve">,</m:t>
            </m:r>
          </m:e>
          <m:e>
            <m:sSub>
              <m:e>
                <m:r>
                  <m:t xml:space="preserve">x</m:t>
                </m:r>
              </m:e>
              <m:sub>
                <m:r>
                  <m:t xml:space="preserve">j</m:t>
                </m:r>
              </m:sub>
            </m:sSub>
            <m:r>
              <m:t xml:space="preserve">=</m:t>
            </m:r>
            <m:sSub>
              <m:e>
                <m:r>
                  <m:t xml:space="preserve">T</m:t>
                </m:r>
              </m:e>
              <m:sub>
                <m:r>
                  <m:t xml:space="preserve">j</m:t>
                </m:r>
              </m:sub>
            </m:sSub>
            <m:r>
              <m:t xml:space="preserve">(</m:t>
            </m:r>
            <m:sSub>
              <m:e>
                <m:r>
                  <m:t xml:space="preserve">u</m:t>
                </m:r>
              </m:e>
              <m:sub>
                <m:r>
                  <m:t xml:space="preserve">j</m:t>
                </m:r>
              </m:sub>
            </m:sSub>
            <m:r>
              <m:t xml:space="preserve">)</m:t>
            </m:r>
            <m:r>
              <m:t xml:space="preserve">=</m:t>
            </m:r>
            <m:nary>
              <m:naryPr>
                <m:chr m:val="∑"/>
              </m:naryPr>
              <m:sub>
                <m:r>
                  <m:t xml:space="preserve">n</m:t>
                </m:r>
                <m:r>
                  <m:t xml:space="preserve">=</m:t>
                </m:r>
                <m:r>
                  <m:t xml:space="preserve">0</m:t>
                </m:r>
              </m:sub>
              <m:sup>
                <m:r>
                  <m:t xml:space="preserve">∞</m:t>
                </m:r>
              </m:sup>
              <m:e>
                <m:sSub>
                  <m:e>
                    <m:r>
                      <m:t xml:space="preserve">t</m:t>
                    </m:r>
                  </m:e>
                  <m:sub>
                    <m:r>
                      <m:rPr>
                        <m:lit/>
                        <m:nor/>
                      </m:rPr>
                      <m:t xml:space="preserve">jn</m:t>
                    </m:r>
                  </m:sub>
                </m:sSub>
                <m:sSub>
                  <m:e>
                    <m:r>
                      <m:t xml:space="preserve">H</m:t>
                    </m:r>
                  </m:e>
                  <m:sub>
                    <m:r>
                      <m:t xml:space="preserve">j</m:t>
                    </m:r>
                  </m:sub>
                </m:sSub>
                <m:r>
                  <m:t xml:space="preserve">(</m:t>
                </m:r>
                <m:sSub>
                  <m:e>
                    <m:r>
                      <m:t xml:space="preserve">u</m:t>
                    </m:r>
                  </m:e>
                  <m:sub>
                    <m:r>
                      <m:t xml:space="preserve">j</m:t>
                    </m:r>
                  </m:sub>
                </m:sSub>
                <m:r>
                  <m:t xml:space="preserve">)</m:t>
                </m:r>
              </m:e>
            </m:nary>
          </m:e>
        </m:eqArr>
      </m:oMath>
      <w:r>
        <w:rPr/>
        <w:tab/>
        <w:tab/>
        <w:tab/>
        <w:tab/>
        <w:tab/>
        <w:tab/>
        <w:tab/>
        <w:t>(I.4)</w:t>
      </w:r>
    </w:p>
    <w:p>
      <w:pPr>
        <w:pStyle w:val="Normal"/>
        <w:rPr/>
      </w:pPr>
      <w:r>
        <w:rPr/>
        <w:t xml:space="preserve">in which the coefficients </w:t>
      </w:r>
      <w:r>
        <w:rPr>
          <w:i/>
          <w:iCs/>
        </w:rPr>
        <w:t>t</w:t>
      </w:r>
      <w:r>
        <w:rPr>
          <w:i/>
          <w:iCs/>
          <w:vertAlign w:val="subscript"/>
        </w:rPr>
        <w:t>kn</w:t>
      </w:r>
      <w:r>
        <w:rPr/>
        <w:t xml:space="preserve"> for </w:t>
      </w:r>
      <w:r>
        <w:rPr>
          <w:i/>
          <w:iCs/>
        </w:rPr>
        <w:t>k = i, j</w:t>
      </w:r>
      <w:r>
        <w:rPr/>
        <w:t>, … are given by:</w:t>
      </w:r>
    </w:p>
    <w:p>
      <w:pPr>
        <w:pStyle w:val="Normal"/>
        <w:rPr/>
      </w:pPr>
      <w:r>
        <w:rPr/>
      </w:r>
      <m:oMath xmlns:m="http://schemas.openxmlformats.org/officeDocument/2006/math">
        <m:sSub>
          <m:e>
            <m:r>
              <m:t xml:space="preserve">t</m:t>
            </m:r>
          </m:e>
          <m:sub>
            <m:r>
              <m:rPr>
                <m:lit/>
                <m:nor/>
              </m:rPr>
              <m:t xml:space="preserve">kn</m:t>
            </m:r>
          </m:sub>
        </m:sSub>
        <m:r>
          <m:t xml:space="preserve">=</m:t>
        </m:r>
        <m:r>
          <m:t xml:space="preserve">E</m:t>
        </m:r>
        <m:r>
          <m:t xml:space="preserve">[</m:t>
        </m:r>
        <m:sSub>
          <m:e>
            <m:r>
              <m:t xml:space="preserve">T</m:t>
            </m:r>
          </m:e>
          <m:sub>
            <m:r>
              <m:t xml:space="preserve">k</m:t>
            </m:r>
          </m:sub>
        </m:sSub>
        <m:r>
          <m:t xml:space="preserve">(</m:t>
        </m:r>
        <m:sSub>
          <m:e>
            <m:r>
              <m:t xml:space="preserve">U</m:t>
            </m:r>
          </m:e>
          <m:sub>
            <m:r>
              <m:t xml:space="preserve">k</m:t>
            </m:r>
          </m:sub>
        </m:sSub>
        <m:r>
          <m:t xml:space="preserve">)</m:t>
        </m:r>
        <m:sSub>
          <m:e>
            <m:r>
              <m:t xml:space="preserve">H</m:t>
            </m:r>
          </m:e>
          <m:sub>
            <m:r>
              <m:t xml:space="preserve">n</m:t>
            </m:r>
          </m:sub>
        </m:sSub>
        <m:r>
          <m:t xml:space="preserve">(</m:t>
        </m:r>
        <m:sSub>
          <m:e>
            <m:r>
              <m:t xml:space="preserve">U</m:t>
            </m:r>
          </m:e>
          <m:sub>
            <m:r>
              <m:t xml:space="preserve">k</m:t>
            </m:r>
          </m:sub>
        </m:sSub>
        <m:r>
          <m:t xml:space="preserve">)</m:t>
        </m:r>
        <m:r>
          <m:t xml:space="preserve">]</m:t>
        </m:r>
        <m:r>
          <m:t xml:space="preserve">=</m:t>
        </m:r>
        <m:nary>
          <m:naryPr>
            <m:chr m:val="∫"/>
          </m:naryPr>
          <m:sub>
            <m:r>
              <m:t xml:space="preserve">−</m:t>
            </m:r>
            <m:r>
              <m:t xml:space="preserve">∞</m:t>
            </m:r>
          </m:sub>
          <m:sup>
            <m:r>
              <m:t xml:space="preserve">∞</m:t>
            </m:r>
          </m:sup>
          <m:e>
            <m:sSub>
              <m:e>
                <m:r>
                  <m:t xml:space="preserve">T</m:t>
                </m:r>
              </m:e>
              <m:sub>
                <m:r>
                  <m:t xml:space="preserve">k</m:t>
                </m:r>
              </m:sub>
            </m:sSub>
            <m:r>
              <m:t xml:space="preserve">(</m:t>
            </m:r>
            <m:sSub>
              <m:e>
                <m:r>
                  <m:t xml:space="preserve">u</m:t>
                </m:r>
              </m:e>
              <m:sub>
                <m:r>
                  <m:t xml:space="preserve">k</m:t>
                </m:r>
              </m:sub>
            </m:sSub>
            <m:r>
              <m:t xml:space="preserve">)</m:t>
            </m:r>
            <m:sSub>
              <m:e>
                <m:r>
                  <m:t xml:space="preserve">H</m:t>
                </m:r>
              </m:e>
              <m:sub>
                <m:r>
                  <m:t xml:space="preserve">n</m:t>
                </m:r>
              </m:sub>
            </m:sSub>
            <m:r>
              <m:t xml:space="preserve">(</m:t>
            </m:r>
            <m:sSub>
              <m:e>
                <m:r>
                  <m:t xml:space="preserve">u</m:t>
                </m:r>
              </m:e>
              <m:sub>
                <m:r>
                  <m:t xml:space="preserve">k</m:t>
                </m:r>
              </m:sub>
            </m:sSub>
            <m:r>
              <m:t xml:space="preserve">)</m:t>
            </m:r>
            <m:r>
              <m:t xml:space="preserve">φ</m:t>
            </m:r>
            <m:r>
              <m:t xml:space="preserve">(</m:t>
            </m:r>
            <m:sSub>
              <m:e>
                <m:r>
                  <m:t xml:space="preserve">u</m:t>
                </m:r>
              </m:e>
              <m:sub>
                <m:r>
                  <m:t xml:space="preserve">k</m:t>
                </m:r>
              </m:sub>
            </m:sSub>
            <m:r>
              <m:t xml:space="preserve">)</m:t>
            </m:r>
            <m:sSub>
              <m:e>
                <m:r>
                  <m:rPr>
                    <m:lit/>
                    <m:nor/>
                  </m:rPr>
                  <m:t xml:space="preserve">du</m:t>
                </m:r>
              </m:e>
              <m:sub>
                <m:r>
                  <m:t xml:space="preserve">k</m:t>
                </m:r>
              </m:sub>
            </m:sSub>
          </m:e>
        </m:nary>
      </m:oMath>
      <w:r>
        <w:rPr/>
        <w:tab/>
        <w:tab/>
        <w:tab/>
        <w:tab/>
        <w:t>(I.5)</w:t>
      </w:r>
    </w:p>
    <w:p>
      <w:pPr>
        <w:pStyle w:val="Normal"/>
        <w:rPr/>
      </w:pPr>
      <w:r>
        <w:rPr/>
      </w:r>
    </w:p>
    <w:p>
      <w:pPr>
        <w:pStyle w:val="Normal"/>
        <w:rPr/>
      </w:pPr>
      <w:r>
        <w:rPr/>
        <w:t xml:space="preserve">In these notations, </w:t>
      </w:r>
      <w:r>
        <w:rPr>
          <w:i/>
          <w:iCs/>
        </w:rPr>
        <w:t>E(X</w:t>
      </w:r>
      <w:r>
        <w:rPr>
          <w:rFonts w:cs="Times;Times New Roman" w:ascii="Times;Times New Roman" w:hAnsi="Times;Times New Roman"/>
          <w:i/>
          <w:iCs/>
          <w:vertAlign w:val="subscript"/>
        </w:rPr>
        <w:t>i</w:t>
      </w:r>
      <w:r>
        <w:rPr>
          <w:i/>
          <w:iCs/>
        </w:rPr>
        <w:t>) = t</w:t>
      </w:r>
      <w:r>
        <w:rPr>
          <w:i/>
          <w:iCs/>
          <w:vertAlign w:val="subscript"/>
        </w:rPr>
        <w:t>i</w:t>
      </w:r>
      <w:r>
        <w:rPr>
          <w:rFonts w:cs="Times;Times New Roman" w:ascii="Times;Times New Roman" w:hAnsi="Times;Times New Roman"/>
          <w:i/>
          <w:iCs/>
          <w:vertAlign w:val="subscript"/>
        </w:rPr>
        <w:t>0</w:t>
      </w:r>
      <w:r>
        <w:rPr/>
        <w:t xml:space="preserve"> and </w:t>
      </w:r>
      <w:r>
        <w:rPr>
          <w:i/>
          <w:iCs/>
        </w:rPr>
        <w:t>E(X</w:t>
      </w:r>
      <w:r>
        <w:rPr>
          <w:rFonts w:cs="Times;Times New Roman" w:ascii="Times;Times New Roman" w:hAnsi="Times;Times New Roman"/>
          <w:i/>
          <w:iCs/>
          <w:vertAlign w:val="subscript"/>
        </w:rPr>
        <w:t>j</w:t>
      </w:r>
      <w:r>
        <w:rPr>
          <w:i/>
          <w:iCs/>
        </w:rPr>
        <w:t>) = t</w:t>
      </w:r>
      <w:r>
        <w:rPr>
          <w:i/>
          <w:iCs/>
          <w:vertAlign w:val="subscript"/>
        </w:rPr>
        <w:t>j</w:t>
      </w:r>
      <w:r>
        <w:rPr>
          <w:rFonts w:cs="Times;Times New Roman" w:ascii="Times;Times New Roman" w:hAnsi="Times;Times New Roman"/>
          <w:i/>
          <w:iCs/>
          <w:vertAlign w:val="subscript"/>
        </w:rPr>
        <w:t>0</w:t>
      </w:r>
      <w:r>
        <w:rPr/>
        <w:t xml:space="preserve">. Coefficients </w:t>
      </w:r>
      <w:r>
        <w:rPr>
          <w:i/>
          <w:iCs/>
        </w:rPr>
        <w:t>t</w:t>
      </w:r>
      <w:r>
        <w:rPr>
          <w:i/>
          <w:iCs/>
          <w:vertAlign w:val="subscript"/>
        </w:rPr>
        <w:t>in</w:t>
      </w:r>
      <w:r>
        <w:rPr>
          <w:i/>
          <w:iCs/>
        </w:rPr>
        <w:t xml:space="preserve"> </w:t>
      </w:r>
      <w:r>
        <w:rPr/>
        <w:t xml:space="preserve">and </w:t>
      </w:r>
      <w:r>
        <w:rPr>
          <w:i/>
          <w:iCs/>
        </w:rPr>
        <w:t>t</w:t>
      </w:r>
      <w:r>
        <w:rPr>
          <w:i/>
          <w:iCs/>
          <w:vertAlign w:val="subscript"/>
        </w:rPr>
        <w:t>jn</w:t>
      </w:r>
      <w:r>
        <w:rPr/>
        <w:t xml:space="preserve"> in (I.5) are scalar products of the transformation function and the corresponding Hermite polynomial with weight </w:t>
      </w:r>
      <w:r>
        <w:rPr>
          <w:rFonts w:eastAsia="Symbol" w:cs="Symbol" w:ascii="Symbol" w:hAnsi="Symbol"/>
          <w:i/>
          <w:iCs/>
        </w:rPr>
        <w:sym w:font="Symbol" w:char="6a"/>
      </w:r>
      <w:r>
        <w:rPr/>
        <w:t xml:space="preserve">, where </w:t>
      </w:r>
      <w:r>
        <w:rPr>
          <w:rFonts w:eastAsia="Symbol" w:cs="Symbol" w:ascii="Symbol" w:hAnsi="Symbol"/>
          <w:i/>
          <w:iCs/>
        </w:rPr>
        <w:sym w:font="Symbol" w:char="6a"/>
      </w:r>
      <w:r>
        <w:rPr>
          <w:i/>
          <w:iCs/>
        </w:rPr>
        <w:t xml:space="preserve"> </w:t>
      </w:r>
      <w:r>
        <w:rPr/>
        <w:t>(.) is a one-dimensional Gaussian probability density function.</w:t>
      </w:r>
    </w:p>
    <w:p>
      <w:pPr>
        <w:pStyle w:val="Normal"/>
        <w:rPr/>
      </w:pPr>
      <w:r>
        <w:rPr/>
      </w:r>
    </w:p>
    <w:p>
      <w:pPr>
        <w:pStyle w:val="Normal"/>
        <w:rPr/>
      </w:pPr>
      <w:r>
        <w:rPr/>
        <w:t xml:space="preserve">The expression for covariance of </w:t>
      </w:r>
      <w:r>
        <w:rPr>
          <w:i/>
          <w:iCs/>
        </w:rPr>
        <w:t>X</w:t>
      </w:r>
      <w:r>
        <w:rPr>
          <w:rFonts w:cs="Times;Times New Roman" w:ascii="Times;Times New Roman" w:hAnsi="Times;Times New Roman"/>
          <w:i/>
          <w:iCs/>
          <w:vertAlign w:val="subscript"/>
        </w:rPr>
        <w:t>i</w:t>
      </w:r>
      <w:r>
        <w:rPr/>
        <w:t xml:space="preserve"> and </w:t>
      </w:r>
      <w:r>
        <w:rPr>
          <w:i/>
          <w:iCs/>
        </w:rPr>
        <w:t>Xj</w:t>
      </w:r>
      <w:r>
        <w:rPr/>
        <w:t xml:space="preserve"> can then be expressed as follows:</w:t>
      </w:r>
    </w:p>
    <w:p>
      <w:pPr>
        <w:pStyle w:val="Normal"/>
        <w:rPr/>
      </w:pPr>
      <w:r>
        <w:rPr/>
      </w:r>
      <m:oMath xmlns:m="http://schemas.openxmlformats.org/officeDocument/2006/math">
        <m:eqArr>
          <m:e>
            <m:r>
              <m:t xml:space="preserve">E</m:t>
            </m:r>
            <m:r>
              <m:t xml:space="preserve">[</m:t>
            </m:r>
            <m:sSub>
              <m:e>
                <m:r>
                  <m:t xml:space="preserve">X</m:t>
                </m:r>
              </m:e>
              <m:sub>
                <m:r>
                  <m:t xml:space="preserve">i</m:t>
                </m:r>
              </m:sub>
            </m:sSub>
            <m:sSub>
              <m:e>
                <m:r>
                  <m:t xml:space="preserve">X</m:t>
                </m:r>
              </m:e>
              <m:sub>
                <m:r>
                  <m:t xml:space="preserve">j</m:t>
                </m:r>
              </m:sub>
            </m:sSub>
            <m:r>
              <m:t xml:space="preserve">]</m:t>
            </m:r>
            <m:r>
              <m:t xml:space="preserve">−</m:t>
            </m:r>
            <m:r>
              <m:t xml:space="preserve">E</m:t>
            </m:r>
            <m:r>
              <m:t xml:space="preserve">[</m:t>
            </m:r>
            <m:sSub>
              <m:e>
                <m:r>
                  <m:t xml:space="preserve">X</m:t>
                </m:r>
              </m:e>
              <m:sub>
                <m:r>
                  <m:t xml:space="preserve">i</m:t>
                </m:r>
              </m:sub>
            </m:sSub>
            <m:r>
              <m:t xml:space="preserve">]</m:t>
            </m:r>
            <m:r>
              <m:t xml:space="preserve">E</m:t>
            </m:r>
            <m:r>
              <m:t xml:space="preserve">[</m:t>
            </m:r>
            <m:sSub>
              <m:e>
                <m:r>
                  <m:t xml:space="preserve">X</m:t>
                </m:r>
              </m:e>
              <m:sub>
                <m:r>
                  <m:t xml:space="preserve">j</m:t>
                </m:r>
              </m:sub>
            </m:sSub>
            <m:r>
              <m:t xml:space="preserve">]</m:t>
            </m:r>
            <m:r>
              <m:t xml:space="preserve">=</m:t>
            </m:r>
            <m:nary>
              <m:naryPr>
                <m:chr m:val="∫"/>
              </m:naryPr>
              <m:sub>
                <m:r>
                  <m:t xml:space="preserve">−</m:t>
                </m:r>
                <m:r>
                  <m:t xml:space="preserve">∞</m:t>
                </m:r>
              </m:sub>
              <m:sup>
                <m:r>
                  <m:t xml:space="preserve">∞</m:t>
                </m:r>
              </m:sup>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T</m:t>
                </m:r>
              </m:e>
              <m:sub>
                <m:r>
                  <m:t xml:space="preserve">j</m:t>
                </m:r>
              </m:sub>
            </m:sSub>
            <m:r>
              <m:t xml:space="preserve">(</m:t>
            </m:r>
            <m:sSub>
              <m:e>
                <m:r>
                  <m:t xml:space="preserve">u</m:t>
                </m:r>
              </m:e>
              <m:sub>
                <m:r>
                  <m:t xml:space="preserve">j</m:t>
                </m:r>
              </m:sub>
            </m:sSub>
            <m:r>
              <m:t xml:space="preserve">)</m:t>
            </m:r>
            <m:sSub>
              <m:e>
                <m:r>
                  <m:t xml:space="preserve">φ</m:t>
                </m:r>
              </m:e>
              <m:sub>
                <m:r>
                  <m:t xml:space="preserve">2</m:t>
                </m:r>
              </m:sub>
            </m:sSub>
            <m:r>
              <m:t xml:space="preserve">(</m:t>
            </m:r>
            <m:sSub>
              <m:e>
                <m:r>
                  <m:t xml:space="preserve">u</m:t>
                </m:r>
              </m:e>
              <m:sub>
                <m:r>
                  <m:t xml:space="preserve">i</m:t>
                </m:r>
              </m:sub>
            </m:sSub>
            <m:r>
              <m:t xml:space="preserve">,</m:t>
            </m:r>
            <m:sSub>
              <m:e>
                <m:r>
                  <m:t xml:space="preserve">u</m:t>
                </m:r>
              </m:e>
              <m:sub>
                <m:r>
                  <m:t xml:space="preserve">j</m:t>
                </m:r>
              </m:sub>
            </m:sSub>
            <m:r>
              <m:t xml:space="preserve">,</m:t>
            </m:r>
            <m:sSub>
              <m:e>
                <m:r>
                  <m:t xml:space="preserve">ρ</m:t>
                </m:r>
              </m:e>
              <m:sub>
                <m:r>
                  <m:t xml:space="preserve">u</m:t>
                </m:r>
              </m:sub>
            </m:sSub>
            <m:r>
              <m:t xml:space="preserve">)</m:t>
            </m:r>
            <m:sSub>
              <m:e>
                <m:r>
                  <m:rPr>
                    <m:lit/>
                    <m:nor/>
                  </m:rPr>
                  <m:t xml:space="preserve">du</m:t>
                </m:r>
              </m:e>
              <m:sub>
                <m:r>
                  <m:t xml:space="preserve">i</m:t>
                </m:r>
              </m:sub>
            </m:sSub>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m:t>
                </m:r>
                <m:r>
                  <m:t xml:space="preserve">∞</m:t>
                </m:r>
              </m:sub>
              <m:sup>
                <m:r>
                  <m:t xml:space="preserve">∞</m:t>
                </m:r>
              </m:sup>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T</m:t>
                </m:r>
              </m:e>
              <m:sub>
                <m:r>
                  <m:t xml:space="preserve">j</m:t>
                </m:r>
              </m:sub>
            </m:sSub>
            <m:r>
              <m:t xml:space="preserve">(</m:t>
            </m:r>
            <m:sSub>
              <m:e>
                <m:r>
                  <m:t xml:space="preserve">u</m:t>
                </m:r>
              </m:e>
              <m:sub>
                <m:r>
                  <m:t xml:space="preserve">j</m:t>
                </m:r>
              </m:sub>
            </m:sSub>
            <m:r>
              <m:t xml:space="preserve">)</m:t>
            </m:r>
            <m:r>
              <m:t xml:space="preserve">φ</m:t>
            </m:r>
            <m:r>
              <m:t xml:space="preserve">(</m:t>
            </m:r>
            <m:sSub>
              <m:e>
                <m:r>
                  <m:t xml:space="preserve">u</m:t>
                </m:r>
              </m:e>
              <m:sub>
                <m:r>
                  <m:t xml:space="preserve">i</m:t>
                </m:r>
              </m:sub>
            </m:sSub>
            <m:r>
              <m:t xml:space="preserve">)</m:t>
            </m:r>
            <m:r>
              <m:t xml:space="preserve">φ</m:t>
            </m:r>
            <m:r>
              <m:t xml:space="preserve">(</m:t>
            </m:r>
            <m:sSub>
              <m:e>
                <m:r>
                  <m:t xml:space="preserve">u</m:t>
                </m:r>
              </m:e>
              <m:sub>
                <m:r>
                  <m:t xml:space="preserve">j</m:t>
                </m:r>
              </m:sub>
            </m:sSub>
            <m:r>
              <m:t xml:space="preserve">)</m:t>
            </m:r>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sSub>
                  <m:e>
                    <m:r>
                      <m:t xml:space="preserve">H</m:t>
                    </m:r>
                  </m:e>
                  <m:sub>
                    <m:r>
                      <m:t xml:space="preserve">n</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j</m:t>
                    </m:r>
                  </m:sub>
                </m:sSub>
                <m:r>
                  <m:t xml:space="preserve">)</m:t>
                </m:r>
              </m:e>
            </m:nary>
            <m:sSub>
              <m:e>
                <m:r>
                  <m:rPr>
                    <m:lit/>
                    <m:nor/>
                  </m:rPr>
                  <m:t xml:space="preserve">du</m:t>
                </m:r>
              </m:e>
              <m:sub>
                <m:r>
                  <m:t xml:space="preserve">i</m:t>
                </m:r>
              </m:sub>
            </m:sSub>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i</m:t>
                </m:r>
              </m:sub>
            </m:sSub>
            <m:r>
              <m:t xml:space="preserve">)</m:t>
            </m:r>
            <m:r>
              <m:t xml:space="preserve">φ</m:t>
            </m:r>
            <m:r>
              <m:t xml:space="preserve">(</m:t>
            </m:r>
            <m:sSub>
              <m:e>
                <m:r>
                  <m:t xml:space="preserve">u</m:t>
                </m:r>
              </m:e>
              <m:sub>
                <m:r>
                  <m:t xml:space="preserve">i</m:t>
                </m:r>
              </m:sub>
            </m:sSub>
            <m:r>
              <m:t xml:space="preserve">)</m:t>
            </m:r>
            <m:sSub>
              <m:e>
                <m:r>
                  <m:rPr>
                    <m:lit/>
                    <m:nor/>
                  </m:rPr>
                  <m:t xml:space="preserve">du</m:t>
                </m:r>
              </m:e>
              <m:sub>
                <m:r>
                  <m:t xml:space="preserve">i</m:t>
                </m:r>
              </m:sub>
            </m:sSub>
            <m:nary>
              <m:naryPr>
                <m:chr m:val="∫"/>
              </m:naryPr>
              <m:sub>
                <m:r>
                  <m:t xml:space="preserve">−</m:t>
                </m:r>
                <m:r>
                  <m:t xml:space="preserve">∞</m:t>
                </m:r>
              </m:sub>
              <m:sup>
                <m:r>
                  <m:t xml:space="preserve">∞</m:t>
                </m:r>
              </m:sup>
              <m:e/>
            </m:nary>
            <m:sSub>
              <m:e>
                <m:r>
                  <m:t xml:space="preserve">T</m:t>
                </m:r>
              </m:e>
              <m:sub>
                <m:r>
                  <m:t xml:space="preserve">j</m:t>
                </m:r>
              </m:sub>
            </m:sSub>
            <m:r>
              <m:t xml:space="preserve">(</m:t>
            </m:r>
            <m:sSub>
              <m:e>
                <m:r>
                  <m:t xml:space="preserve">u</m:t>
                </m:r>
              </m:e>
              <m:sub>
                <m:r>
                  <m:t xml:space="preserve">j</m:t>
                </m:r>
              </m:sub>
            </m:sSub>
            <m:r>
              <m:t xml:space="preserve">)</m:t>
            </m:r>
            <m:sSub>
              <m:e>
                <m:r>
                  <m:t xml:space="preserve">H</m:t>
                </m:r>
              </m:e>
              <m:sub>
                <m:r>
                  <m:t xml:space="preserve">n</m:t>
                </m:r>
              </m:sub>
            </m:sSub>
            <m:r>
              <m:t xml:space="preserve">(</m:t>
            </m:r>
            <m:sSub>
              <m:e>
                <m:r>
                  <m:t xml:space="preserve">u</m:t>
                </m:r>
              </m:e>
              <m:sub>
                <m:r>
                  <m:t xml:space="preserve">j</m:t>
                </m:r>
              </m:sub>
            </m:sSub>
            <m:r>
              <m:t xml:space="preserve">)</m:t>
            </m:r>
            <m:r>
              <m:t xml:space="preserve">φ</m:t>
            </m:r>
            <m:r>
              <m:t xml:space="preserve">(</m:t>
            </m:r>
            <m:sSub>
              <m:e>
                <m:r>
                  <m:t xml:space="preserve">u</m:t>
                </m:r>
              </m:e>
              <m:sub>
                <m:r>
                  <m:t xml:space="preserve">j</m:t>
                </m:r>
              </m:sub>
            </m:sSub>
            <m:r>
              <m:t xml:space="preserve">)</m:t>
            </m:r>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n</m:t>
                </m:r>
                <m:r>
                  <m:t xml:space="preserve">=</m:t>
                </m:r>
                <m:r>
                  <m:t xml:space="preserve">1</m:t>
                </m:r>
              </m:sub>
              <m:sup>
                <m:r>
                  <m:t xml:space="preserve">∞</m:t>
                </m:r>
              </m:sup>
              <m:e>
                <m:f>
                  <m:num>
                    <m:sSubSup>
                      <m:e>
                        <m:r>
                          <m:t xml:space="preserve">ρ</m:t>
                        </m:r>
                      </m:e>
                      <m:sub>
                        <m:r>
                          <m:t xml:space="preserve">u</m:t>
                        </m:r>
                      </m:sub>
                      <m:sup>
                        <m:r>
                          <m:t xml:space="preserve">n</m:t>
                        </m:r>
                      </m:sup>
                    </m:sSubSup>
                  </m:num>
                  <m:den>
                    <m:r>
                      <m:t xml:space="preserve">n</m:t>
                    </m:r>
                    <m:r>
                      <m:t xml:space="preserve">!</m:t>
                    </m:r>
                  </m:den>
                </m:f>
                <m:r>
                  <m:t xml:space="preserve"> </m:t>
                </m:r>
              </m:e>
            </m:nary>
            <m:sSub>
              <m:e>
                <m:r>
                  <m:t xml:space="preserve">t</m:t>
                </m:r>
              </m:e>
              <m:sub>
                <m:r>
                  <m:rPr>
                    <m:lit/>
                    <m:nor/>
                  </m:rPr>
                  <m:t xml:space="preserve">in</m:t>
                </m:r>
              </m:sub>
            </m:sSub>
            <m:sSub>
              <m:e>
                <m:r>
                  <m:t xml:space="preserve">t</m:t>
                </m:r>
              </m:e>
              <m:sub>
                <m:r>
                  <m:rPr>
                    <m:lit/>
                    <m:nor/>
                  </m:rPr>
                  <m:t xml:space="preserve">jn</m:t>
                </m:r>
              </m:sub>
            </m:sSub>
          </m:e>
        </m:eqArr>
      </m:oMath>
      <w:r>
        <w:rPr/>
        <w:tab/>
        <w:t>(I.6)</w:t>
      </w:r>
    </w:p>
    <w:p>
      <w:pPr>
        <w:pStyle w:val="Normal"/>
        <w:rPr/>
      </w:pPr>
      <w:r>
        <w:rPr/>
      </w:r>
    </w:p>
    <w:p>
      <w:pPr>
        <w:pStyle w:val="Normal"/>
        <w:rPr/>
      </w:pPr>
      <w:r>
        <w:rPr/>
        <w:t xml:space="preserve">Hence, the mapping relationship between the correlation in </w:t>
      </w:r>
      <w:r>
        <w:rPr>
          <w:i/>
          <w:iCs/>
        </w:rPr>
        <w:t>x</w:t>
      </w:r>
      <w:r>
        <w:rPr/>
        <w:t xml:space="preserve">- and </w:t>
      </w:r>
      <w:r>
        <w:rPr>
          <w:i/>
          <w:iCs/>
        </w:rPr>
        <w:t>u</w:t>
      </w:r>
      <w:r>
        <w:rPr/>
        <w:t>-space can be derived as follows:</w:t>
      </w:r>
    </w:p>
    <w:p>
      <w:pPr>
        <w:pStyle w:val="Normal"/>
        <w:rPr/>
      </w:pPr>
      <w:r>
        <w:rPr/>
      </w:r>
    </w:p>
    <w:p>
      <w:pPr>
        <w:pStyle w:val="Normal"/>
        <w:rPr/>
      </w:pPr>
      <w:r>
        <w:rPr/>
      </w:r>
      <m:oMath xmlns:m="http://schemas.openxmlformats.org/officeDocument/2006/math">
        <m:sSub>
          <m:e>
            <m:r>
              <m:t xml:space="preserve">ρ</m:t>
            </m:r>
          </m:e>
          <m:sub>
            <m:sSub>
              <m:e>
                <m:r>
                  <m:t xml:space="preserve">x</m:t>
                </m:r>
              </m:e>
              <m:sub>
                <m:r>
                  <m:t xml:space="preserve">i</m:t>
                </m:r>
              </m:sub>
            </m:sSub>
            <m:sSub>
              <m:e>
                <m:r>
                  <m:t xml:space="preserve">x</m:t>
                </m:r>
              </m:e>
              <m:sub>
                <m:r>
                  <m:t xml:space="preserve">j</m:t>
                </m:r>
              </m:sub>
            </m:sSub>
          </m:sub>
        </m:sSub>
        <m:r>
          <m:t xml:space="preserve">=</m:t>
        </m:r>
        <m:f>
          <m:num>
            <m:r>
              <m:rPr>
                <m:lit/>
                <m:nor/>
              </m:rPr>
              <m:t xml:space="preserve">COV</m:t>
            </m:r>
            <m:r>
              <m:t xml:space="preserve">[</m:t>
            </m:r>
            <m:sSub>
              <m:e>
                <m:r>
                  <m:t xml:space="preserve">X</m:t>
                </m:r>
              </m:e>
              <m:sub>
                <m:r>
                  <m:t xml:space="preserve">i</m:t>
                </m:r>
              </m:sub>
            </m:sSub>
            <m:sSub>
              <m:e>
                <m:r>
                  <m:t xml:space="preserve">X</m:t>
                </m:r>
              </m:e>
              <m:sub>
                <m:r>
                  <m:t xml:space="preserve">j</m:t>
                </m:r>
              </m:sub>
            </m:sSub>
            <m:r>
              <m:t xml:space="preserve">]</m:t>
            </m:r>
          </m:num>
          <m:den>
            <m:sSub>
              <m:e>
                <m:r>
                  <m:t xml:space="preserve">σ</m:t>
                </m:r>
              </m:e>
              <m:sub>
                <m:sSub>
                  <m:e>
                    <m:r>
                      <m:t xml:space="preserve">x</m:t>
                    </m:r>
                  </m:e>
                  <m:sub>
                    <m:r>
                      <m:t xml:space="preserve">i</m:t>
                    </m:r>
                  </m:sub>
                </m:sSub>
              </m:sub>
            </m:sSub>
            <m:sSub>
              <m:e>
                <m:r>
                  <m:t xml:space="preserve">σ</m:t>
                </m:r>
              </m:e>
              <m:sub>
                <m:sSub>
                  <m:e>
                    <m:r>
                      <m:t xml:space="preserve">x</m:t>
                    </m:r>
                  </m:e>
                  <m:sub>
                    <m:r>
                      <m:t xml:space="preserve">j</m:t>
                    </m:r>
                  </m:sub>
                </m:sSub>
              </m:sub>
            </m:sSub>
            <m:r>
              <m:t xml:space="preserve">x</m:t>
            </m:r>
          </m:den>
        </m:f>
        <m:r>
          <m:t xml:space="preserve">=</m:t>
        </m:r>
        <m:nary>
          <m:naryPr>
            <m:chr m:val="∑"/>
          </m:naryPr>
          <m:sub>
            <m:r>
              <m:t xml:space="preserve">n</m:t>
            </m:r>
            <m:r>
              <m:t xml:space="preserve">=</m:t>
            </m:r>
            <m:r>
              <m:t xml:space="preserve">1</m:t>
            </m:r>
          </m:sub>
          <m:sup>
            <m:r>
              <m:t xml:space="preserve">∞</m:t>
            </m:r>
          </m:sup>
          <m:e>
            <m:f>
              <m:num>
                <m:sSub>
                  <m:e>
                    <m:r>
                      <m:t xml:space="preserve">t</m:t>
                    </m:r>
                  </m:e>
                  <m:sub>
                    <m:r>
                      <m:rPr>
                        <m:lit/>
                        <m:nor/>
                      </m:rPr>
                      <m:t xml:space="preserve">in</m:t>
                    </m:r>
                  </m:sub>
                </m:sSub>
                <m:sSub>
                  <m:e>
                    <m:r>
                      <m:t xml:space="preserve">t</m:t>
                    </m:r>
                  </m:e>
                  <m:sub>
                    <m:r>
                      <m:rPr>
                        <m:lit/>
                        <m:nor/>
                      </m:rPr>
                      <m:t xml:space="preserve">in</m:t>
                    </m:r>
                  </m:sub>
                </m:sSub>
              </m:num>
              <m:den>
                <m:r>
                  <m:t xml:space="preserve">n</m:t>
                </m:r>
                <m:r>
                  <m:t xml:space="preserve">!</m:t>
                </m:r>
                <m:sSub>
                  <m:e>
                    <m:r>
                      <m:t xml:space="preserve">σ</m:t>
                    </m:r>
                  </m:e>
                  <m:sub>
                    <m:r>
                      <m:rPr>
                        <m:lit/>
                        <m:nor/>
                      </m:rPr>
                      <m:t xml:space="preserve">xi</m:t>
                    </m:r>
                  </m:sub>
                </m:sSub>
                <m:sSub>
                  <m:e>
                    <m:r>
                      <m:t xml:space="preserve">σ</m:t>
                    </m:r>
                  </m:e>
                  <m:sub>
                    <m:r>
                      <m:rPr>
                        <m:lit/>
                        <m:nor/>
                      </m:rPr>
                      <m:t xml:space="preserve">xj</m:t>
                    </m:r>
                  </m:sub>
                </m:sSub>
              </m:den>
            </m:f>
          </m:e>
        </m:nary>
        <m:r>
          <m:t xml:space="preserve"> </m:t>
        </m:r>
        <m:sSubSup>
          <m:e>
            <m:r>
              <m:t xml:space="preserve">ρ</m:t>
            </m:r>
          </m:e>
          <m:sub>
            <m:r>
              <m:t xml:space="preserve">u</m:t>
            </m:r>
          </m:sub>
          <m:sup>
            <m:r>
              <m:t xml:space="preserve">n</m:t>
            </m:r>
          </m:sup>
        </m:sSubSup>
      </m:oMath>
      <w:r>
        <w:rPr/>
        <w:tab/>
        <w:tab/>
        <w:tab/>
        <w:tab/>
        <w:tab/>
        <w:tab/>
        <w:tab/>
        <w:t>(I.7)</w:t>
      </w:r>
    </w:p>
    <w:p>
      <w:pPr>
        <w:pStyle w:val="Normal"/>
        <w:rPr/>
      </w:pPr>
      <w:r>
        <w:rPr/>
        <w:t xml:space="preserve">where, </w:t>
      </w:r>
      <w:r>
        <w:rPr>
          <w:rFonts w:eastAsia="Symbol" w:cs="Symbol" w:ascii="Symbol" w:hAnsi="Symbol"/>
          <w:i/>
          <w:iCs/>
        </w:rPr>
        <w:sym w:font="Symbol" w:char="73"/>
      </w:r>
      <w:r>
        <w:rPr>
          <w:rFonts w:cs="Times;Times New Roman" w:ascii="Times;Times New Roman" w:hAnsi="Times;Times New Roman"/>
          <w:i/>
          <w:iCs/>
          <w:vertAlign w:val="subscript"/>
        </w:rPr>
        <w:t>xi</w:t>
      </w:r>
      <w:r>
        <w:rPr/>
        <w:t xml:space="preserve"> and </w:t>
      </w:r>
      <w:r>
        <w:rPr>
          <w:rFonts w:eastAsia="Symbol" w:cs="Symbol" w:ascii="Symbol" w:hAnsi="Symbol"/>
          <w:i/>
          <w:iCs/>
        </w:rPr>
        <w:sym w:font="Symbol" w:char="73"/>
      </w:r>
      <w:r>
        <w:rPr>
          <w:rFonts w:cs="Times;Times New Roman" w:ascii="Times;Times New Roman" w:hAnsi="Times;Times New Roman"/>
          <w:i/>
          <w:iCs/>
          <w:vertAlign w:val="subscript"/>
        </w:rPr>
        <w:t>xj</w:t>
      </w:r>
      <w:r>
        <w:rPr/>
        <w:t xml:space="preserve"> are standard deviations of X</w:t>
      </w:r>
      <w:r>
        <w:rPr>
          <w:rFonts w:cs="Times;Times New Roman" w:ascii="Times;Times New Roman" w:hAnsi="Times;Times New Roman"/>
          <w:vertAlign w:val="subscript"/>
        </w:rPr>
        <w:t>i</w:t>
      </w:r>
      <w:r>
        <w:rPr/>
        <w:t xml:space="preserve"> and X</w:t>
      </w:r>
      <w:r>
        <w:rPr>
          <w:vertAlign w:val="subscript"/>
        </w:rPr>
        <w:t>j</w:t>
      </w:r>
      <w:r>
        <w:rPr/>
        <w:t xml:space="preserve"> respectively. Usually a satisfactory estimate of </w:t>
      </w:r>
      <w:r>
        <w:rPr>
          <w:rFonts w:cs="Symbol" w:ascii="Symbol" w:hAnsi="Symbol"/>
          <w:i/>
          <w:iCs/>
        </w:rPr>
        <w:sym w:font="Symbol" w:char="f072"/>
      </w:r>
      <w:r>
        <w:rPr>
          <w:i/>
          <w:iCs/>
          <w:vertAlign w:val="subscript"/>
        </w:rPr>
        <w:t>u</w:t>
      </w:r>
      <w:r>
        <w:rPr/>
        <w:t xml:space="preserve"> can be obtained by truncating the series at </w:t>
      </w:r>
      <w:r>
        <w:rPr>
          <w:i/>
          <w:iCs/>
        </w:rPr>
        <w:t>n = 3</w:t>
      </w:r>
      <w:r>
        <w:rPr/>
        <w:t xml:space="preserve"> and inverting the resulting cubic equation.  </w:t>
      </w:r>
    </w:p>
    <w:p>
      <w:pPr>
        <w:pStyle w:val="Normal"/>
        <w:rPr/>
      </w:pPr>
      <w:r>
        <w:rPr/>
        <w:t>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end="-36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360"/>
      <w:outlineLvl w:val="0"/>
    </w:pPr>
    <w:rPr>
      <w:b/>
      <w:bCs/>
      <w:sz w:val="28"/>
    </w:rPr>
  </w:style>
  <w:style w:type="paragraph" w:styleId="Heading2">
    <w:name w:val="heading 2"/>
    <w:basedOn w:val="Normal"/>
    <w:next w:val="Normal"/>
    <w:qFormat/>
    <w:pPr>
      <w:keepNext w:val="true"/>
      <w:numPr>
        <w:ilvl w:val="1"/>
        <w:numId w:val="1"/>
      </w:numPr>
      <w:ind w:hanging="0" w:start="720" w:end="0"/>
      <w:jc w:val="center"/>
      <w:outlineLvl w:val="1"/>
    </w:pPr>
    <w:rPr>
      <w:i/>
      <w:iCs/>
    </w:rPr>
  </w:style>
  <w:style w:type="paragraph" w:styleId="Heading3">
    <w:name w:val="heading 3"/>
    <w:basedOn w:val="Normal"/>
    <w:next w:val="Normal"/>
    <w:qFormat/>
    <w:pPr>
      <w:keepNext w:val="true"/>
      <w:numPr>
        <w:ilvl w:val="2"/>
        <w:numId w:val="1"/>
      </w:numPr>
      <w:ind w:hanging="0" w:start="720" w:end="0"/>
      <w:jc w:val="center"/>
      <w:outlineLvl w:val="2"/>
    </w:pPr>
    <w:rPr>
      <w:b/>
      <w:bCs/>
    </w:rPr>
  </w:style>
  <w:style w:type="paragraph" w:styleId="Heading4">
    <w:name w:val="heading 4"/>
    <w:basedOn w:val="Normal"/>
    <w:next w:val="Normal"/>
    <w:qFormat/>
    <w:pPr>
      <w:keepNext w:val="true"/>
      <w:numPr>
        <w:ilvl w:val="3"/>
        <w:numId w:val="1"/>
      </w:numPr>
      <w:outlineLvl w:val="3"/>
    </w:pPr>
    <w:rPr>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360"/>
    </w:pPr>
    <w:rPr/>
  </w:style>
  <w:style w:type="paragraph" w:styleId="BlockText">
    <w:name w:val="Block Text"/>
    <w:basedOn w:val="Normal"/>
    <w:qFormat/>
    <w:pPr>
      <w:ind w:hanging="0" w:start="360" w:end="-360"/>
    </w:pPr>
    <w:rPr/>
  </w:style>
  <w:style w:type="paragraph" w:styleId="CommentText">
    <w:name w:val="Comment Text"/>
    <w:basedOn w:val="Normal"/>
    <w:qFormat/>
    <w:pPr/>
    <w:rPr>
      <w:sz w:val="20"/>
      <w:szCs w:val="20"/>
    </w:rPr>
  </w:style>
  <w:style w:type="paragraph" w:styleId="BodyText3">
    <w:name w:val="Body Text 3"/>
    <w:basedOn w:val="Normal"/>
    <w:qFormat/>
    <w:pPr>
      <w:ind w:hanging="0" w:start="0" w:end="-36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1.wmf"/><Relationship Id="rId8" Type="http://schemas.openxmlformats.org/officeDocument/2006/relationships/oleObject" Target="embeddings/oleObject4.bin"/><Relationship Id="rId9" Type="http://schemas.openxmlformats.org/officeDocument/2006/relationships/image" Target="media/image2.wmf"/><Relationship Id="rId10" Type="http://schemas.openxmlformats.org/officeDocument/2006/relationships/image" Target="media/image3.wmf"/><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2001-07-15T20:23:00Z</dcterms:created>
  <dc:creator>ttamarc</dc:creator>
  <dc:description/>
  <dc:language>en-CA</dc:language>
  <cp:lastModifiedBy>Rabi S. De</cp:lastModifiedBy>
  <cp:lastPrinted>2001-07-12T17:48:00Z</cp:lastPrinted>
  <dcterms:modified xsi:type="dcterms:W3CDTF">2001-07-16T02:14:00Z</dcterms:modified>
  <cp:revision>8</cp:revision>
  <dc:subject/>
  <dc:title>Application of reliability theory to fast and accurate calculation of Value-at-Risk and other risk measures for portfolio deri</dc:title>
</cp:coreProperties>
</file>