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w:t>
      </w:r>
    </w:p>
    <w:p>
      <w:pPr>
        <w:pStyle w:val="Normal"/>
        <w:rPr/>
      </w:pPr>
      <w:r>
        <w:rPr/>
      </w:r>
    </w:p>
    <w:p>
      <w:pPr>
        <w:pStyle w:val="Normal"/>
        <w:rPr/>
      </w:pPr>
      <w:r>
        <w:rPr/>
        <w:tab/>
        <w:tab/>
        <w:tab/>
        <w:tab/>
        <w:tab/>
        <w:tab/>
        <w:tab/>
      </w:r>
      <w:r>
        <w:rPr>
          <w:b/>
          <w:sz w:val="24"/>
        </w:rPr>
        <w:t>Enron North America Corp.</w:t>
      </w:r>
    </w:p>
    <w:p>
      <w:pPr>
        <w:pStyle w:val="Normal"/>
        <w:rPr/>
      </w:pPr>
      <w:r>
        <w:rPr>
          <w:b/>
          <w:sz w:val="24"/>
        </w:rPr>
        <w:tab/>
        <w:tab/>
        <w:tab/>
        <w:tab/>
        <w:tab/>
        <w:tab/>
        <w:tab/>
      </w:r>
      <w:r>
        <w:rPr>
          <w:i/>
          <w:sz w:val="24"/>
        </w:rPr>
        <w:t>P.O. Box 4428</w:t>
      </w:r>
    </w:p>
    <w:p>
      <w:pPr>
        <w:pStyle w:val="Normal"/>
        <w:rPr>
          <w:i/>
          <w:i/>
          <w:sz w:val="24"/>
        </w:rPr>
      </w:pPr>
      <w:r>
        <w:rPr>
          <w:i/>
          <w:sz w:val="24"/>
        </w:rPr>
        <w:tab/>
        <w:tab/>
        <w:tab/>
        <w:tab/>
        <w:tab/>
        <w:tab/>
        <w:tab/>
        <w:t>Houston, TX 77210-4428</w:t>
      </w:r>
    </w:p>
    <w:p>
      <w:pPr>
        <w:pStyle w:val="Normal"/>
        <w:rPr>
          <w:i/>
          <w:i/>
          <w:sz w:val="24"/>
        </w:rPr>
      </w:pPr>
      <w:r>
        <w:rPr>
          <w:i/>
          <w:sz w:val="24"/>
        </w:rPr>
        <w:tab/>
        <w:tab/>
        <w:tab/>
        <w:tab/>
        <w:tab/>
        <w:tab/>
        <w:tab/>
        <w:t>Phone (713) 853-3300</w:t>
      </w:r>
    </w:p>
    <w:p>
      <w:pPr>
        <w:pStyle w:val="Normal"/>
        <w:rPr>
          <w:sz w:val="24"/>
        </w:rPr>
      </w:pPr>
      <w:r>
        <w:rPr>
          <w:i/>
          <w:sz w:val="24"/>
        </w:rPr>
        <w:tab/>
        <w:tab/>
        <w:tab/>
        <w:tab/>
        <w:tab/>
        <w:tab/>
        <w:tab/>
        <w:t>Fax (713) 646-4816</w:t>
      </w:r>
    </w:p>
    <w:p>
      <w:pPr>
        <w:pStyle w:val="Normal"/>
        <w:rPr>
          <w:sz w:val="24"/>
        </w:rPr>
      </w:pPr>
      <w:r>
        <w:rPr>
          <w:sz w:val="24"/>
        </w:rPr>
      </w:r>
    </w:p>
    <w:p>
      <w:pPr>
        <w:pStyle w:val="Normal"/>
        <w:rPr>
          <w:sz w:val="24"/>
        </w:rPr>
      </w:pPr>
      <w:r>
        <w:rPr>
          <w:sz w:val="24"/>
        </w:rPr>
      </w:r>
    </w:p>
    <w:p>
      <w:pPr>
        <w:pStyle w:val="Normal"/>
        <w:rPr>
          <w:sz w:val="24"/>
        </w:rPr>
      </w:pPr>
      <w:r>
        <w:rPr>
          <w:sz w:val="24"/>
        </w:rPr>
        <w:tab/>
        <w:tab/>
        <w:tab/>
        <w:tab/>
        <w:tab/>
        <w:t>December 18, 2000</w:t>
      </w:r>
    </w:p>
    <w:p>
      <w:pPr>
        <w:pStyle w:val="Normal"/>
        <w:rPr>
          <w:sz w:val="24"/>
        </w:rPr>
      </w:pPr>
      <w:r>
        <w:rPr>
          <w:sz w:val="24"/>
        </w:rPr>
      </w:r>
    </w:p>
    <w:p>
      <w:pPr>
        <w:pStyle w:val="Normal"/>
        <w:rPr>
          <w:sz w:val="24"/>
        </w:rPr>
      </w:pPr>
      <w:r>
        <w:rPr>
          <w:sz w:val="24"/>
        </w:rPr>
        <w:t>Consumers Energy Company</w:t>
      </w:r>
    </w:p>
    <w:p>
      <w:pPr>
        <w:pStyle w:val="Normal"/>
        <w:rPr>
          <w:sz w:val="24"/>
        </w:rPr>
      </w:pPr>
      <w:r>
        <w:rPr>
          <w:sz w:val="24"/>
        </w:rPr>
        <w:t>1945 W Parnall Rd</w:t>
      </w:r>
    </w:p>
    <w:p>
      <w:pPr>
        <w:pStyle w:val="Normal"/>
        <w:rPr>
          <w:sz w:val="24"/>
        </w:rPr>
      </w:pPr>
      <w:r>
        <w:rPr>
          <w:sz w:val="24"/>
        </w:rPr>
        <w:t>Jackson, MI 49201-8658</w:t>
      </w:r>
    </w:p>
    <w:p>
      <w:pPr>
        <w:pStyle w:val="Normal"/>
        <w:rPr>
          <w:sz w:val="24"/>
        </w:rPr>
      </w:pPr>
      <w:r>
        <w:rPr>
          <w:sz w:val="24"/>
        </w:rPr>
      </w:r>
    </w:p>
    <w:p>
      <w:pPr>
        <w:pStyle w:val="Normal"/>
        <w:rPr>
          <w:sz w:val="24"/>
        </w:rPr>
      </w:pPr>
      <w:r>
        <w:rPr>
          <w:sz w:val="24"/>
        </w:rPr>
        <w:t>Attn: Documentation Department</w:t>
      </w:r>
    </w:p>
    <w:p>
      <w:pPr>
        <w:pStyle w:val="Normal"/>
        <w:rPr>
          <w:sz w:val="24"/>
        </w:rPr>
      </w:pPr>
      <w:r>
        <w:rPr>
          <w:sz w:val="24"/>
        </w:rPr>
        <w:t>Fax No: (517) 788-2571</w:t>
      </w:r>
    </w:p>
    <w:p>
      <w:pPr>
        <w:pStyle w:val="Normal"/>
        <w:rPr>
          <w:sz w:val="24"/>
        </w:rPr>
      </w:pPr>
      <w:r>
        <w:rPr>
          <w:sz w:val="24"/>
        </w:rPr>
        <w:t>Trans No: XXXXXX.X/XXXXXX</w:t>
      </w:r>
    </w:p>
    <w:p>
      <w:pPr>
        <w:pStyle w:val="Normal"/>
        <w:rPr>
          <w:sz w:val="24"/>
        </w:rPr>
      </w:pPr>
      <w:r>
        <w:rPr>
          <w:sz w:val="24"/>
        </w:rPr>
      </w:r>
    </w:p>
    <w:p>
      <w:pPr>
        <w:pStyle w:val="Heading1"/>
        <w:ind w:hanging="0" w:start="0"/>
        <w:jc w:val="center"/>
        <w:rPr/>
      </w:pPr>
      <w:r>
        <w:rPr/>
        <w:t>TRANSACTION AGREEMENT</w:t>
      </w:r>
    </w:p>
    <w:p>
      <w:pPr>
        <w:pStyle w:val="Normal"/>
        <w:rPr>
          <w:b/>
          <w:sz w:val="24"/>
        </w:rPr>
      </w:pPr>
      <w:r>
        <w:rPr>
          <w:b/>
          <w:sz w:val="24"/>
        </w:rPr>
      </w:r>
    </w:p>
    <w:p>
      <w:pPr>
        <w:pStyle w:val="BodyText"/>
        <w:rPr/>
      </w:pPr>
      <w:r>
        <w:rPr/>
        <w:t>This Transaction Agreement shall confirm and effectuate the agreement agreed to on December 18, 2000 and binding between Consumers Energy Company (“Customer”) and Enron North America (“ENA” and “Company”) regarding the optimization of transportation capacity on the following terms.</w:t>
      </w:r>
    </w:p>
    <w:p>
      <w:pPr>
        <w:pStyle w:val="Normal"/>
        <w:rPr>
          <w:sz w:val="24"/>
        </w:rPr>
      </w:pPr>
      <w:r>
        <w:rPr>
          <w:sz w:val="24"/>
        </w:rPr>
      </w:r>
    </w:p>
    <w:p>
      <w:pPr>
        <w:pStyle w:val="Normal"/>
        <w:rPr>
          <w:sz w:val="24"/>
        </w:rPr>
      </w:pPr>
      <w:r>
        <w:rPr>
          <w:sz w:val="24"/>
        </w:rPr>
        <w:t>Pipeline:</w:t>
        <w:tab/>
        <w:tab/>
        <w:tab/>
        <w:t>CMS Trunkline Gas Company (“Trunkline”)</w:t>
      </w:r>
    </w:p>
    <w:p>
      <w:pPr>
        <w:pStyle w:val="Normal"/>
        <w:rPr>
          <w:sz w:val="24"/>
        </w:rPr>
      </w:pPr>
      <w:r>
        <w:rPr>
          <w:sz w:val="24"/>
        </w:rPr>
        <w:t>Transportation Capacity:</w:t>
        <w:tab/>
        <w:t>19,354 MMBtu/day</w:t>
      </w:r>
    </w:p>
    <w:p>
      <w:pPr>
        <w:pStyle w:val="Normal"/>
        <w:rPr>
          <w:sz w:val="24"/>
        </w:rPr>
      </w:pPr>
      <w:r>
        <w:rPr>
          <w:sz w:val="24"/>
        </w:rPr>
        <w:t>Term:</w:t>
        <w:tab/>
        <w:tab/>
        <w:tab/>
        <w:tab/>
        <w:t>December 19, 2000 through December 31, 2000</w:t>
      </w:r>
    </w:p>
    <w:p>
      <w:pPr>
        <w:pStyle w:val="Normal"/>
        <w:rPr>
          <w:sz w:val="24"/>
        </w:rPr>
      </w:pPr>
      <w:r>
        <w:rPr>
          <w:sz w:val="24"/>
        </w:rPr>
        <w:t>Receipt Point:</w:t>
        <w:tab/>
        <w:tab/>
        <w:tab/>
        <w:t>Trunkline ELA</w:t>
      </w:r>
    </w:p>
    <w:p>
      <w:pPr>
        <w:pStyle w:val="Normal"/>
        <w:rPr>
          <w:sz w:val="24"/>
        </w:rPr>
      </w:pPr>
      <w:r>
        <w:rPr>
          <w:sz w:val="24"/>
        </w:rPr>
        <w:t>Delivery Point:</w:t>
        <w:tab/>
        <w:tab/>
        <w:t>Customer’s city gate</w:t>
      </w:r>
    </w:p>
    <w:p>
      <w:pPr>
        <w:pStyle w:val="Normal"/>
        <w:ind w:hanging="2880" w:start="2880" w:end="0"/>
        <w:rPr>
          <w:sz w:val="24"/>
        </w:rPr>
      </w:pPr>
      <w:r>
        <w:rPr>
          <w:sz w:val="24"/>
        </w:rPr>
        <w:t>Pipeline Demand:</w:t>
        <w:tab/>
        <w:t>ENA shall pay Trunkline $0.30 per MMBtu of transportation capacity.  Customer shall reimburse ENA for all pipeline demand charges. (A copy of the Trunkline bill will be attached to the invoice ENA submits to Customer.)</w:t>
      </w:r>
    </w:p>
    <w:p>
      <w:pPr>
        <w:pStyle w:val="Normal"/>
        <w:ind w:hanging="2880" w:start="2880" w:end="0"/>
        <w:rPr>
          <w:sz w:val="24"/>
        </w:rPr>
      </w:pPr>
      <w:r>
        <w:rPr>
          <w:sz w:val="24"/>
        </w:rPr>
        <w:t>Optimization Procedure:</w:t>
        <w:tab/>
        <w:t xml:space="preserve">ENA shall inform Customer of the value of the optimization on a daily basis. If Customer is unavailable, ENA shall leave a telephone message informing Customer of the optimization Value for that trading day. ENA does not need Customer’s approval to optimize transport.  Seventy percent (70%) of the optimization shall be credit to Customer on the invoice.  If the Value does not exceed zero during the Term, the optimization credit on the invoice shall be zero. </w:t>
      </w:r>
    </w:p>
    <w:p>
      <w:pPr>
        <w:pStyle w:val="Normal"/>
        <w:ind w:hanging="2880" w:start="2880" w:end="0"/>
        <w:rPr/>
      </w:pPr>
      <w:r>
        <w:rPr>
          <w:sz w:val="24"/>
        </w:rPr>
        <w:t>Other:</w:t>
        <w:tab/>
      </w:r>
      <w:r>
        <w:rPr>
          <w:b/>
          <w:sz w:val="24"/>
          <w:u w:val="single"/>
        </w:rPr>
        <w:t>Confidentiality</w:t>
      </w:r>
      <w:r>
        <w:rPr>
          <w:sz w:val="24"/>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rPr>
          <w:sz w:val="24"/>
        </w:rPr>
      </w:pPr>
      <w:r>
        <w:rPr>
          <w:sz w:val="24"/>
        </w:rPr>
      </w:r>
    </w:p>
    <w:p>
      <w:pPr>
        <w:pStyle w:val="Normal"/>
        <w:rPr>
          <w:sz w:val="24"/>
        </w:rPr>
      </w:pPr>
      <w:r>
        <w:rPr>
          <w:sz w:val="24"/>
        </w:rPr>
      </w:r>
    </w:p>
    <w:p>
      <w:pPr>
        <w:pStyle w:val="Normal"/>
        <w:rPr>
          <w:sz w:val="24"/>
        </w:rPr>
      </w:pPr>
      <w:r>
        <w:rPr>
          <w:sz w:val="24"/>
        </w:rPr>
        <w:t>This Transaction Agreement is being provided pursuant to and in accordance with the Master Firm Purchase/Sale Agreement dated December 3, 1993, between Customer and ENA, and constitutes part of and is subject to all the terms and provisions of such Agreement.  Please confirm that the term herein accurately reflect the agreement reached December 18, 2000 between you and ENA by returning an executed copy of this Transaction Agreement by facsimile to ENA.  Your response should reflect the appropriate party in your organization who had the authority to enter into this Transaction, and should be received by ENA no later than 5:00pm C.T. on the first Business Day following the date this Transaction Agreement was sent to Customer (the Effective Time).</w:t>
      </w:r>
    </w:p>
    <w:p>
      <w:pPr>
        <w:pStyle w:val="Normal"/>
        <w:rPr>
          <w:sz w:val="24"/>
        </w:rPr>
      </w:pPr>
      <w:r>
        <w:rPr>
          <w:sz w:val="24"/>
        </w:rPr>
      </w:r>
    </w:p>
    <w:p>
      <w:pPr>
        <w:pStyle w:val="Normal"/>
        <w:rPr>
          <w:sz w:val="24"/>
        </w:rPr>
      </w:pPr>
      <w:r>
        <w:rPr>
          <w:sz w:val="24"/>
        </w:rPr>
        <w:t>Consumers Energy Company</w:t>
        <w:tab/>
        <w:tab/>
        <w:tab/>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(Name)</w:t>
      </w:r>
      <w:r>
        <w:rPr>
          <w:sz w:val="24"/>
          <w:u w:val="single"/>
        </w:rPr>
        <w:softHyphen/>
        <w:softHyphen/>
        <w:softHyphen/>
        <w:softHyphen/>
        <w:softHyphen/>
        <w:softHyphen/>
        <w:softHyphen/>
        <w:softHyphen/>
        <w:softHyphen/>
        <w:softHyphen/>
        <w:softHyphen/>
        <w:t>_____________________</w:t>
      </w:r>
      <w:r>
        <w:rPr>
          <w:sz w:val="24"/>
        </w:rPr>
        <w:tab/>
        <w:tab/>
        <w:t>(Name) Robert Bowen</w:t>
      </w:r>
    </w:p>
    <w:p>
      <w:pPr>
        <w:pStyle w:val="Normal"/>
        <w:rPr/>
      </w:pPr>
      <w:r>
        <w:rPr>
          <w:sz w:val="24"/>
        </w:rPr>
        <w:t xml:space="preserve">(Title) </w:t>
      </w:r>
      <w:r>
        <w:rPr>
          <w:sz w:val="24"/>
          <w:u w:val="single"/>
        </w:rPr>
        <w:t>_____________________</w:t>
      </w:r>
      <w:r>
        <w:rPr>
          <w:sz w:val="24"/>
        </w:rPr>
        <w:tab/>
        <w:tab/>
        <w:t>(Title) Agent and Attorney-in-Fact</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2000-12-18T14:25:00Z</dcterms:created>
  <dc:creator>dmccaff</dc:creator>
  <dc:description/>
  <dc:language>en-CA</dc:language>
  <cp:lastModifiedBy>dmccaff</cp:lastModifiedBy>
  <cp:lastPrinted>2000-12-18T12:07:00Z</cp:lastPrinted>
  <dcterms:modified xsi:type="dcterms:W3CDTF">2000-12-18T16:09:00Z</dcterms:modified>
  <cp:revision>3</cp:revision>
  <dc:subject/>
  <dc:title/>
</cp:coreProperties>
</file>