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ind w:start="5040" w:end="0"/>
        <w:jc w:val="end"/>
        <w:rPr/>
      </w:pPr>
      <w:r>
        <w:object w:dxaOrig="2806" w:dyaOrig="288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0pt;margin-top:-7.2pt;width:84.2pt;height:86.4pt;mso-wrap-distance-left:9.05pt;mso-wrap-distance-right:9.05pt;mso-position-horizontal-relative:text;mso-position-vertical-relative:text" filled="f" o:ole="">
            <v:imagedata r:id="rId3" o:title=""/>
            <w10:wrap type="tight"/>
          </v:shape>
          <o:OLEObject Type="Embed" ProgID="" ShapeID="ole_rId2" DrawAspect="Content" ObjectID="_623476239" r:id="rId2"/>
        </w:object>
      </w:r>
      <w:r>
        <w:rPr>
          <w:rFonts w:eastAsia="Garamond" w:cs="Garamond" w:ascii="Garamond" w:hAnsi="Garamond"/>
          <w:emboss/>
          <w:color w:val="000080"/>
          <w:sz w:val="48"/>
        </w:rPr>
        <w:t xml:space="preserve">                               </w:t>
      </w:r>
      <w:r>
        <w:rPr>
          <w:rFonts w:cs="Garamond" w:ascii="Garamond" w:hAnsi="Garamond"/>
          <w:color w:val="000080"/>
          <w:sz w:val="40"/>
        </w:rPr>
        <w:t>Enron Global Markets</w:t>
      </w:r>
    </w:p>
    <w:p>
      <w:pPr>
        <w:pStyle w:val="Subtitle"/>
        <w:ind w:start="5040" w:end="0"/>
        <w:jc w:val="end"/>
        <w:rPr>
          <w:rFonts w:ascii="Garamond" w:hAnsi="Garamond" w:cs="Garamond"/>
          <w:color w:val="000080"/>
          <w:sz w:val="40"/>
        </w:rPr>
      </w:pPr>
      <w:r>
        <w:rPr>
          <w:rFonts w:cs="Garamond" w:ascii="Garamond" w:hAnsi="Garamond"/>
          <w:color w:val="000080"/>
          <w:sz w:val="40"/>
        </w:rPr>
        <w:t>Competitive Analysis</w:t>
      </w:r>
    </w:p>
    <w:p>
      <w:pPr>
        <w:pStyle w:val="BodyText2"/>
        <w:tabs>
          <w:tab w:val="clear" w:pos="720"/>
          <w:tab w:val="left" w:pos="0" w:leader="none"/>
        </w:tabs>
        <w:rPr>
          <w:rFonts w:ascii="Garamond" w:hAnsi="Garamond" w:cs="Garamond"/>
          <w:b/>
          <w:smallCaps/>
          <w:color w:val="000080"/>
          <w:sz w:val="28"/>
        </w:rPr>
      </w:pPr>
      <w:r>
        <w:rPr>
          <w:rFonts w:cs="Garamond" w:ascii="Garamond" w:hAnsi="Garamond"/>
          <w:b/>
          <w:smallCaps/>
          <w:color w:val="000080"/>
          <w:sz w:val="28"/>
        </w:rPr>
      </w:r>
    </w:p>
    <w:p>
      <w:pPr>
        <w:pStyle w:val="BodyText2"/>
        <w:tabs>
          <w:tab w:val="clear" w:pos="720"/>
          <w:tab w:val="left" w:pos="0" w:leader="none"/>
        </w:tabs>
        <w:rPr>
          <w:b/>
          <w:smallCaps/>
          <w:color w:val="000080"/>
          <w:sz w:val="28"/>
        </w:rPr>
      </w:pPr>
      <w:r>
        <w:rPr>
          <w:b/>
          <w:smallCaps/>
          <w:color w:val="000080"/>
          <w:sz w:val="28"/>
        </w:rPr>
      </w:r>
    </w:p>
    <w:p>
      <w:pPr>
        <w:pStyle w:val="BodyText2"/>
        <w:tabs>
          <w:tab w:val="clear" w:pos="720"/>
          <w:tab w:val="left" w:pos="0" w:leader="none"/>
        </w:tabs>
        <w:rPr>
          <w:b/>
          <w:smallCaps/>
          <w:color w:val="000080"/>
          <w:sz w:val="28"/>
        </w:rPr>
      </w:pPr>
      <w:r>
        <w:rPr>
          <w:b/>
          <w:smallCaps/>
          <w:color w:val="000080"/>
          <w:sz w:val="28"/>
        </w:rPr>
      </w:r>
    </w:p>
    <w:p>
      <w:pPr>
        <w:pStyle w:val="BodyText2"/>
        <w:tabs>
          <w:tab w:val="clear" w:pos="720"/>
          <w:tab w:val="left" w:pos="0" w:leader="none"/>
        </w:tabs>
        <w:jc w:val="center"/>
        <w:rPr>
          <w:b/>
          <w:smallCaps/>
          <w:color w:val="FF0000"/>
          <w:sz w:val="28"/>
        </w:rPr>
      </w:pPr>
      <w:r>
        <w:rPr>
          <w:b/>
          <w:smallCaps/>
          <w:color w:val="FF0000"/>
          <w:sz w:val="28"/>
        </w:rPr>
        <w:t>Update #1</w:t>
      </w:r>
    </w:p>
    <w:p>
      <w:pPr>
        <w:pStyle w:val="BodyText2"/>
        <w:tabs>
          <w:tab w:val="clear" w:pos="720"/>
          <w:tab w:val="left" w:pos="0" w:leader="none"/>
        </w:tabs>
        <w:jc w:val="center"/>
        <w:rPr>
          <w:b/>
          <w:smallCaps/>
          <w:color w:val="000080"/>
          <w:sz w:val="48"/>
        </w:rPr>
      </w:pPr>
      <w:r>
        <w:rPr>
          <w:b/>
          <w:smallCaps/>
          <w:color w:val="000080"/>
          <w:sz w:val="48"/>
        </w:rPr>
        <w:t>Industry Impact Report</w:t>
      </w:r>
    </w:p>
    <w:p>
      <w:pPr>
        <w:pStyle w:val="BodyText2"/>
        <w:jc w:val="center"/>
        <w:rPr>
          <w:b/>
          <w:smallCaps/>
          <w:color w:val="000080"/>
          <w:sz w:val="28"/>
        </w:rPr>
      </w:pPr>
      <w:r>
        <w:rPr>
          <w:b/>
          <w:smallCaps/>
          <w:color w:val="000080"/>
          <w:sz w:val="28"/>
        </w:rPr>
        <w:t>Reinsurance</w:t>
      </w:r>
    </w:p>
    <w:p>
      <w:pPr>
        <w:pStyle w:val="BodyText2"/>
        <w:pBdr>
          <w:top w:val="single" w:sz="18" w:space="1" w:color="000000"/>
        </w:pBdr>
        <w:jc w:val="center"/>
        <w:rPr>
          <w:b/>
          <w:smallCaps/>
          <w:color w:val="000080"/>
          <w:sz w:val="28"/>
        </w:rPr>
      </w:pPr>
      <w:r>
        <w:rPr>
          <w:b/>
          <w:smallCaps/>
          <w:color w:val="000080"/>
          <w:sz w:val="28"/>
        </w:rPr>
      </w:r>
    </w:p>
    <w:p>
      <w:pPr>
        <w:pStyle w:val="HTMLPreformatted"/>
        <w:jc w:val="center"/>
        <w:rPr>
          <w:rFonts w:ascii="Times New Roman" w:hAnsi="Times New Roman" w:cs="Times New Roman"/>
          <w:b/>
          <w:bCs/>
          <w:color w:val="000080"/>
          <w:sz w:val="32"/>
        </w:rPr>
      </w:pPr>
      <w:r>
        <w:rPr>
          <w:rFonts w:cs="Times New Roman" w:ascii="Times New Roman" w:hAnsi="Times New Roman"/>
          <w:b/>
          <w:bCs/>
          <w:color w:val="000080"/>
          <w:sz w:val="32"/>
        </w:rPr>
        <w:t>Executive Summary</w:t>
      </w:r>
    </w:p>
    <w:p>
      <w:pPr>
        <w:pStyle w:val="HTMLPreformatted"/>
        <w:jc w:val="both"/>
        <w:rPr>
          <w:rFonts w:ascii="Times New Roman" w:hAnsi="Times New Roman" w:cs="Times New Roman"/>
          <w:b/>
          <w:bCs/>
          <w:color w:val="000080"/>
          <w:sz w:val="24"/>
        </w:rPr>
      </w:pPr>
      <w:r>
        <w:rPr>
          <w:rFonts w:cs="Times New Roman" w:ascii="Times New Roman" w:hAnsi="Times New Roman"/>
          <w:b/>
          <w:bCs/>
          <w:color w:val="000080"/>
          <w:sz w:val="24"/>
        </w:rPr>
      </w:r>
    </w:p>
    <w:p>
      <w:pPr>
        <w:pStyle w:val="HTMLPreformatted"/>
        <w:numPr>
          <w:ilvl w:val="0"/>
          <w:numId w:val="2"/>
        </w:numPr>
        <w:jc w:val="both"/>
        <w:rPr>
          <w:rFonts w:ascii="Times New Roman" w:hAnsi="Times New Roman" w:cs="Times New Roman"/>
          <w:sz w:val="24"/>
        </w:rPr>
      </w:pPr>
      <w:r>
        <w:rPr>
          <w:rFonts w:cs="Times New Roman" w:ascii="Times New Roman" w:hAnsi="Times New Roman"/>
          <w:sz w:val="24"/>
        </w:rPr>
        <w:t xml:space="preserve">Immediate short-term impacts are already being felt in the global aviation sector.  Japan’s two leading airlines have seen their rates rise sevenfold, amounting to almost US$140 million.  The US airline industry has already secured US$15 billion in government-sponsored financial help, including assistance with insurance and liability issues for the next six months.  </w:t>
      </w:r>
    </w:p>
    <w:p>
      <w:pPr>
        <w:pStyle w:val="HTMLPreformatted"/>
        <w:numPr>
          <w:ilvl w:val="0"/>
          <w:numId w:val="2"/>
        </w:numPr>
        <w:jc w:val="both"/>
        <w:rPr>
          <w:rFonts w:ascii="Times New Roman" w:hAnsi="Times New Roman" w:cs="Times New Roman"/>
          <w:sz w:val="24"/>
        </w:rPr>
      </w:pPr>
      <w:r>
        <w:rPr>
          <w:rFonts w:cs="Times New Roman" w:ascii="Times New Roman" w:hAnsi="Times New Roman"/>
          <w:sz w:val="24"/>
        </w:rPr>
        <w:t>Sources concede that the industry will be forced to change its focus back to risk analysis and be less customer acquisition-focused (in the sense that premiums will need to rise to compensate).  Moody’s has already indicated that several insurance and reinsurance companies would be rated negatively following the impact of the attacks.</w:t>
      </w:r>
    </w:p>
    <w:p>
      <w:pPr>
        <w:pStyle w:val="HTMLPreformatted"/>
        <w:numPr>
          <w:ilvl w:val="0"/>
          <w:numId w:val="2"/>
        </w:numPr>
        <w:jc w:val="both"/>
        <w:rPr>
          <w:rFonts w:ascii="Times New Roman" w:hAnsi="Times New Roman" w:cs="Times New Roman"/>
          <w:sz w:val="24"/>
        </w:rPr>
      </w:pPr>
      <w:r>
        <w:rPr>
          <w:rFonts w:cs="Times New Roman" w:ascii="Times New Roman" w:hAnsi="Times New Roman"/>
          <w:sz w:val="24"/>
        </w:rPr>
        <w:t>Other generally accepted long-term impacts include a reduced capital base, higher risks and expected losses, acquisition of smaller players, better investment opportunities for insurers and reinsurers, and possible government involvement.</w:t>
      </w:r>
    </w:p>
    <w:p>
      <w:pPr>
        <w:pStyle w:val="HTMLPreformatted"/>
        <w:numPr>
          <w:ilvl w:val="0"/>
          <w:numId w:val="2"/>
        </w:numPr>
        <w:jc w:val="both"/>
        <w:rPr>
          <w:rFonts w:ascii="Times New Roman" w:hAnsi="Times New Roman" w:cs="Times New Roman"/>
          <w:sz w:val="24"/>
        </w:rPr>
      </w:pPr>
      <w:r>
        <w:rPr>
          <w:rFonts w:cs="Times New Roman" w:ascii="Times New Roman" w:hAnsi="Times New Roman"/>
          <w:sz w:val="24"/>
        </w:rPr>
        <w:t xml:space="preserve">Several well-informed industry sources have serious doubts about Lloyd’s stability.  Most of their policies are not guaranteed.  Significant Lloyd’s shareholders such as Ace and XL are also negatively impacted.  </w:t>
      </w:r>
    </w:p>
    <w:p>
      <w:pPr>
        <w:pStyle w:val="HTMLPreformatted"/>
        <w:numPr>
          <w:ilvl w:val="0"/>
          <w:numId w:val="2"/>
        </w:numPr>
        <w:jc w:val="both"/>
        <w:rPr>
          <w:rFonts w:ascii="Times New Roman" w:hAnsi="Times New Roman" w:cs="Times New Roman"/>
          <w:sz w:val="24"/>
        </w:rPr>
      </w:pPr>
      <w:r>
        <w:rPr>
          <w:rFonts w:cs="Times New Roman" w:ascii="Times New Roman" w:hAnsi="Times New Roman"/>
          <w:sz w:val="24"/>
        </w:rPr>
        <w:t>Table 1 shows revised claims estimates to date for the major insurance and reinsurance companies.</w:t>
      </w:r>
    </w:p>
    <w:p>
      <w:pPr>
        <w:pStyle w:val="HTMLPreformatted"/>
        <w:numPr>
          <w:ilvl w:val="0"/>
          <w:numId w:val="2"/>
        </w:numPr>
        <w:jc w:val="both"/>
        <w:rPr>
          <w:rFonts w:ascii="Times New Roman" w:hAnsi="Times New Roman" w:cs="Times New Roman"/>
          <w:sz w:val="24"/>
        </w:rPr>
      </w:pPr>
      <w:r>
        <w:rPr>
          <w:rFonts w:cs="Times New Roman" w:ascii="Times New Roman" w:hAnsi="Times New Roman"/>
          <w:sz w:val="24"/>
        </w:rPr>
        <w:t xml:space="preserve">Table 2 shows total estimated losses and change in stock price to date for the major insurance and reinsurance companies.  </w:t>
      </w:r>
    </w:p>
    <w:p>
      <w:pPr>
        <w:pStyle w:val="HTMLPreformatted"/>
        <w:rPr>
          <w:rFonts w:ascii="Times New Roman" w:hAnsi="Times New Roman" w:cs="Times New Roman"/>
          <w:color w:val="000080"/>
          <w:sz w:val="22"/>
        </w:rPr>
      </w:pPr>
      <w:r>
        <w:rPr>
          <w:rFonts w:cs="Times New Roman" w:ascii="Times New Roman" w:hAnsi="Times New Roman"/>
          <w:color w:val="000080"/>
          <w:sz w:val="22"/>
        </w:rPr>
      </w:r>
    </w:p>
    <w:p>
      <w:pPr>
        <w:pStyle w:val="HTMLPreformatted"/>
        <w:rPr>
          <w:rFonts w:ascii="Times New Roman" w:hAnsi="Times New Roman" w:cs="Times New Roman"/>
          <w:b/>
          <w:bCs/>
          <w:color w:val="000080"/>
          <w:sz w:val="22"/>
        </w:rPr>
      </w:pPr>
      <w:r>
        <w:rPr>
          <w:rFonts w:cs="Times New Roman" w:ascii="Times New Roman" w:hAnsi="Times New Roman"/>
          <w:b/>
          <w:bCs/>
          <w:color w:val="000080"/>
          <w:sz w:val="22"/>
        </w:rPr>
      </w:r>
      <w:r>
        <w:br w:type="page"/>
      </w:r>
    </w:p>
    <w:p>
      <w:pPr>
        <w:pStyle w:val="HTMLPreformatted"/>
        <w:rPr>
          <w:rFonts w:ascii="Times New Roman" w:hAnsi="Times New Roman" w:cs="Times New Roman"/>
          <w:b/>
          <w:bCs/>
          <w:color w:val="000080"/>
          <w:sz w:val="22"/>
        </w:rPr>
      </w:pPr>
      <w:r>
        <w:rPr>
          <w:rFonts w:cs="Times New Roman" w:ascii="Times New Roman" w:hAnsi="Times New Roman"/>
          <w:b/>
          <w:bCs/>
          <w:color w:val="000080"/>
          <w:sz w:val="22"/>
        </w:rPr>
        <w:t>Short-term Impact</w:t>
      </w:r>
    </w:p>
    <w:p>
      <w:pPr>
        <w:pStyle w:val="CRNormal"/>
        <w:rPr/>
      </w:pPr>
      <w:r>
        <w:rPr/>
        <w:t xml:space="preserve">Immediate impacts are already being felt in the aviation sector.  Japan’s two leading airlines have seen their rates rise sevenfold to cover crashes and other air accidents.  The new premiums amount to almost US$140 million, representing a further burden to the carriers, in addition to the event-related drop in demand and increase in security costs.  Given the underlying weakness of the Japanese economy, Japan’s airlines are very likely to request—and receive—government support. </w:t>
      </w:r>
    </w:p>
    <w:p>
      <w:pPr>
        <w:pStyle w:val="CRNormal"/>
        <w:rPr/>
      </w:pPr>
      <w:r>
        <w:rPr/>
      </w:r>
    </w:p>
    <w:p>
      <w:pPr>
        <w:pStyle w:val="CRNormal"/>
        <w:rPr/>
      </w:pPr>
      <w:r>
        <w:rPr/>
        <w:t>The US airline industry has already received $15 billion in government-sponsored financial help, as well as assistance with insurance and liability issues for the next six months.  In the EU, insurers have notified airplane owners that they will limit liability for damage caused on the ground in the case of a crash to US$50 million per incident—a drop by US$700 million.  If insurers are unwilling to extend greater coverage, EU funds can almost certainly be expected to be forthcoming.</w:t>
      </w:r>
    </w:p>
    <w:p>
      <w:pPr>
        <w:pStyle w:val="CRNormal"/>
        <w:rPr>
          <w:b/>
          <w:bCs/>
          <w:color w:val="000080"/>
        </w:rPr>
      </w:pPr>
      <w:r>
        <w:rPr>
          <w:b/>
          <w:bCs/>
          <w:color w:val="000080"/>
        </w:rPr>
      </w:r>
    </w:p>
    <w:p>
      <w:pPr>
        <w:pStyle w:val="CRNormal"/>
        <w:rPr>
          <w:b/>
          <w:bCs/>
          <w:color w:val="000080"/>
        </w:rPr>
      </w:pPr>
      <w:r>
        <w:rPr>
          <w:b/>
          <w:bCs/>
          <w:color w:val="000080"/>
        </w:rPr>
        <w:t>Long-term Impact</w:t>
      </w:r>
    </w:p>
    <w:p>
      <w:pPr>
        <w:pStyle w:val="CRNormal"/>
        <w:rPr/>
      </w:pPr>
      <w:r>
        <w:rPr/>
        <w:t xml:space="preserve">Sources concede that the industry will be forced to change its focus back to risk analysis and be less customer acquisition-focused (in the sense that premiums will need to rise to compensate).  The attacks have only speeded this process up and will likely result in sizable shakeout.  However, some sources believe that acquisitions will not be as forthcoming or numerous as feared.  Those insurers that run into financial trouble will seek to manage existing policies and through attrition and gradually shutdown, a process that could take many years. </w:t>
      </w:r>
    </w:p>
    <w:p>
      <w:pPr>
        <w:pStyle w:val="CRNormal"/>
        <w:rPr/>
      </w:pPr>
      <w:r>
        <w:rPr/>
      </w:r>
    </w:p>
    <w:p>
      <w:pPr>
        <w:pStyle w:val="CRNormal"/>
        <w:rPr/>
      </w:pPr>
      <w:r>
        <w:rPr/>
        <w:t>Other long-term impacts include the following:</w:t>
      </w:r>
    </w:p>
    <w:p>
      <w:pPr>
        <w:pStyle w:val="CRNormal"/>
        <w:numPr>
          <w:ilvl w:val="0"/>
          <w:numId w:val="3"/>
        </w:numPr>
        <w:tabs>
          <w:tab w:val="clear" w:pos="720"/>
          <w:tab w:val="left" w:pos="360" w:leader="none"/>
        </w:tabs>
        <w:ind w:hanging="360" w:start="360" w:end="0"/>
        <w:rPr/>
      </w:pPr>
      <w:r>
        <w:rPr>
          <w:b/>
        </w:rPr>
        <w:t>Reduced capital base</w:t>
      </w:r>
      <w:r>
        <w:rPr/>
        <w:t xml:space="preserve">  </w:t>
      </w:r>
    </w:p>
    <w:p>
      <w:pPr>
        <w:pStyle w:val="CRNormal"/>
        <w:ind w:start="360" w:end="0"/>
        <w:rPr/>
      </w:pPr>
      <w:r>
        <w:rPr/>
        <w:t xml:space="preserve">Losses have already begun to substantially tap into the capital base of many insurers and reinsurers.  Table 2 shows the industry’s estimated losses to date, presumably offset by liquidating equity positions. </w:t>
      </w:r>
    </w:p>
    <w:p>
      <w:pPr>
        <w:pStyle w:val="CRNormal"/>
        <w:numPr>
          <w:ilvl w:val="0"/>
          <w:numId w:val="3"/>
        </w:numPr>
        <w:tabs>
          <w:tab w:val="clear" w:pos="720"/>
          <w:tab w:val="left" w:pos="360" w:leader="none"/>
        </w:tabs>
        <w:ind w:hanging="360" w:start="360" w:end="0"/>
        <w:rPr/>
      </w:pPr>
      <w:r>
        <w:rPr>
          <w:b/>
        </w:rPr>
        <w:t>Higher risk</w:t>
      </w:r>
      <w:r>
        <w:rPr/>
        <w:t xml:space="preserve">  </w:t>
      </w:r>
    </w:p>
    <w:p>
      <w:pPr>
        <w:pStyle w:val="CRNormal"/>
        <w:ind w:start="360" w:end="0"/>
        <w:rPr/>
      </w:pPr>
      <w:r>
        <w:rPr/>
        <w:t>Terrorist attacks are going to be very hard to rule out, regardless of the outcome of the US Administration’s “war on terrorism.”  Expected losses will increase, and additional capital is going to be needed.</w:t>
      </w:r>
    </w:p>
    <w:p>
      <w:pPr>
        <w:pStyle w:val="CRNormal"/>
        <w:numPr>
          <w:ilvl w:val="0"/>
          <w:numId w:val="3"/>
        </w:numPr>
        <w:tabs>
          <w:tab w:val="clear" w:pos="720"/>
          <w:tab w:val="left" w:pos="360" w:leader="none"/>
        </w:tabs>
        <w:ind w:hanging="360" w:start="360" w:end="0"/>
        <w:rPr/>
      </w:pPr>
      <w:r>
        <w:rPr>
          <w:b/>
        </w:rPr>
        <w:t>Consolidation</w:t>
      </w:r>
      <w:r>
        <w:rPr/>
        <w:t xml:space="preserve">  </w:t>
      </w:r>
    </w:p>
    <w:p>
      <w:pPr>
        <w:pStyle w:val="CRNormal"/>
        <w:ind w:start="360" w:end="0"/>
        <w:rPr/>
      </w:pPr>
      <w:r>
        <w:rPr/>
        <w:t>The trend towards consolidation will continue. Larger size firms have an advantage with diversification, as well as in bearing the personnel costs associated with modelling potential losses.  In the short run, well-capitalized players with small losses are going to do well, as they will be able to charge relatively high prices yet be able to offer capacity with low credit risk.</w:t>
      </w:r>
    </w:p>
    <w:p>
      <w:pPr>
        <w:pStyle w:val="CRNormal"/>
        <w:numPr>
          <w:ilvl w:val="0"/>
          <w:numId w:val="3"/>
        </w:numPr>
        <w:tabs>
          <w:tab w:val="clear" w:pos="720"/>
          <w:tab w:val="left" w:pos="360" w:leader="none"/>
        </w:tabs>
        <w:ind w:hanging="360" w:start="360" w:end="0"/>
        <w:rPr/>
      </w:pPr>
      <w:r>
        <w:rPr>
          <w:b/>
        </w:rPr>
        <w:t>Investment opportunities</w:t>
      </w:r>
      <w:r>
        <w:rPr/>
        <w:t xml:space="preserve">  </w:t>
      </w:r>
    </w:p>
    <w:p>
      <w:pPr>
        <w:pStyle w:val="CRNormal"/>
        <w:tabs>
          <w:tab w:val="clear" w:pos="720"/>
          <w:tab w:val="left" w:pos="360" w:leader="none"/>
        </w:tabs>
        <w:ind w:start="360" w:end="0"/>
        <w:rPr/>
      </w:pPr>
      <w:r>
        <w:rPr/>
        <w:t xml:space="preserve">New opportunities for investment will begin to take hold much more quickly than was the case after Andrew and Northridge.  Catastrophe bonds and other vehicles make it increasingly feasible to offer instruments to investors linked to such losses.  In the short run, reinsurers and insurers, not capital markets, will be price setters.  </w:t>
      </w:r>
    </w:p>
    <w:p>
      <w:pPr>
        <w:pStyle w:val="CRNormal"/>
        <w:numPr>
          <w:ilvl w:val="0"/>
          <w:numId w:val="3"/>
        </w:numPr>
        <w:tabs>
          <w:tab w:val="clear" w:pos="720"/>
          <w:tab w:val="left" w:pos="360" w:leader="none"/>
        </w:tabs>
        <w:ind w:hanging="360" w:start="360" w:end="0"/>
        <w:rPr/>
      </w:pPr>
      <w:r>
        <w:rPr>
          <w:b/>
        </w:rPr>
        <w:t>Government involvement</w:t>
      </w:r>
      <w:r>
        <w:rPr/>
        <w:t xml:space="preserve">  </w:t>
      </w:r>
    </w:p>
    <w:p>
      <w:pPr>
        <w:pStyle w:val="CRNormal"/>
        <w:ind w:start="360" w:end="0"/>
        <w:rPr/>
      </w:pPr>
      <w:r>
        <w:rPr/>
        <w:t>Government involvement in “terror insurance” is not yet clear.  For many manageable disasters, even those associated with terrorism, the market has proven to respond without intervention.  For a less manageable, large disaster, it makes little sense to set up a government program in advance.  It is impossible to foresee what the requirements will be, and, because the event probabilities of such an event are, by definition, low, it is probably better to wait and respond after the fact.  This will frustrate many, but there is a strong sense in Washington generally, and in the Bush Administration in particular, that (beyond the airline bill) it is too early to act or even to plan for new insurance support programs now.</w:t>
      </w:r>
    </w:p>
    <w:p>
      <w:pPr>
        <w:pStyle w:val="CRNormal"/>
        <w:rPr/>
      </w:pPr>
      <w:r>
        <w:rPr/>
      </w:r>
    </w:p>
    <w:p>
      <w:pPr>
        <w:pStyle w:val="CRNormal"/>
        <w:rPr>
          <w:b/>
          <w:bCs/>
          <w:color w:val="000080"/>
        </w:rPr>
      </w:pPr>
      <w:r>
        <w:rPr>
          <w:b/>
          <w:bCs/>
          <w:color w:val="000080"/>
        </w:rPr>
        <w:t>Impact on Lloyd’s and Specific Companies</w:t>
      </w:r>
    </w:p>
    <w:p>
      <w:pPr>
        <w:pStyle w:val="ListBullet"/>
        <w:rPr/>
      </w:pPr>
      <w:r>
        <w:rPr/>
        <w:t xml:space="preserve">Several well-informed industry sources have serious doubts about Lloyd’s stability.  Most of their policies are not guaranteed.  They may not pay out on their policies if the costs continue to mount, and it still remains unclear what the total exposure Lloyd’s has through its many syndicates.  </w:t>
      </w:r>
    </w:p>
    <w:p>
      <w:pPr>
        <w:pStyle w:val="ListBullet"/>
        <w:rPr/>
      </w:pPr>
      <w:r>
        <w:rPr/>
      </w:r>
    </w:p>
    <w:p>
      <w:pPr>
        <w:pStyle w:val="ListBullet"/>
        <w:rPr/>
      </w:pPr>
      <w:r>
        <w:rPr/>
        <w:t>Given the very significant capital losses imposed by the asbestos crisis (and fraud) in recent decades, Lloyds has still not reformed its accounting procedures, which are run several years in arrears.  This lack of transparency will further affect Lloyds’ access to capital and, possibly, future premium income as more customers and regulators come to share these concerns.</w:t>
      </w:r>
    </w:p>
    <w:p>
      <w:pPr>
        <w:pStyle w:val="ListBullet"/>
        <w:rPr/>
      </w:pPr>
      <w:r>
        <w:rPr/>
      </w:r>
    </w:p>
    <w:p>
      <w:pPr>
        <w:pStyle w:val="ListBullet"/>
        <w:rPr/>
      </w:pPr>
      <w:r>
        <w:rPr/>
        <w:t xml:space="preserve">We spoke with two underwriters and two brokers from Lloyd’s, who understandably trumpeted Lloyd’s robust capital holdings and their capability of sustaining up to US$50 billion in probable losses.  </w:t>
      </w:r>
    </w:p>
    <w:p>
      <w:pPr>
        <w:pStyle w:val="Normal"/>
        <w:rPr/>
      </w:pPr>
      <w:r>
        <w:rPr/>
        <w:t xml:space="preserve"> </w:t>
      </w:r>
    </w:p>
    <w:p>
      <w:pPr>
        <w:pStyle w:val="CRNormal"/>
        <w:spacing w:lineRule="auto" w:line="240"/>
        <w:rPr>
          <w:lang w:val="en-US"/>
        </w:rPr>
      </w:pPr>
      <w:r>
        <w:rPr>
          <w:lang w:val="en-US"/>
        </w:rPr>
        <w:t xml:space="preserve">Significant Lloyd’s shareholders such as Ace and XL are also impacted.  Even though they are limited liability companies (fortunately for their shareholders), sources note that Ace and XL’s own liability on their Lloyds exposure is as unlimited as that of the individual members, and substantial capital charges could be placed upon them.  </w:t>
      </w:r>
    </w:p>
    <w:p>
      <w:pPr>
        <w:pStyle w:val="CRNormal"/>
        <w:spacing w:lineRule="auto" w:line="240"/>
        <w:rPr>
          <w:lang w:val="en-US"/>
        </w:rPr>
      </w:pPr>
      <w:r>
        <w:rPr>
          <w:lang w:val="en-US"/>
        </w:rPr>
      </w:r>
    </w:p>
    <w:p>
      <w:pPr>
        <w:pStyle w:val="CRNormal"/>
        <w:spacing w:lineRule="auto" w:line="240"/>
        <w:rPr>
          <w:lang w:val="en-US"/>
        </w:rPr>
      </w:pPr>
      <w:r>
        <w:rPr>
          <w:lang w:val="en-US"/>
        </w:rPr>
        <w:t>Ace and XL are direct writers, as well as reinsurers.  They also have a far more concentrated book of business than similar longer-existing companies.  Because they are Bermuda-based, they cannot take advantage of backup liquidity that the Federal Reserve or other state and federal programs may offer.  Any official US support for insurance industry liquidity will not benefit these companies.</w:t>
      </w:r>
    </w:p>
    <w:p>
      <w:pPr>
        <w:pStyle w:val="Normal"/>
        <w:rPr>
          <w:lang w:val="en-US"/>
        </w:rPr>
      </w:pPr>
      <w:r>
        <w:rPr>
          <w:lang w:val="en-US"/>
        </w:rPr>
      </w:r>
    </w:p>
    <w:p>
      <w:pPr>
        <w:pStyle w:val="CRNormal"/>
        <w:spacing w:lineRule="auto" w:line="240"/>
        <w:rPr>
          <w:lang w:val="en-US"/>
        </w:rPr>
      </w:pPr>
      <w:r>
        <w:rPr>
          <w:lang w:val="en-US"/>
        </w:rPr>
        <w:t>Among the most stable companies at this point appear to be AIG and Chubb.  Sources inside AIG have been complaining for several weeks prior to the attack that there was a downward trend in their share prices with no apparent explanation.</w:t>
      </w:r>
    </w:p>
    <w:p>
      <w:pPr>
        <w:pStyle w:val="ListBullet"/>
        <w:rPr>
          <w:lang w:val="en-US"/>
        </w:rPr>
      </w:pPr>
      <w:r>
        <w:rPr>
          <w:lang w:val="en-US"/>
        </w:rPr>
      </w:r>
    </w:p>
    <w:p>
      <w:pPr>
        <w:pStyle w:val="CRNormal"/>
        <w:rPr/>
      </w:pPr>
      <w:r>
        <w:rPr/>
      </w:r>
    </w:p>
    <w:p>
      <w:pPr>
        <w:pStyle w:val="HTMLPreformatted"/>
        <w:jc w:val="both"/>
        <w:rPr>
          <w:rFonts w:ascii="Times New Roman" w:hAnsi="Times New Roman" w:cs="Times New Roman"/>
          <w:sz w:val="22"/>
        </w:rPr>
      </w:pPr>
      <w:r>
        <w:rPr>
          <w:rFonts w:cs="Times New Roman" w:ascii="Times New Roman" w:hAnsi="Times New Roman"/>
          <w:sz w:val="22"/>
        </w:rPr>
      </w:r>
    </w:p>
    <w:p>
      <w:pPr>
        <w:pStyle w:val="HTMLPreformatted"/>
        <w:jc w:val="both"/>
        <w:rPr>
          <w:rFonts w:ascii="Times New Roman" w:hAnsi="Times New Roman" w:cs="Times New Roman"/>
          <w:sz w:val="22"/>
        </w:rPr>
      </w:pPr>
      <w:r>
        <w:rPr>
          <w:rFonts w:cs="Times New Roman" w:ascii="Times New Roman" w:hAnsi="Times New Roman"/>
          <w:sz w:val="22"/>
        </w:rPr>
      </w:r>
      <w:r>
        <w:br w:type="page"/>
      </w:r>
    </w:p>
    <w:p>
      <w:pPr>
        <w:pStyle w:val="xl30"/>
        <w:spacing w:before="0" w:after="0"/>
        <w:rPr>
          <w:rFonts w:ascii="Times New Roman" w:hAnsi="Times New Roman" w:eastAsia="Times New Roman" w:cs="Times New Roman"/>
          <w:color w:val="000080"/>
        </w:rPr>
      </w:pPr>
      <w:r>
        <w:rPr>
          <w:rFonts w:eastAsia="Times New Roman" w:cs="Times New Roman" w:ascii="Times New Roman" w:hAnsi="Times New Roman"/>
          <w:color w:val="000080"/>
        </w:rPr>
        <w:t xml:space="preserve">Table 1: Revised Claims Estimates </w:t>
      </w:r>
    </w:p>
    <w:p>
      <w:pPr>
        <w:pStyle w:val="xl30"/>
        <w:spacing w:before="0" w:after="0"/>
        <w:rPr>
          <w:rFonts w:ascii="Times New Roman" w:hAnsi="Times New Roman" w:eastAsia="Times New Roman" w:cs="Times New Roman"/>
          <w:color w:val="000080"/>
        </w:rPr>
      </w:pPr>
      <w:r>
        <w:rPr>
          <w:rFonts w:eastAsia="Times New Roman" w:cs="Times New Roman" w:ascii="Times New Roman" w:hAnsi="Times New Roman"/>
          <w:color w:val="000080"/>
        </w:rPr>
        <w:t>(updated as of 9/24/01)</w:t>
      </w:r>
    </w:p>
    <w:p>
      <w:pPr>
        <w:pStyle w:val="Normal"/>
        <w:jc w:val="center"/>
        <w:rPr>
          <w:rFonts w:ascii="Times New Roman" w:hAnsi="Times New Roman" w:eastAsia="Times New Roman" w:cs="Times New Roman"/>
          <w:b/>
          <w:bCs/>
          <w:color w:val="000080"/>
        </w:rPr>
      </w:pPr>
      <w:r>
        <w:rPr>
          <w:rFonts w:eastAsia="Times New Roman" w:cs="Times New Roman"/>
          <w:b/>
          <w:bCs/>
          <w:color w:val="000080"/>
        </w:rPr>
      </w:r>
    </w:p>
    <w:tbl>
      <w:tblPr>
        <w:tblW w:w="8565" w:type="dxa"/>
        <w:jc w:val="center"/>
        <w:tblInd w:w="0" w:type="dxa"/>
        <w:tblLayout w:type="fixed"/>
        <w:tblCellMar>
          <w:top w:w="15" w:type="dxa"/>
          <w:start w:w="15" w:type="dxa"/>
          <w:bottom w:w="0" w:type="dxa"/>
          <w:end w:w="15" w:type="dxa"/>
        </w:tblCellMar>
      </w:tblPr>
      <w:tblGrid>
        <w:gridCol w:w="4860"/>
        <w:gridCol w:w="1223"/>
        <w:gridCol w:w="1260"/>
        <w:gridCol w:w="1222"/>
      </w:tblGrid>
      <w:tr>
        <w:trPr>
          <w:trHeight w:val="315" w:hRule="atLeast"/>
        </w:trPr>
        <w:tc>
          <w:tcPr>
            <w:tcW w:w="4860" w:type="dxa"/>
            <w:tcBorders>
              <w:top w:val="single" w:sz="4" w:space="0" w:color="000000"/>
              <w:start w:val="single" w:sz="4" w:space="0" w:color="000000"/>
            </w:tcBorders>
            <w:vAlign w:val="bottom"/>
          </w:tcPr>
          <w:p>
            <w:pPr>
              <w:pStyle w:val="Normal"/>
              <w:jc w:val="center"/>
              <w:rPr>
                <w:rFonts w:eastAsia="Arial Unicode MS"/>
                <w:b/>
                <w:bCs/>
                <w:sz w:val="22"/>
              </w:rPr>
            </w:pPr>
            <w:r>
              <w:rPr>
                <w:b/>
                <w:bCs/>
                <w:sz w:val="22"/>
              </w:rPr>
              <w:t>Company</w:t>
            </w:r>
          </w:p>
        </w:tc>
        <w:tc>
          <w:tcPr>
            <w:tcW w:w="3705" w:type="dxa"/>
            <w:gridSpan w:val="3"/>
            <w:tcBorders>
              <w:top w:val="single" w:sz="4" w:space="0" w:color="000000"/>
              <w:end w:val="single" w:sz="4" w:space="0" w:color="000000"/>
            </w:tcBorders>
            <w:vAlign w:val="bottom"/>
          </w:tcPr>
          <w:p>
            <w:pPr>
              <w:pStyle w:val="Normal"/>
              <w:jc w:val="center"/>
              <w:rPr>
                <w:rFonts w:eastAsia="Arial Unicode MS"/>
                <w:b/>
                <w:bCs/>
                <w:sz w:val="22"/>
              </w:rPr>
            </w:pPr>
            <w:r>
              <w:rPr>
                <w:b/>
                <w:bCs/>
                <w:sz w:val="22"/>
              </w:rPr>
              <w:t>Exposure Estimates (in millions US$)</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jc w:val="center"/>
              <w:rPr>
                <w:rFonts w:eastAsia="Arial Unicode MS"/>
              </w:rPr>
            </w:pPr>
            <w:r>
              <w:rPr/>
              <w:t> </w:t>
            </w:r>
          </w:p>
        </w:tc>
        <w:tc>
          <w:tcPr>
            <w:tcW w:w="1223" w:type="dxa"/>
            <w:tcBorders>
              <w:bottom w:val="single" w:sz="4" w:space="0" w:color="000000"/>
              <w:end w:val="single" w:sz="4" w:space="0" w:color="000000"/>
            </w:tcBorders>
            <w:vAlign w:val="bottom"/>
          </w:tcPr>
          <w:p>
            <w:pPr>
              <w:pStyle w:val="Normal"/>
              <w:jc w:val="center"/>
              <w:rPr>
                <w:rFonts w:eastAsia="Arial Unicode MS"/>
              </w:rPr>
            </w:pPr>
            <w:r>
              <w:rPr/>
              <w:t>9/20/2001</w:t>
            </w:r>
          </w:p>
        </w:tc>
        <w:tc>
          <w:tcPr>
            <w:tcW w:w="1260" w:type="dxa"/>
            <w:tcBorders>
              <w:bottom w:val="single" w:sz="4" w:space="0" w:color="000000"/>
              <w:end w:val="single" w:sz="4" w:space="0" w:color="000000"/>
            </w:tcBorders>
            <w:vAlign w:val="bottom"/>
          </w:tcPr>
          <w:p>
            <w:pPr>
              <w:pStyle w:val="Normal"/>
              <w:jc w:val="center"/>
              <w:rPr>
                <w:rFonts w:eastAsia="Arial Unicode MS"/>
              </w:rPr>
            </w:pPr>
            <w:r>
              <w:rPr/>
              <w:t>9/21/2001</w:t>
            </w:r>
          </w:p>
        </w:tc>
        <w:tc>
          <w:tcPr>
            <w:tcW w:w="1222" w:type="dxa"/>
            <w:tcBorders>
              <w:bottom w:val="single" w:sz="4" w:space="0" w:color="000000"/>
              <w:end w:val="single" w:sz="4" w:space="0" w:color="000000"/>
            </w:tcBorders>
            <w:vAlign w:val="bottom"/>
          </w:tcPr>
          <w:p>
            <w:pPr>
              <w:pStyle w:val="Normal"/>
              <w:jc w:val="center"/>
              <w:rPr>
                <w:rFonts w:eastAsia="Arial Unicode MS"/>
              </w:rPr>
            </w:pPr>
            <w:r>
              <w:rPr/>
              <w:t>9/24/2001</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b/>
                <w:bCs/>
              </w:rPr>
            </w:pPr>
            <w:r>
              <w:rPr>
                <w:b/>
                <w:bCs/>
              </w:rPr>
              <w:t>Commercial Property and Casualty</w:t>
            </w:r>
          </w:p>
        </w:tc>
        <w:tc>
          <w:tcPr>
            <w:tcW w:w="1223" w:type="dxa"/>
            <w:tcBorders>
              <w:bottom w:val="single" w:sz="4" w:space="0" w:color="000000"/>
              <w:end w:val="single" w:sz="4" w:space="0" w:color="000000"/>
            </w:tcBorders>
            <w:vAlign w:val="bottom"/>
          </w:tcPr>
          <w:p>
            <w:pPr>
              <w:pStyle w:val="Normal"/>
              <w:rPr>
                <w:rFonts w:eastAsia="Arial Unicode MS"/>
              </w:rPr>
            </w:pPr>
            <w:r>
              <w:rPr/>
              <w:t> </w:t>
            </w:r>
          </w:p>
        </w:tc>
        <w:tc>
          <w:tcPr>
            <w:tcW w:w="1260" w:type="dxa"/>
            <w:tcBorders>
              <w:bottom w:val="single" w:sz="4" w:space="0" w:color="000000"/>
              <w:end w:val="single" w:sz="4" w:space="0" w:color="000000"/>
            </w:tcBorders>
            <w:vAlign w:val="bottom"/>
          </w:tcPr>
          <w:p>
            <w:pPr>
              <w:pStyle w:val="Normal"/>
              <w:rPr>
                <w:rFonts w:eastAsia="Arial Unicode MS"/>
              </w:rPr>
            </w:pPr>
            <w:r>
              <w:rPr/>
              <w:t> </w:t>
            </w:r>
          </w:p>
        </w:tc>
        <w:tc>
          <w:tcPr>
            <w:tcW w:w="1222" w:type="dxa"/>
            <w:tcBorders>
              <w:bottom w:val="single" w:sz="4" w:space="0" w:color="000000"/>
              <w:end w:val="single" w:sz="4" w:space="0" w:color="000000"/>
            </w:tcBorders>
            <w:vAlign w:val="bottom"/>
          </w:tcPr>
          <w:p>
            <w:pPr>
              <w:pStyle w:val="Normal"/>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Header"/>
              <w:tabs>
                <w:tab w:val="clear" w:pos="4320"/>
                <w:tab w:val="clear" w:pos="8640"/>
              </w:tabs>
              <w:rPr>
                <w:rFonts w:eastAsia="Arial Unicode MS"/>
              </w:rPr>
            </w:pPr>
            <w:r>
              <w:rPr>
                <w:rFonts w:eastAsia="Arial Unicode MS"/>
              </w:rPr>
              <w:t>Citigroup</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r>
              <w:rPr/>
              <w:t>500</w:t>
            </w:r>
          </w:p>
        </w:tc>
        <w:tc>
          <w:tcPr>
            <w:tcW w:w="1260" w:type="dxa"/>
            <w:tcBorders>
              <w:bottom w:val="single" w:sz="4" w:space="0" w:color="000000"/>
              <w:end w:val="single" w:sz="4" w:space="0" w:color="000000"/>
            </w:tcBorders>
            <w:vAlign w:val="bottom"/>
          </w:tcPr>
          <w:p>
            <w:pPr>
              <w:pStyle w:val="Normal"/>
              <w:jc w:val="end"/>
              <w:rPr>
                <w:rFonts w:eastAsia="Arial Unicode MS"/>
              </w:rPr>
            </w:pPr>
            <w:r>
              <w:rPr/>
              <w:t>500 </w:t>
            </w:r>
          </w:p>
        </w:tc>
        <w:tc>
          <w:tcPr>
            <w:tcW w:w="1222" w:type="dxa"/>
            <w:tcBorders>
              <w:bottom w:val="single" w:sz="4" w:space="0" w:color="000000"/>
              <w:end w:val="single" w:sz="4" w:space="0" w:color="000000"/>
            </w:tcBorders>
            <w:vAlign w:val="bottom"/>
          </w:tcPr>
          <w:p>
            <w:pPr>
              <w:pStyle w:val="Normal"/>
              <w:jc w:val="end"/>
              <w:rPr>
                <w:rFonts w:eastAsia="Arial Unicode MS"/>
              </w:rPr>
            </w:pPr>
            <w:r>
              <w:rPr/>
              <w:t>500 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GMAC Commercial Mortgage</w:t>
            </w:r>
          </w:p>
        </w:tc>
        <w:tc>
          <w:tcPr>
            <w:tcW w:w="1223"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80</w:t>
            </w:r>
          </w:p>
        </w:tc>
        <w:tc>
          <w:tcPr>
            <w:tcW w:w="1260"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80</w:t>
            </w:r>
          </w:p>
        </w:tc>
        <w:tc>
          <w:tcPr>
            <w:tcW w:w="1222"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80</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Hartford Financial Services Group</w:t>
            </w:r>
          </w:p>
        </w:tc>
        <w:tc>
          <w:tcPr>
            <w:tcW w:w="1223"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420 net</w:t>
            </w:r>
          </w:p>
        </w:tc>
        <w:tc>
          <w:tcPr>
            <w:tcW w:w="1260"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420 net</w:t>
            </w:r>
          </w:p>
        </w:tc>
        <w:tc>
          <w:tcPr>
            <w:tcW w:w="1222"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420 net</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FootnoteText"/>
              <w:rPr>
                <w:rFonts w:eastAsia="Arial Unicode MS"/>
              </w:rPr>
            </w:pPr>
            <w:r>
              <w:rPr>
                <w:rFonts w:eastAsia="Arial Unicode MS"/>
              </w:rPr>
              <w:t>Hartford Financial Services Inc. (HSFI)</w:t>
            </w:r>
          </w:p>
        </w:tc>
        <w:tc>
          <w:tcPr>
            <w:tcW w:w="1223"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c>
          <w:tcPr>
            <w:tcW w:w="1260"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c>
          <w:tcPr>
            <w:tcW w:w="1222"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HCC Insurance Holdings</w:t>
            </w:r>
          </w:p>
        </w:tc>
        <w:tc>
          <w:tcPr>
            <w:tcW w:w="1223"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c>
          <w:tcPr>
            <w:tcW w:w="1260"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c>
          <w:tcPr>
            <w:tcW w:w="1222"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Lloyds</w:t>
            </w:r>
          </w:p>
        </w:tc>
        <w:tc>
          <w:tcPr>
            <w:tcW w:w="1223"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1.5 bn</w:t>
            </w:r>
          </w:p>
        </w:tc>
        <w:tc>
          <w:tcPr>
            <w:tcW w:w="1260"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1.5 bn</w:t>
            </w:r>
          </w:p>
        </w:tc>
        <w:tc>
          <w:tcPr>
            <w:tcW w:w="1222"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1.5 bn</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Ohio Casualty Corporation</w:t>
            </w:r>
          </w:p>
        </w:tc>
        <w:tc>
          <w:tcPr>
            <w:tcW w:w="1223"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5 to 7</w:t>
            </w:r>
          </w:p>
        </w:tc>
        <w:tc>
          <w:tcPr>
            <w:tcW w:w="1260"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5 to 7</w:t>
            </w:r>
          </w:p>
        </w:tc>
        <w:tc>
          <w:tcPr>
            <w:tcW w:w="1222"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5 to 7</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OneBeacon Insurance Group</w:t>
            </w:r>
          </w:p>
        </w:tc>
        <w:tc>
          <w:tcPr>
            <w:tcW w:w="1223"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to 175</w:t>
            </w:r>
          </w:p>
        </w:tc>
        <w:tc>
          <w:tcPr>
            <w:tcW w:w="1260"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 xml:space="preserve">to 175 </w:t>
            </w:r>
          </w:p>
        </w:tc>
        <w:tc>
          <w:tcPr>
            <w:tcW w:w="1222"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to 175</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Travelers Property and Casualty Co.</w:t>
            </w:r>
          </w:p>
        </w:tc>
        <w:tc>
          <w:tcPr>
            <w:tcW w:w="1223"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c>
          <w:tcPr>
            <w:tcW w:w="1260"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c>
          <w:tcPr>
            <w:tcW w:w="1222"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b/>
                <w:bCs/>
              </w:rPr>
            </w:pPr>
            <w:r>
              <w:rPr>
                <w:b/>
                <w:bCs/>
              </w:rPr>
              <w:t>Underwriters</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FootnoteText"/>
              <w:rPr>
                <w:rFonts w:eastAsia="Arial Unicode MS"/>
              </w:rPr>
            </w:pPr>
            <w:r>
              <w:rPr/>
              <w:t>Amlin Plc (for Lloyds)</w:t>
            </w:r>
          </w:p>
        </w:tc>
        <w:tc>
          <w:tcPr>
            <w:tcW w:w="1223" w:type="dxa"/>
            <w:tcBorders>
              <w:bottom w:val="single" w:sz="4" w:space="0" w:color="000000"/>
              <w:end w:val="single" w:sz="4" w:space="0" w:color="000000"/>
            </w:tcBorders>
            <w:vAlign w:val="bottom"/>
          </w:tcPr>
          <w:p>
            <w:pPr>
              <w:pStyle w:val="Normal"/>
              <w:jc w:val="end"/>
              <w:rPr>
                <w:rFonts w:eastAsia="Arial Unicode MS"/>
              </w:rPr>
            </w:pPr>
            <w:r>
              <w:rPr/>
              <w:t>66 </w:t>
            </w:r>
          </w:p>
        </w:tc>
        <w:tc>
          <w:tcPr>
            <w:tcW w:w="1260" w:type="dxa"/>
            <w:tcBorders>
              <w:bottom w:val="single" w:sz="4" w:space="0" w:color="000000"/>
              <w:end w:val="single" w:sz="4" w:space="0" w:color="000000"/>
            </w:tcBorders>
            <w:vAlign w:val="bottom"/>
          </w:tcPr>
          <w:p>
            <w:pPr>
              <w:pStyle w:val="Normal"/>
              <w:jc w:val="end"/>
              <w:rPr>
                <w:rFonts w:eastAsia="Arial Unicode MS"/>
              </w:rPr>
            </w:pPr>
            <w:r>
              <w:rPr/>
              <w:t>66 </w:t>
            </w:r>
          </w:p>
        </w:tc>
        <w:tc>
          <w:tcPr>
            <w:tcW w:w="1222" w:type="dxa"/>
            <w:tcBorders>
              <w:bottom w:val="single" w:sz="4" w:space="0" w:color="000000"/>
              <w:end w:val="single" w:sz="4" w:space="0" w:color="000000"/>
            </w:tcBorders>
            <w:vAlign w:val="bottom"/>
          </w:tcPr>
          <w:p>
            <w:pPr>
              <w:pStyle w:val="Normal"/>
              <w:jc w:val="end"/>
              <w:rPr>
                <w:rFonts w:eastAsia="Arial Unicode MS"/>
              </w:rPr>
            </w:pPr>
            <w:r>
              <w:rPr/>
              <w:t>66 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BRIT Insurance (for Lloyds)</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pPr>
            <w:r>
              <w:rPr/>
              <w:t>Chartwell Managing Agent (owned by TGL for Lloyds)</w:t>
            </w:r>
          </w:p>
        </w:tc>
        <w:tc>
          <w:tcPr>
            <w:tcW w:w="1223" w:type="dxa"/>
            <w:tcBorders>
              <w:bottom w:val="single" w:sz="4" w:space="0" w:color="000000"/>
              <w:end w:val="single" w:sz="4" w:space="0" w:color="000000"/>
            </w:tcBorders>
            <w:vAlign w:val="bottom"/>
          </w:tcPr>
          <w:p>
            <w:pPr>
              <w:pStyle w:val="Normal"/>
              <w:snapToGrid w:val="false"/>
              <w:jc w:val="end"/>
              <w:rPr/>
            </w:pPr>
            <w:r>
              <w:rPr/>
            </w:r>
          </w:p>
        </w:tc>
        <w:tc>
          <w:tcPr>
            <w:tcW w:w="1260" w:type="dxa"/>
            <w:tcBorders>
              <w:bottom w:val="single" w:sz="4" w:space="0" w:color="000000"/>
              <w:end w:val="single" w:sz="4" w:space="0" w:color="000000"/>
            </w:tcBorders>
            <w:vAlign w:val="bottom"/>
          </w:tcPr>
          <w:p>
            <w:pPr>
              <w:pStyle w:val="Normal"/>
              <w:snapToGrid w:val="false"/>
              <w:jc w:val="end"/>
              <w:rPr/>
            </w:pPr>
            <w:r>
              <w:rPr/>
            </w:r>
          </w:p>
        </w:tc>
        <w:tc>
          <w:tcPr>
            <w:tcW w:w="1222" w:type="dxa"/>
            <w:tcBorders>
              <w:bottom w:val="single" w:sz="4" w:space="0" w:color="000000"/>
              <w:end w:val="single" w:sz="4" w:space="0" w:color="000000"/>
            </w:tcBorders>
            <w:vAlign w:val="bottom"/>
          </w:tcPr>
          <w:p>
            <w:pPr>
              <w:pStyle w:val="Normal"/>
              <w:snapToGrid w:val="false"/>
              <w:jc w:val="end"/>
              <w:rPr/>
            </w:pPr>
            <w:r>
              <w:rPr/>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pPr>
            <w:r>
              <w:rPr/>
              <w:t>Chaucer Holdings, Plc</w:t>
            </w:r>
          </w:p>
        </w:tc>
        <w:tc>
          <w:tcPr>
            <w:tcW w:w="1223" w:type="dxa"/>
            <w:tcBorders>
              <w:bottom w:val="single" w:sz="4" w:space="0" w:color="000000"/>
              <w:end w:val="single" w:sz="4" w:space="0" w:color="000000"/>
            </w:tcBorders>
            <w:vAlign w:val="bottom"/>
          </w:tcPr>
          <w:p>
            <w:pPr>
              <w:pStyle w:val="Normal"/>
              <w:jc w:val="end"/>
              <w:rPr/>
            </w:pPr>
            <w:r>
              <w:rPr/>
              <w:t>11.7 to 17.5</w:t>
            </w:r>
          </w:p>
        </w:tc>
        <w:tc>
          <w:tcPr>
            <w:tcW w:w="1260" w:type="dxa"/>
            <w:tcBorders>
              <w:bottom w:val="single" w:sz="4" w:space="0" w:color="000000"/>
              <w:end w:val="single" w:sz="4" w:space="0" w:color="000000"/>
            </w:tcBorders>
            <w:vAlign w:val="bottom"/>
          </w:tcPr>
          <w:p>
            <w:pPr>
              <w:pStyle w:val="Normal"/>
              <w:jc w:val="end"/>
              <w:rPr/>
            </w:pPr>
            <w:r>
              <w:rPr/>
              <w:t>11.7 to 17.5</w:t>
            </w:r>
          </w:p>
        </w:tc>
        <w:tc>
          <w:tcPr>
            <w:tcW w:w="1222" w:type="dxa"/>
            <w:tcBorders>
              <w:bottom w:val="single" w:sz="4" w:space="0" w:color="000000"/>
              <w:end w:val="single" w:sz="4" w:space="0" w:color="000000"/>
            </w:tcBorders>
            <w:vAlign w:val="bottom"/>
          </w:tcPr>
          <w:p>
            <w:pPr>
              <w:pStyle w:val="Normal"/>
              <w:jc w:val="end"/>
              <w:rPr/>
            </w:pPr>
            <w:r>
              <w:rPr/>
              <w:t>11.7 to 17.5</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Hiscox Plc (for Lloyds)</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pPr>
            <w:r>
              <w:rPr/>
              <w:t>Goshawk</w:t>
            </w:r>
          </w:p>
        </w:tc>
        <w:tc>
          <w:tcPr>
            <w:tcW w:w="1223" w:type="dxa"/>
            <w:tcBorders>
              <w:bottom w:val="single" w:sz="4" w:space="0" w:color="000000"/>
              <w:end w:val="single" w:sz="4" w:space="0" w:color="000000"/>
            </w:tcBorders>
            <w:vAlign w:val="bottom"/>
          </w:tcPr>
          <w:p>
            <w:pPr>
              <w:pStyle w:val="Normal"/>
              <w:jc w:val="end"/>
              <w:rPr/>
            </w:pPr>
            <w:r>
              <w:rPr/>
              <w:t>12</w:t>
            </w:r>
          </w:p>
        </w:tc>
        <w:tc>
          <w:tcPr>
            <w:tcW w:w="1260" w:type="dxa"/>
            <w:tcBorders>
              <w:bottom w:val="single" w:sz="4" w:space="0" w:color="000000"/>
              <w:end w:val="single" w:sz="4" w:space="0" w:color="000000"/>
            </w:tcBorders>
            <w:vAlign w:val="bottom"/>
          </w:tcPr>
          <w:p>
            <w:pPr>
              <w:pStyle w:val="Normal"/>
              <w:jc w:val="end"/>
              <w:rPr/>
            </w:pPr>
            <w:r>
              <w:rPr/>
              <w:t>12</w:t>
            </w:r>
          </w:p>
        </w:tc>
        <w:tc>
          <w:tcPr>
            <w:tcW w:w="1222" w:type="dxa"/>
            <w:tcBorders>
              <w:bottom w:val="single" w:sz="4" w:space="0" w:color="000000"/>
              <w:end w:val="single" w:sz="4" w:space="0" w:color="000000"/>
            </w:tcBorders>
            <w:vAlign w:val="bottom"/>
          </w:tcPr>
          <w:p>
            <w:pPr>
              <w:pStyle w:val="Normal"/>
              <w:jc w:val="end"/>
              <w:rPr/>
            </w:pPr>
            <w:r>
              <w:rPr/>
              <w:t>12</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pPr>
            <w:r>
              <w:rPr/>
              <w:t>RJ Kiln</w:t>
            </w:r>
          </w:p>
        </w:tc>
        <w:tc>
          <w:tcPr>
            <w:tcW w:w="1223" w:type="dxa"/>
            <w:tcBorders>
              <w:bottom w:val="single" w:sz="4" w:space="0" w:color="000000"/>
              <w:end w:val="single" w:sz="4" w:space="0" w:color="000000"/>
            </w:tcBorders>
            <w:vAlign w:val="bottom"/>
          </w:tcPr>
          <w:p>
            <w:pPr>
              <w:pStyle w:val="Normal"/>
              <w:jc w:val="end"/>
              <w:rPr/>
            </w:pPr>
            <w:r>
              <w:rPr/>
              <w:t>24</w:t>
            </w:r>
          </w:p>
        </w:tc>
        <w:tc>
          <w:tcPr>
            <w:tcW w:w="1260" w:type="dxa"/>
            <w:tcBorders>
              <w:bottom w:val="single" w:sz="4" w:space="0" w:color="000000"/>
              <w:end w:val="single" w:sz="4" w:space="0" w:color="000000"/>
            </w:tcBorders>
            <w:vAlign w:val="bottom"/>
          </w:tcPr>
          <w:p>
            <w:pPr>
              <w:pStyle w:val="Normal"/>
              <w:jc w:val="end"/>
              <w:rPr/>
            </w:pPr>
            <w:r>
              <w:rPr/>
              <w:t>24</w:t>
            </w:r>
          </w:p>
        </w:tc>
        <w:tc>
          <w:tcPr>
            <w:tcW w:w="1222" w:type="dxa"/>
            <w:tcBorders>
              <w:bottom w:val="single" w:sz="4" w:space="0" w:color="000000"/>
              <w:end w:val="single" w:sz="4" w:space="0" w:color="000000"/>
            </w:tcBorders>
            <w:vAlign w:val="bottom"/>
          </w:tcPr>
          <w:p>
            <w:pPr>
              <w:pStyle w:val="Normal"/>
              <w:jc w:val="end"/>
              <w:rPr/>
            </w:pPr>
            <w:r>
              <w:rPr/>
              <w:t>66</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St. Pauls Cos. (for Lloyds)</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SVB Holdings</w:t>
            </w:r>
          </w:p>
        </w:tc>
        <w:tc>
          <w:tcPr>
            <w:tcW w:w="1223" w:type="dxa"/>
            <w:tcBorders>
              <w:bottom w:val="single" w:sz="4" w:space="0" w:color="000000"/>
              <w:end w:val="single" w:sz="4" w:space="0" w:color="000000"/>
            </w:tcBorders>
            <w:vAlign w:val="bottom"/>
          </w:tcPr>
          <w:p>
            <w:pPr>
              <w:pStyle w:val="Normal"/>
              <w:jc w:val="end"/>
              <w:rPr>
                <w:rFonts w:eastAsia="Arial Unicode MS"/>
              </w:rPr>
            </w:pPr>
            <w:r>
              <w:rPr/>
              <w:t>29 </w:t>
            </w:r>
          </w:p>
        </w:tc>
        <w:tc>
          <w:tcPr>
            <w:tcW w:w="1260" w:type="dxa"/>
            <w:tcBorders>
              <w:bottom w:val="single" w:sz="4" w:space="0" w:color="000000"/>
              <w:end w:val="single" w:sz="4" w:space="0" w:color="000000"/>
            </w:tcBorders>
            <w:vAlign w:val="bottom"/>
          </w:tcPr>
          <w:p>
            <w:pPr>
              <w:pStyle w:val="Normal"/>
              <w:jc w:val="end"/>
              <w:rPr>
                <w:rFonts w:eastAsia="Arial Unicode MS"/>
              </w:rPr>
            </w:pPr>
            <w:r>
              <w:rPr/>
              <w:t>29 </w:t>
            </w:r>
          </w:p>
        </w:tc>
        <w:tc>
          <w:tcPr>
            <w:tcW w:w="1222" w:type="dxa"/>
            <w:tcBorders>
              <w:bottom w:val="single" w:sz="4" w:space="0" w:color="000000"/>
              <w:end w:val="single" w:sz="4" w:space="0" w:color="000000"/>
            </w:tcBorders>
            <w:vAlign w:val="bottom"/>
          </w:tcPr>
          <w:p>
            <w:pPr>
              <w:pStyle w:val="Normal"/>
              <w:jc w:val="end"/>
              <w:rPr>
                <w:rFonts w:eastAsia="Arial Unicode MS"/>
              </w:rPr>
            </w:pPr>
            <w:r>
              <w:rPr/>
              <w:t>29 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b/>
                <w:bCs/>
              </w:rPr>
            </w:pPr>
            <w:r>
              <w:rPr>
                <w:b/>
                <w:bCs/>
              </w:rPr>
              <w:t>Reinsurers</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Ace Limited</w:t>
            </w:r>
          </w:p>
        </w:tc>
        <w:tc>
          <w:tcPr>
            <w:tcW w:w="1223"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400</w:t>
            </w:r>
          </w:p>
        </w:tc>
        <w:tc>
          <w:tcPr>
            <w:tcW w:w="1260"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400</w:t>
            </w:r>
          </w:p>
        </w:tc>
        <w:tc>
          <w:tcPr>
            <w:tcW w:w="1222"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400</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American Re</w:t>
            </w:r>
          </w:p>
        </w:tc>
        <w:tc>
          <w:tcPr>
            <w:tcW w:w="1223"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c>
          <w:tcPr>
            <w:tcW w:w="1260"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c>
          <w:tcPr>
            <w:tcW w:w="1222"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Converium (formerly Zurich Re)</w:t>
            </w:r>
          </w:p>
        </w:tc>
        <w:tc>
          <w:tcPr>
            <w:tcW w:w="1223"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c>
          <w:tcPr>
            <w:tcW w:w="1260"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c>
          <w:tcPr>
            <w:tcW w:w="1222"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Element Re</w:t>
            </w:r>
          </w:p>
        </w:tc>
        <w:tc>
          <w:tcPr>
            <w:tcW w:w="1223"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c>
          <w:tcPr>
            <w:tcW w:w="1260"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c>
          <w:tcPr>
            <w:tcW w:w="1222"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Employers Re (owned by Berkshire Hathaway)</w:t>
            </w:r>
          </w:p>
        </w:tc>
        <w:tc>
          <w:tcPr>
            <w:tcW w:w="1223"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1 bn</w:t>
            </w:r>
          </w:p>
        </w:tc>
        <w:tc>
          <w:tcPr>
            <w:tcW w:w="1260"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1 bn</w:t>
            </w:r>
          </w:p>
        </w:tc>
        <w:tc>
          <w:tcPr>
            <w:tcW w:w="1222"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1.1 bn</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Employers Reinsurance Corp (owned by GE)</w:t>
            </w:r>
          </w:p>
        </w:tc>
        <w:tc>
          <w:tcPr>
            <w:tcW w:w="1223"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600</w:t>
            </w:r>
          </w:p>
        </w:tc>
        <w:tc>
          <w:tcPr>
            <w:tcW w:w="1260"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600</w:t>
            </w:r>
          </w:p>
        </w:tc>
        <w:tc>
          <w:tcPr>
            <w:tcW w:w="1222"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600</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Enterprise Re</w:t>
            </w:r>
          </w:p>
        </w:tc>
        <w:tc>
          <w:tcPr>
            <w:tcW w:w="1223"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c>
          <w:tcPr>
            <w:tcW w:w="1260"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c>
          <w:tcPr>
            <w:tcW w:w="1222"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Everest Re Group Ltd.</w:t>
            </w:r>
          </w:p>
        </w:tc>
        <w:tc>
          <w:tcPr>
            <w:tcW w:w="1223"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75</w:t>
            </w:r>
          </w:p>
        </w:tc>
        <w:tc>
          <w:tcPr>
            <w:tcW w:w="1260"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75</w:t>
            </w:r>
          </w:p>
        </w:tc>
        <w:tc>
          <w:tcPr>
            <w:tcW w:w="1222"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75</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General Re (owned by Berkshire Hathaway)</w:t>
            </w:r>
          </w:p>
        </w:tc>
        <w:tc>
          <w:tcPr>
            <w:tcW w:w="1223"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1 bn</w:t>
            </w:r>
          </w:p>
        </w:tc>
        <w:tc>
          <w:tcPr>
            <w:tcW w:w="1260"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1.5 bn</w:t>
            </w:r>
          </w:p>
        </w:tc>
        <w:tc>
          <w:tcPr>
            <w:tcW w:w="1222"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1.1 bn</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Hannover Re</w:t>
            </w:r>
          </w:p>
        </w:tc>
        <w:tc>
          <w:tcPr>
            <w:tcW w:w="1223"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365</w:t>
            </w:r>
          </w:p>
        </w:tc>
        <w:tc>
          <w:tcPr>
            <w:tcW w:w="1260"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365</w:t>
            </w:r>
          </w:p>
        </w:tc>
        <w:tc>
          <w:tcPr>
            <w:tcW w:w="1222"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365</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Interpolis Re</w:t>
            </w:r>
          </w:p>
        </w:tc>
        <w:tc>
          <w:tcPr>
            <w:tcW w:w="1223"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c>
          <w:tcPr>
            <w:tcW w:w="1260"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c>
          <w:tcPr>
            <w:tcW w:w="1222"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IPC Holdings (under AIG)</w:t>
            </w:r>
          </w:p>
        </w:tc>
        <w:tc>
          <w:tcPr>
            <w:tcW w:w="1223"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75</w:t>
            </w:r>
          </w:p>
        </w:tc>
        <w:tc>
          <w:tcPr>
            <w:tcW w:w="1260"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75</w:t>
            </w:r>
          </w:p>
        </w:tc>
        <w:tc>
          <w:tcPr>
            <w:tcW w:w="1222"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75</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La Salle Re Ltd. (owned by TGL)</w:t>
            </w:r>
          </w:p>
        </w:tc>
        <w:tc>
          <w:tcPr>
            <w:tcW w:w="1223"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c>
          <w:tcPr>
            <w:tcW w:w="1260"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c>
          <w:tcPr>
            <w:tcW w:w="1222"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Lloyds (all syndicates)</w:t>
            </w:r>
          </w:p>
        </w:tc>
        <w:tc>
          <w:tcPr>
            <w:tcW w:w="1223"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multi-bn</w:t>
            </w:r>
          </w:p>
        </w:tc>
        <w:tc>
          <w:tcPr>
            <w:tcW w:w="1260"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multi-bn</w:t>
            </w:r>
          </w:p>
        </w:tc>
        <w:tc>
          <w:tcPr>
            <w:tcW w:w="1222"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multi-bn</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ind w:hanging="308" w:start="308" w:end="0"/>
              <w:rPr/>
            </w:pPr>
            <w:r>
              <w:rPr>
                <w:rFonts w:eastAsia="Times New Roman"/>
              </w:rPr>
              <w:t xml:space="preserve">     </w:t>
            </w:r>
            <w:r>
              <w:rPr>
                <w:rFonts w:eastAsia="Arial Unicode MS"/>
              </w:rPr>
              <w:t>Lloyds (Catlin Syndicate)</w:t>
            </w:r>
          </w:p>
        </w:tc>
        <w:tc>
          <w:tcPr>
            <w:tcW w:w="1223"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400</w:t>
            </w:r>
          </w:p>
        </w:tc>
        <w:tc>
          <w:tcPr>
            <w:tcW w:w="1260"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400</w:t>
            </w:r>
          </w:p>
        </w:tc>
        <w:tc>
          <w:tcPr>
            <w:tcW w:w="1222"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400</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pPr>
            <w:r>
              <w:rPr>
                <w:rFonts w:eastAsia="Times New Roman"/>
              </w:rPr>
              <w:t xml:space="preserve">     </w:t>
            </w:r>
            <w:r>
              <w:rPr>
                <w:rFonts w:eastAsia="Arial Unicode MS"/>
              </w:rPr>
              <w:t>Lloyds Syndicate 510</w:t>
            </w:r>
          </w:p>
        </w:tc>
        <w:tc>
          <w:tcPr>
            <w:tcW w:w="1223"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40</w:t>
            </w:r>
          </w:p>
        </w:tc>
        <w:tc>
          <w:tcPr>
            <w:tcW w:w="1260"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40</w:t>
            </w:r>
          </w:p>
        </w:tc>
        <w:tc>
          <w:tcPr>
            <w:tcW w:w="1222"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40</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pPr>
            <w:r>
              <w:rPr>
                <w:rFonts w:eastAsia="Times New Roman"/>
              </w:rPr>
              <w:t xml:space="preserve">     </w:t>
            </w:r>
            <w:r>
              <w:rPr>
                <w:rFonts w:eastAsia="Arial Unicode MS"/>
              </w:rPr>
              <w:t>Lloyds Syndicate 557</w:t>
            </w:r>
          </w:p>
        </w:tc>
        <w:tc>
          <w:tcPr>
            <w:tcW w:w="1223"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27</w:t>
            </w:r>
          </w:p>
        </w:tc>
        <w:tc>
          <w:tcPr>
            <w:tcW w:w="1260"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27</w:t>
            </w:r>
          </w:p>
        </w:tc>
        <w:tc>
          <w:tcPr>
            <w:tcW w:w="1222"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27</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Marsh</w:t>
            </w:r>
          </w:p>
        </w:tc>
        <w:tc>
          <w:tcPr>
            <w:tcW w:w="1223"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c>
          <w:tcPr>
            <w:tcW w:w="1260"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c>
          <w:tcPr>
            <w:tcW w:w="1222"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Max Re</w:t>
            </w:r>
          </w:p>
        </w:tc>
        <w:tc>
          <w:tcPr>
            <w:tcW w:w="1223"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c>
          <w:tcPr>
            <w:tcW w:w="1260" w:type="dxa"/>
            <w:tcBorders>
              <w:bottom w:val="single" w:sz="4" w:space="0" w:color="000000"/>
              <w:end w:val="single" w:sz="4" w:space="0" w:color="000000"/>
            </w:tcBorders>
            <w:vAlign w:val="bottom"/>
          </w:tcPr>
          <w:p>
            <w:pPr>
              <w:pStyle w:val="Normal"/>
              <w:snapToGrid w:val="false"/>
              <w:jc w:val="end"/>
              <w:rPr/>
            </w:pPr>
            <w:r>
              <w:rPr/>
            </w:r>
          </w:p>
        </w:tc>
        <w:tc>
          <w:tcPr>
            <w:tcW w:w="1222" w:type="dxa"/>
            <w:tcBorders>
              <w:bottom w:val="single" w:sz="4" w:space="0" w:color="000000"/>
              <w:end w:val="single" w:sz="4" w:space="0" w:color="000000"/>
            </w:tcBorders>
            <w:vAlign w:val="bottom"/>
          </w:tcPr>
          <w:p>
            <w:pPr>
              <w:pStyle w:val="Normal"/>
              <w:snapToGrid w:val="false"/>
              <w:jc w:val="end"/>
              <w:rPr/>
            </w:pPr>
            <w:r>
              <w:rPr/>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Munich Re Group (parent American Re)</w:t>
            </w:r>
          </w:p>
        </w:tc>
        <w:tc>
          <w:tcPr>
            <w:tcW w:w="1223" w:type="dxa"/>
            <w:tcBorders>
              <w:bottom w:val="single" w:sz="4" w:space="0" w:color="000000"/>
              <w:end w:val="single" w:sz="4" w:space="0" w:color="000000"/>
            </w:tcBorders>
            <w:vAlign w:val="bottom"/>
          </w:tcPr>
          <w:p>
            <w:pPr>
              <w:pStyle w:val="Normal"/>
              <w:jc w:val="end"/>
              <w:rPr/>
            </w:pPr>
            <w:r>
              <w:rPr/>
              <w:t>910+</w:t>
            </w:r>
          </w:p>
        </w:tc>
        <w:tc>
          <w:tcPr>
            <w:tcW w:w="1260" w:type="dxa"/>
            <w:tcBorders>
              <w:bottom w:val="single" w:sz="4" w:space="0" w:color="000000"/>
              <w:end w:val="single" w:sz="4" w:space="0" w:color="000000"/>
            </w:tcBorders>
            <w:vAlign w:val="bottom"/>
          </w:tcPr>
          <w:p>
            <w:pPr>
              <w:pStyle w:val="Normal"/>
              <w:jc w:val="end"/>
              <w:rPr/>
            </w:pPr>
            <w:r>
              <w:rPr/>
              <w:t>1.95 bn</w:t>
            </w:r>
          </w:p>
        </w:tc>
        <w:tc>
          <w:tcPr>
            <w:tcW w:w="1222" w:type="dxa"/>
            <w:tcBorders>
              <w:bottom w:val="single" w:sz="4" w:space="0" w:color="000000"/>
              <w:end w:val="single" w:sz="4" w:space="0" w:color="000000"/>
            </w:tcBorders>
            <w:vAlign w:val="bottom"/>
          </w:tcPr>
          <w:p>
            <w:pPr>
              <w:pStyle w:val="Normal"/>
              <w:jc w:val="end"/>
              <w:rPr/>
            </w:pPr>
            <w:r>
              <w:rPr/>
              <w:t>1.932 bn</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Odyssey Re Holdings Corp.</w:t>
            </w:r>
          </w:p>
        </w:tc>
        <w:tc>
          <w:tcPr>
            <w:tcW w:w="1223" w:type="dxa"/>
            <w:tcBorders>
              <w:bottom w:val="single" w:sz="4" w:space="0" w:color="000000"/>
              <w:end w:val="single" w:sz="4" w:space="0" w:color="000000"/>
            </w:tcBorders>
            <w:vAlign w:val="bottom"/>
          </w:tcPr>
          <w:p>
            <w:pPr>
              <w:pStyle w:val="Normal"/>
              <w:jc w:val="end"/>
              <w:rPr/>
            </w:pPr>
            <w:r>
              <w:rPr/>
              <w:t>80</w:t>
            </w:r>
          </w:p>
        </w:tc>
        <w:tc>
          <w:tcPr>
            <w:tcW w:w="1260" w:type="dxa"/>
            <w:tcBorders>
              <w:bottom w:val="single" w:sz="4" w:space="0" w:color="000000"/>
              <w:end w:val="single" w:sz="4" w:space="0" w:color="000000"/>
            </w:tcBorders>
            <w:vAlign w:val="bottom"/>
          </w:tcPr>
          <w:p>
            <w:pPr>
              <w:pStyle w:val="Normal"/>
              <w:jc w:val="end"/>
              <w:rPr/>
            </w:pPr>
            <w:r>
              <w:rPr/>
              <w:t>80</w:t>
            </w:r>
          </w:p>
        </w:tc>
        <w:tc>
          <w:tcPr>
            <w:tcW w:w="1222" w:type="dxa"/>
            <w:tcBorders>
              <w:bottom w:val="single" w:sz="4" w:space="0" w:color="000000"/>
              <w:end w:val="single" w:sz="4" w:space="0" w:color="000000"/>
            </w:tcBorders>
            <w:vAlign w:val="bottom"/>
          </w:tcPr>
          <w:p>
            <w:pPr>
              <w:pStyle w:val="Normal"/>
              <w:jc w:val="end"/>
              <w:rPr/>
            </w:pPr>
            <w:r>
              <w:rPr/>
              <w:t>80</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Partner Re</w:t>
            </w:r>
          </w:p>
        </w:tc>
        <w:tc>
          <w:tcPr>
            <w:tcW w:w="1223" w:type="dxa"/>
            <w:tcBorders>
              <w:bottom w:val="single" w:sz="4" w:space="0" w:color="000000"/>
              <w:end w:val="single" w:sz="4" w:space="0" w:color="000000"/>
            </w:tcBorders>
            <w:vAlign w:val="bottom"/>
          </w:tcPr>
          <w:p>
            <w:pPr>
              <w:pStyle w:val="Normal"/>
              <w:jc w:val="end"/>
              <w:rPr/>
            </w:pPr>
            <w:r>
              <w:rPr/>
              <w:t>350 to 400</w:t>
            </w:r>
          </w:p>
        </w:tc>
        <w:tc>
          <w:tcPr>
            <w:tcW w:w="1260" w:type="dxa"/>
            <w:tcBorders>
              <w:bottom w:val="single" w:sz="4" w:space="0" w:color="000000"/>
              <w:end w:val="single" w:sz="4" w:space="0" w:color="000000"/>
            </w:tcBorders>
            <w:vAlign w:val="bottom"/>
          </w:tcPr>
          <w:p>
            <w:pPr>
              <w:pStyle w:val="Normal"/>
              <w:jc w:val="end"/>
              <w:rPr/>
            </w:pPr>
            <w:r>
              <w:rPr/>
              <w:t>350 to 400</w:t>
            </w:r>
          </w:p>
        </w:tc>
        <w:tc>
          <w:tcPr>
            <w:tcW w:w="1222" w:type="dxa"/>
            <w:tcBorders>
              <w:bottom w:val="single" w:sz="4" w:space="0" w:color="000000"/>
              <w:end w:val="single" w:sz="4" w:space="0" w:color="000000"/>
            </w:tcBorders>
            <w:vAlign w:val="bottom"/>
          </w:tcPr>
          <w:p>
            <w:pPr>
              <w:pStyle w:val="Normal"/>
              <w:jc w:val="end"/>
              <w:rPr/>
            </w:pPr>
            <w:r>
              <w:rPr/>
              <w:t>350 to 400</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PXRE Group Ltd.</w:t>
            </w:r>
          </w:p>
        </w:tc>
        <w:tc>
          <w:tcPr>
            <w:tcW w:w="1223"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400</w:t>
            </w:r>
          </w:p>
        </w:tc>
        <w:tc>
          <w:tcPr>
            <w:tcW w:w="1260"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400</w:t>
            </w:r>
          </w:p>
        </w:tc>
        <w:tc>
          <w:tcPr>
            <w:tcW w:w="1222"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400</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Renaissance Re Holdings Ltd.</w:t>
            </w:r>
          </w:p>
        </w:tc>
        <w:tc>
          <w:tcPr>
            <w:tcW w:w="1223"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c>
          <w:tcPr>
            <w:tcW w:w="1260"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c>
          <w:tcPr>
            <w:tcW w:w="1222"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SCOR</w:t>
            </w:r>
          </w:p>
        </w:tc>
        <w:tc>
          <w:tcPr>
            <w:tcW w:w="1223"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150 to 200</w:t>
            </w:r>
          </w:p>
        </w:tc>
        <w:tc>
          <w:tcPr>
            <w:tcW w:w="1260"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150 to 200</w:t>
            </w:r>
          </w:p>
        </w:tc>
        <w:tc>
          <w:tcPr>
            <w:tcW w:w="1222"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150 to 200</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Stockton RE</w:t>
            </w:r>
          </w:p>
        </w:tc>
        <w:tc>
          <w:tcPr>
            <w:tcW w:w="1223"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c>
          <w:tcPr>
            <w:tcW w:w="1260"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c>
          <w:tcPr>
            <w:tcW w:w="1222"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St. Pauls Companies</w:t>
            </w:r>
          </w:p>
        </w:tc>
        <w:tc>
          <w:tcPr>
            <w:tcW w:w="1223" w:type="dxa"/>
            <w:tcBorders>
              <w:bottom w:val="single" w:sz="4" w:space="0" w:color="000000"/>
              <w:end w:val="single" w:sz="4" w:space="0" w:color="000000"/>
            </w:tcBorders>
            <w:vAlign w:val="bottom"/>
          </w:tcPr>
          <w:p>
            <w:pPr>
              <w:pStyle w:val="Normal"/>
              <w:jc w:val="end"/>
              <w:rPr/>
            </w:pPr>
            <w:r>
              <w:rPr/>
              <w:t>700</w:t>
            </w:r>
          </w:p>
        </w:tc>
        <w:tc>
          <w:tcPr>
            <w:tcW w:w="1260" w:type="dxa"/>
            <w:tcBorders>
              <w:bottom w:val="single" w:sz="4" w:space="0" w:color="000000"/>
              <w:end w:val="single" w:sz="4" w:space="0" w:color="000000"/>
            </w:tcBorders>
            <w:vAlign w:val="bottom"/>
          </w:tcPr>
          <w:p>
            <w:pPr>
              <w:pStyle w:val="Normal"/>
              <w:jc w:val="end"/>
              <w:rPr/>
            </w:pPr>
            <w:r>
              <w:rPr/>
              <w:t>700</w:t>
            </w:r>
          </w:p>
        </w:tc>
        <w:tc>
          <w:tcPr>
            <w:tcW w:w="1222" w:type="dxa"/>
            <w:tcBorders>
              <w:bottom w:val="single" w:sz="4" w:space="0" w:color="000000"/>
              <w:end w:val="single" w:sz="4" w:space="0" w:color="000000"/>
            </w:tcBorders>
            <w:vAlign w:val="bottom"/>
          </w:tcPr>
          <w:p>
            <w:pPr>
              <w:pStyle w:val="Normal"/>
              <w:jc w:val="end"/>
              <w:rPr/>
            </w:pPr>
            <w:r>
              <w:rPr/>
              <w:t>700</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Swiss Re</w:t>
            </w:r>
          </w:p>
        </w:tc>
        <w:tc>
          <w:tcPr>
            <w:tcW w:w="1223" w:type="dxa"/>
            <w:tcBorders>
              <w:bottom w:val="single" w:sz="4" w:space="0" w:color="000000"/>
              <w:end w:val="single" w:sz="4" w:space="0" w:color="000000"/>
            </w:tcBorders>
            <w:vAlign w:val="bottom"/>
          </w:tcPr>
          <w:p>
            <w:pPr>
              <w:pStyle w:val="Normal"/>
              <w:jc w:val="end"/>
              <w:rPr/>
            </w:pPr>
            <w:r>
              <w:rPr/>
              <w:t>1 bn</w:t>
            </w:r>
          </w:p>
        </w:tc>
        <w:tc>
          <w:tcPr>
            <w:tcW w:w="1260" w:type="dxa"/>
            <w:tcBorders>
              <w:bottom w:val="single" w:sz="4" w:space="0" w:color="000000"/>
              <w:end w:val="single" w:sz="4" w:space="0" w:color="000000"/>
            </w:tcBorders>
            <w:vAlign w:val="bottom"/>
          </w:tcPr>
          <w:p>
            <w:pPr>
              <w:pStyle w:val="Normal"/>
              <w:jc w:val="end"/>
              <w:rPr/>
            </w:pPr>
            <w:r>
              <w:rPr/>
              <w:t>1.25 bn</w:t>
            </w:r>
          </w:p>
        </w:tc>
        <w:tc>
          <w:tcPr>
            <w:tcW w:w="1222" w:type="dxa"/>
            <w:tcBorders>
              <w:bottom w:val="single" w:sz="4" w:space="0" w:color="000000"/>
              <w:end w:val="single" w:sz="4" w:space="0" w:color="000000"/>
            </w:tcBorders>
            <w:vAlign w:val="bottom"/>
          </w:tcPr>
          <w:p>
            <w:pPr>
              <w:pStyle w:val="Normal"/>
              <w:jc w:val="end"/>
              <w:rPr/>
            </w:pPr>
            <w:r>
              <w:rPr/>
              <w:t>1.261 bn</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Transatlantic Holdings Inc.</w:t>
            </w:r>
          </w:p>
        </w:tc>
        <w:tc>
          <w:tcPr>
            <w:tcW w:w="1223" w:type="dxa"/>
            <w:tcBorders>
              <w:bottom w:val="single" w:sz="4" w:space="0" w:color="000000"/>
              <w:end w:val="single" w:sz="4" w:space="0" w:color="000000"/>
            </w:tcBorders>
            <w:vAlign w:val="bottom"/>
          </w:tcPr>
          <w:p>
            <w:pPr>
              <w:pStyle w:val="Normal"/>
              <w:jc w:val="end"/>
              <w:rPr/>
            </w:pPr>
            <w:r>
              <w:rPr/>
              <w:t>100</w:t>
            </w:r>
          </w:p>
        </w:tc>
        <w:tc>
          <w:tcPr>
            <w:tcW w:w="1260" w:type="dxa"/>
            <w:tcBorders>
              <w:bottom w:val="single" w:sz="4" w:space="0" w:color="000000"/>
              <w:end w:val="single" w:sz="4" w:space="0" w:color="000000"/>
            </w:tcBorders>
            <w:vAlign w:val="bottom"/>
          </w:tcPr>
          <w:p>
            <w:pPr>
              <w:pStyle w:val="Normal"/>
              <w:jc w:val="end"/>
              <w:rPr/>
            </w:pPr>
            <w:r>
              <w:rPr/>
              <w:t>100</w:t>
            </w:r>
          </w:p>
        </w:tc>
        <w:tc>
          <w:tcPr>
            <w:tcW w:w="1222" w:type="dxa"/>
            <w:tcBorders>
              <w:bottom w:val="single" w:sz="4" w:space="0" w:color="000000"/>
              <w:end w:val="single" w:sz="4" w:space="0" w:color="000000"/>
            </w:tcBorders>
            <w:vAlign w:val="bottom"/>
          </w:tcPr>
          <w:p>
            <w:pPr>
              <w:pStyle w:val="Normal"/>
              <w:jc w:val="end"/>
              <w:rPr/>
            </w:pPr>
            <w:r>
              <w:rPr/>
              <w:t>100</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Trenwick Group Ltd. (TGL)</w:t>
            </w:r>
          </w:p>
        </w:tc>
        <w:tc>
          <w:tcPr>
            <w:tcW w:w="1223" w:type="dxa"/>
            <w:tcBorders>
              <w:bottom w:val="single" w:sz="4" w:space="0" w:color="000000"/>
              <w:end w:val="single" w:sz="4" w:space="0" w:color="000000"/>
            </w:tcBorders>
            <w:vAlign w:val="bottom"/>
          </w:tcPr>
          <w:p>
            <w:pPr>
              <w:pStyle w:val="Normal"/>
              <w:jc w:val="end"/>
              <w:rPr/>
            </w:pPr>
            <w:r>
              <w:rPr/>
              <w:t>50 to 75</w:t>
            </w:r>
          </w:p>
        </w:tc>
        <w:tc>
          <w:tcPr>
            <w:tcW w:w="1260" w:type="dxa"/>
            <w:tcBorders>
              <w:bottom w:val="single" w:sz="4" w:space="0" w:color="000000"/>
              <w:end w:val="single" w:sz="4" w:space="0" w:color="000000"/>
            </w:tcBorders>
            <w:vAlign w:val="bottom"/>
          </w:tcPr>
          <w:p>
            <w:pPr>
              <w:pStyle w:val="Normal"/>
              <w:jc w:val="end"/>
              <w:rPr/>
            </w:pPr>
            <w:r>
              <w:rPr/>
              <w:t>50 to 75</w:t>
            </w:r>
          </w:p>
        </w:tc>
        <w:tc>
          <w:tcPr>
            <w:tcW w:w="1222" w:type="dxa"/>
            <w:tcBorders>
              <w:bottom w:val="single" w:sz="4" w:space="0" w:color="000000"/>
              <w:end w:val="single" w:sz="4" w:space="0" w:color="000000"/>
            </w:tcBorders>
            <w:vAlign w:val="bottom"/>
          </w:tcPr>
          <w:p>
            <w:pPr>
              <w:pStyle w:val="Normal"/>
              <w:jc w:val="end"/>
              <w:rPr/>
            </w:pPr>
            <w:r>
              <w:rPr/>
              <w:t>50 to 75</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b/>
                <w:bCs/>
              </w:rPr>
            </w:pPr>
            <w:r>
              <w:rPr>
                <w:b/>
                <w:bCs/>
              </w:rPr>
              <w:t>Workers Compensation</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HCC Insurance Holdings</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t>Citigroup</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500</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b/>
                <w:bCs/>
              </w:rPr>
            </w:pPr>
            <w:r>
              <w:rPr>
                <w:b/>
                <w:bCs/>
              </w:rPr>
              <w:t>Health and Accident</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Aetna</w:t>
            </w:r>
          </w:p>
        </w:tc>
        <w:tc>
          <w:tcPr>
            <w:tcW w:w="1223"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10 to 15</w:t>
            </w:r>
          </w:p>
        </w:tc>
        <w:tc>
          <w:tcPr>
            <w:tcW w:w="1260"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10 to 15</w:t>
            </w:r>
          </w:p>
        </w:tc>
        <w:tc>
          <w:tcPr>
            <w:tcW w:w="1222"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10 to 15</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UnumProvident Corp.</w:t>
            </w:r>
          </w:p>
        </w:tc>
        <w:tc>
          <w:tcPr>
            <w:tcW w:w="1223"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 xml:space="preserve">20 </w:t>
            </w:r>
          </w:p>
        </w:tc>
        <w:tc>
          <w:tcPr>
            <w:tcW w:w="1260"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20</w:t>
            </w:r>
          </w:p>
        </w:tc>
        <w:tc>
          <w:tcPr>
            <w:tcW w:w="1222"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20</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b/>
                <w:bCs/>
              </w:rPr>
            </w:pPr>
            <w:r>
              <w:rPr>
                <w:b/>
                <w:bCs/>
              </w:rPr>
              <w:t xml:space="preserve">General Commercial (business interruption, </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b/>
                <w:bCs/>
              </w:rPr>
            </w:pPr>
            <w:r>
              <w:rPr>
                <w:b/>
                <w:bCs/>
              </w:rPr>
              <w:t>property damage, personal accident, workers comp)</w:t>
            </w:r>
          </w:p>
        </w:tc>
        <w:tc>
          <w:tcPr>
            <w:tcW w:w="1223" w:type="dxa"/>
            <w:tcBorders>
              <w:bottom w:val="single" w:sz="4" w:space="0" w:color="000000"/>
              <w:end w:val="single" w:sz="4" w:space="0" w:color="000000"/>
            </w:tcBorders>
            <w:vAlign w:val="bottom"/>
          </w:tcPr>
          <w:p>
            <w:pPr>
              <w:pStyle w:val="Normal"/>
              <w:snapToGrid w:val="false"/>
              <w:jc w:val="end"/>
              <w:rPr>
                <w:b/>
                <w:bCs/>
              </w:rPr>
            </w:pPr>
            <w:r>
              <w:rPr>
                <w:b/>
                <w:bCs/>
              </w:rPr>
            </w:r>
          </w:p>
        </w:tc>
        <w:tc>
          <w:tcPr>
            <w:tcW w:w="1260" w:type="dxa"/>
            <w:tcBorders>
              <w:bottom w:val="single" w:sz="4" w:space="0" w:color="000000"/>
              <w:end w:val="single" w:sz="4" w:space="0" w:color="000000"/>
            </w:tcBorders>
            <w:vAlign w:val="bottom"/>
          </w:tcPr>
          <w:p>
            <w:pPr>
              <w:pStyle w:val="Normal"/>
              <w:snapToGrid w:val="false"/>
              <w:jc w:val="end"/>
              <w:rPr/>
            </w:pPr>
            <w:r>
              <w:rPr/>
            </w:r>
          </w:p>
        </w:tc>
        <w:tc>
          <w:tcPr>
            <w:tcW w:w="1222" w:type="dxa"/>
            <w:tcBorders>
              <w:bottom w:val="single" w:sz="4" w:space="0" w:color="000000"/>
              <w:end w:val="single" w:sz="4" w:space="0" w:color="000000"/>
            </w:tcBorders>
            <w:vAlign w:val="bottom"/>
          </w:tcPr>
          <w:p>
            <w:pPr>
              <w:pStyle w:val="Normal"/>
              <w:snapToGrid w:val="false"/>
              <w:jc w:val="end"/>
              <w:rPr/>
            </w:pPr>
            <w:r>
              <w:rPr/>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Aegon NV</w:t>
            </w:r>
          </w:p>
        </w:tc>
        <w:tc>
          <w:tcPr>
            <w:tcW w:w="1223"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to 30 net</w:t>
            </w:r>
          </w:p>
        </w:tc>
        <w:tc>
          <w:tcPr>
            <w:tcW w:w="1260"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to 30 net</w:t>
            </w:r>
          </w:p>
        </w:tc>
        <w:tc>
          <w:tcPr>
            <w:tcW w:w="1222"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to 30 net</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American Financial Group</w:t>
            </w:r>
          </w:p>
        </w:tc>
        <w:tc>
          <w:tcPr>
            <w:tcW w:w="1223"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to 20</w:t>
            </w:r>
          </w:p>
        </w:tc>
        <w:tc>
          <w:tcPr>
            <w:tcW w:w="1260"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to 20</w:t>
            </w:r>
          </w:p>
        </w:tc>
        <w:tc>
          <w:tcPr>
            <w:tcW w:w="1222"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to 20</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Header"/>
              <w:tabs>
                <w:tab w:val="clear" w:pos="4320"/>
                <w:tab w:val="clear" w:pos="8640"/>
              </w:tabs>
              <w:rPr>
                <w:rFonts w:eastAsia="Arial Unicode MS"/>
              </w:rPr>
            </w:pPr>
            <w:r>
              <w:rPr>
                <w:rFonts w:eastAsia="Arial Unicode MS"/>
              </w:rPr>
              <w:t>American International Group (AIG)</w:t>
            </w:r>
          </w:p>
        </w:tc>
        <w:tc>
          <w:tcPr>
            <w:tcW w:w="1223"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500</w:t>
            </w:r>
          </w:p>
        </w:tc>
        <w:tc>
          <w:tcPr>
            <w:tcW w:w="1260"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500 to 800</w:t>
            </w:r>
          </w:p>
        </w:tc>
        <w:tc>
          <w:tcPr>
            <w:tcW w:w="1222"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500 to 800</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Citigroup</w:t>
            </w:r>
          </w:p>
        </w:tc>
        <w:tc>
          <w:tcPr>
            <w:tcW w:w="1223"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500</w:t>
            </w:r>
          </w:p>
        </w:tc>
        <w:tc>
          <w:tcPr>
            <w:tcW w:w="1260"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500</w:t>
            </w:r>
          </w:p>
        </w:tc>
        <w:tc>
          <w:tcPr>
            <w:tcW w:w="1222"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500</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Chubb</w:t>
            </w:r>
          </w:p>
        </w:tc>
        <w:tc>
          <w:tcPr>
            <w:tcW w:w="1223"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100 to 200</w:t>
            </w:r>
          </w:p>
        </w:tc>
        <w:tc>
          <w:tcPr>
            <w:tcW w:w="1260"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200 to 300</w:t>
            </w:r>
          </w:p>
        </w:tc>
        <w:tc>
          <w:tcPr>
            <w:tcW w:w="1222"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500 to 600</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CNA Financial Group</w:t>
            </w:r>
          </w:p>
        </w:tc>
        <w:tc>
          <w:tcPr>
            <w:tcW w:w="1223"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130 to 230 net</w:t>
            </w:r>
          </w:p>
        </w:tc>
        <w:tc>
          <w:tcPr>
            <w:tcW w:w="1260"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 xml:space="preserve">130 to 230 net </w:t>
            </w:r>
          </w:p>
        </w:tc>
        <w:tc>
          <w:tcPr>
            <w:tcW w:w="1222"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130 to 230 net</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Harleysville Group</w:t>
            </w:r>
          </w:p>
        </w:tc>
        <w:tc>
          <w:tcPr>
            <w:tcW w:w="1223"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3.6</w:t>
            </w:r>
          </w:p>
        </w:tc>
        <w:tc>
          <w:tcPr>
            <w:tcW w:w="1260"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3.6</w:t>
            </w:r>
          </w:p>
        </w:tc>
        <w:tc>
          <w:tcPr>
            <w:tcW w:w="1222"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3.6</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HCC Insurance Holdings</w:t>
            </w:r>
          </w:p>
        </w:tc>
        <w:tc>
          <w:tcPr>
            <w:tcW w:w="1223"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c>
          <w:tcPr>
            <w:tcW w:w="1260"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c>
          <w:tcPr>
            <w:tcW w:w="1222"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Liberty Mutual Group</w:t>
            </w:r>
          </w:p>
        </w:tc>
        <w:tc>
          <w:tcPr>
            <w:tcW w:w="1223"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200 to 300 net</w:t>
            </w:r>
          </w:p>
        </w:tc>
        <w:tc>
          <w:tcPr>
            <w:tcW w:w="1260"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200 to 300 net</w:t>
            </w:r>
          </w:p>
        </w:tc>
        <w:tc>
          <w:tcPr>
            <w:tcW w:w="1222"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200 to 300 net</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White Mountains Insurance Group</w:t>
            </w:r>
          </w:p>
        </w:tc>
        <w:tc>
          <w:tcPr>
            <w:tcW w:w="1223"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c>
          <w:tcPr>
            <w:tcW w:w="1260"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c>
          <w:tcPr>
            <w:tcW w:w="1222"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XL Capital Ltd.</w:t>
            </w:r>
          </w:p>
        </w:tc>
        <w:tc>
          <w:tcPr>
            <w:tcW w:w="1223"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600 to 700</w:t>
            </w:r>
          </w:p>
        </w:tc>
        <w:tc>
          <w:tcPr>
            <w:tcW w:w="1260"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600 to 700</w:t>
            </w:r>
          </w:p>
        </w:tc>
        <w:tc>
          <w:tcPr>
            <w:tcW w:w="1222"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600 to 700</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b/>
                <w:bCs/>
              </w:rPr>
            </w:pPr>
            <w:r>
              <w:rPr>
                <w:b/>
                <w:bCs/>
              </w:rPr>
              <w:t>Life Insurance</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Aetna</w:t>
            </w:r>
          </w:p>
        </w:tc>
        <w:tc>
          <w:tcPr>
            <w:tcW w:w="1223"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1 bn</w:t>
            </w:r>
          </w:p>
        </w:tc>
        <w:tc>
          <w:tcPr>
            <w:tcW w:w="1260"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1 bn</w:t>
            </w:r>
          </w:p>
        </w:tc>
        <w:tc>
          <w:tcPr>
            <w:tcW w:w="1222"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1 bn</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Aon</w:t>
            </w:r>
          </w:p>
        </w:tc>
        <w:tc>
          <w:tcPr>
            <w:tcW w:w="1223"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50 to 55</w:t>
            </w:r>
          </w:p>
        </w:tc>
        <w:tc>
          <w:tcPr>
            <w:tcW w:w="1260"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50 to 55</w:t>
            </w:r>
          </w:p>
        </w:tc>
        <w:tc>
          <w:tcPr>
            <w:tcW w:w="1222"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50 to 55</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AXA</w:t>
            </w:r>
          </w:p>
        </w:tc>
        <w:tc>
          <w:tcPr>
            <w:tcW w:w="1223"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300 to 400</w:t>
            </w:r>
          </w:p>
        </w:tc>
        <w:tc>
          <w:tcPr>
            <w:tcW w:w="1260"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550</w:t>
            </w:r>
          </w:p>
        </w:tc>
        <w:tc>
          <w:tcPr>
            <w:tcW w:w="1222"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550</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Citigroup</w:t>
            </w:r>
          </w:p>
        </w:tc>
        <w:tc>
          <w:tcPr>
            <w:tcW w:w="1223"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500</w:t>
            </w:r>
          </w:p>
        </w:tc>
        <w:tc>
          <w:tcPr>
            <w:tcW w:w="1260"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500</w:t>
            </w:r>
          </w:p>
        </w:tc>
        <w:tc>
          <w:tcPr>
            <w:tcW w:w="1222"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500</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Clarica Life</w:t>
            </w:r>
          </w:p>
        </w:tc>
        <w:tc>
          <w:tcPr>
            <w:tcW w:w="1223"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to 25</w:t>
            </w:r>
          </w:p>
        </w:tc>
        <w:tc>
          <w:tcPr>
            <w:tcW w:w="1260"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to 25</w:t>
            </w:r>
          </w:p>
        </w:tc>
        <w:tc>
          <w:tcPr>
            <w:tcW w:w="1222"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to 25</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Fortis</w:t>
            </w:r>
          </w:p>
        </w:tc>
        <w:tc>
          <w:tcPr>
            <w:tcW w:w="1223"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14</w:t>
            </w:r>
          </w:p>
        </w:tc>
        <w:tc>
          <w:tcPr>
            <w:tcW w:w="1260"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14</w:t>
            </w:r>
          </w:p>
        </w:tc>
        <w:tc>
          <w:tcPr>
            <w:tcW w:w="1222"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14</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GE Financial Assurance</w:t>
            </w:r>
          </w:p>
        </w:tc>
        <w:tc>
          <w:tcPr>
            <w:tcW w:w="1223"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c>
          <w:tcPr>
            <w:tcW w:w="1260"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c>
          <w:tcPr>
            <w:tcW w:w="1222"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Hartford Life</w:t>
            </w:r>
          </w:p>
        </w:tc>
        <w:tc>
          <w:tcPr>
            <w:tcW w:w="1223"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30 net</w:t>
            </w:r>
          </w:p>
        </w:tc>
        <w:tc>
          <w:tcPr>
            <w:tcW w:w="1260"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30 net</w:t>
            </w:r>
          </w:p>
        </w:tc>
        <w:tc>
          <w:tcPr>
            <w:tcW w:w="1222"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30 net</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ING Group</w:t>
            </w:r>
          </w:p>
        </w:tc>
        <w:tc>
          <w:tcPr>
            <w:tcW w:w="1223"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46</w:t>
            </w:r>
          </w:p>
        </w:tc>
        <w:tc>
          <w:tcPr>
            <w:tcW w:w="1260"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46</w:t>
            </w:r>
          </w:p>
        </w:tc>
        <w:tc>
          <w:tcPr>
            <w:tcW w:w="1222"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46</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Lincoln National Corp.</w:t>
            </w:r>
          </w:p>
        </w:tc>
        <w:tc>
          <w:tcPr>
            <w:tcW w:w="1223"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c>
          <w:tcPr>
            <w:tcW w:w="1260"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c>
          <w:tcPr>
            <w:tcW w:w="1222"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Manulife Financial Corp.</w:t>
            </w:r>
          </w:p>
        </w:tc>
        <w:tc>
          <w:tcPr>
            <w:tcW w:w="1223"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to 100</w:t>
            </w:r>
          </w:p>
        </w:tc>
        <w:tc>
          <w:tcPr>
            <w:tcW w:w="1260"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to 100</w:t>
            </w:r>
          </w:p>
        </w:tc>
        <w:tc>
          <w:tcPr>
            <w:tcW w:w="1222"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to 100</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MassMutual</w:t>
            </w:r>
          </w:p>
        </w:tc>
        <w:tc>
          <w:tcPr>
            <w:tcW w:w="1223"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c>
          <w:tcPr>
            <w:tcW w:w="1260"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c>
          <w:tcPr>
            <w:tcW w:w="1222"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MetLife</w:t>
            </w:r>
          </w:p>
        </w:tc>
        <w:tc>
          <w:tcPr>
            <w:tcW w:w="1223"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250 to 300</w:t>
            </w:r>
          </w:p>
        </w:tc>
        <w:tc>
          <w:tcPr>
            <w:tcW w:w="1260"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250 to 300</w:t>
            </w:r>
          </w:p>
        </w:tc>
        <w:tc>
          <w:tcPr>
            <w:tcW w:w="1222"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250 to 300</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New York Life</w:t>
            </w:r>
          </w:p>
        </w:tc>
        <w:tc>
          <w:tcPr>
            <w:tcW w:w="1223"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50 to 75</w:t>
            </w:r>
          </w:p>
        </w:tc>
        <w:tc>
          <w:tcPr>
            <w:tcW w:w="1260"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50 to 75</w:t>
            </w:r>
          </w:p>
        </w:tc>
        <w:tc>
          <w:tcPr>
            <w:tcW w:w="1222"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50 to 75</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Northwestern Mutual</w:t>
            </w:r>
          </w:p>
        </w:tc>
        <w:tc>
          <w:tcPr>
            <w:tcW w:w="1223"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c>
          <w:tcPr>
            <w:tcW w:w="1260"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c>
          <w:tcPr>
            <w:tcW w:w="1222"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Prudential Financial</w:t>
            </w:r>
          </w:p>
        </w:tc>
        <w:tc>
          <w:tcPr>
            <w:tcW w:w="1223"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c>
          <w:tcPr>
            <w:tcW w:w="1260"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c>
          <w:tcPr>
            <w:tcW w:w="1222"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b/>
                <w:bCs/>
              </w:rPr>
            </w:pPr>
            <w:r>
              <w:rPr>
                <w:b/>
                <w:bCs/>
              </w:rPr>
              <w:t>Aviation</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Aeon</w:t>
            </w:r>
          </w:p>
        </w:tc>
        <w:tc>
          <w:tcPr>
            <w:tcW w:w="1223"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c>
          <w:tcPr>
            <w:tcW w:w="1260"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c>
          <w:tcPr>
            <w:tcW w:w="1222"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Arab Insurance Group</w:t>
            </w:r>
          </w:p>
        </w:tc>
        <w:tc>
          <w:tcPr>
            <w:tcW w:w="1223"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c>
          <w:tcPr>
            <w:tcW w:w="1260"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c>
          <w:tcPr>
            <w:tcW w:w="1222"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CGNU Plc</w:t>
            </w:r>
          </w:p>
        </w:tc>
        <w:tc>
          <w:tcPr>
            <w:tcW w:w="1223"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to 51</w:t>
            </w:r>
          </w:p>
        </w:tc>
        <w:tc>
          <w:tcPr>
            <w:tcW w:w="1260"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to 51</w:t>
            </w:r>
          </w:p>
        </w:tc>
        <w:tc>
          <w:tcPr>
            <w:tcW w:w="1222"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to 51</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Chartwell Managing Agent (owned by TGL)</w:t>
            </w:r>
          </w:p>
        </w:tc>
        <w:tc>
          <w:tcPr>
            <w:tcW w:w="1223"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350 to 400</w:t>
            </w:r>
          </w:p>
        </w:tc>
        <w:tc>
          <w:tcPr>
            <w:tcW w:w="1260"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350 to 400</w:t>
            </w:r>
          </w:p>
        </w:tc>
        <w:tc>
          <w:tcPr>
            <w:tcW w:w="1222"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350 to 400</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NYMAGIC, Inc.</w:t>
            </w:r>
          </w:p>
        </w:tc>
        <w:tc>
          <w:tcPr>
            <w:tcW w:w="1223"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9</w:t>
            </w:r>
          </w:p>
        </w:tc>
        <w:tc>
          <w:tcPr>
            <w:tcW w:w="1260"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9</w:t>
            </w:r>
          </w:p>
        </w:tc>
        <w:tc>
          <w:tcPr>
            <w:tcW w:w="1222"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9</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b/>
                <w:bCs/>
              </w:rPr>
            </w:pPr>
            <w:r>
              <w:rPr>
                <w:b/>
                <w:bCs/>
              </w:rPr>
              <w:t>Not Classified</w:t>
            </w:r>
          </w:p>
        </w:tc>
        <w:tc>
          <w:tcPr>
            <w:tcW w:w="1223" w:type="dxa"/>
            <w:tcBorders>
              <w:bottom w:val="single" w:sz="4" w:space="0" w:color="000000"/>
              <w:end w:val="single" w:sz="4" w:space="0" w:color="000000"/>
            </w:tcBorders>
            <w:vAlign w:val="bottom"/>
          </w:tcPr>
          <w:p>
            <w:pPr>
              <w:pStyle w:val="Normal"/>
              <w:jc w:val="end"/>
              <w:rPr>
                <w:rFonts w:eastAsia="Arial Unicode MS"/>
              </w:rPr>
            </w:pPr>
            <w:r>
              <w:rPr/>
              <w:t> </w:t>
            </w:r>
          </w:p>
        </w:tc>
        <w:tc>
          <w:tcPr>
            <w:tcW w:w="1260" w:type="dxa"/>
            <w:tcBorders>
              <w:bottom w:val="single" w:sz="4" w:space="0" w:color="000000"/>
              <w:end w:val="single" w:sz="4" w:space="0" w:color="000000"/>
            </w:tcBorders>
            <w:vAlign w:val="bottom"/>
          </w:tcPr>
          <w:p>
            <w:pPr>
              <w:pStyle w:val="Normal"/>
              <w:jc w:val="end"/>
              <w:rPr>
                <w:rFonts w:eastAsia="Arial Unicode MS"/>
              </w:rPr>
            </w:pPr>
            <w:r>
              <w:rPr/>
              <w:t> </w:t>
            </w:r>
          </w:p>
        </w:tc>
        <w:tc>
          <w:tcPr>
            <w:tcW w:w="1222" w:type="dxa"/>
            <w:tcBorders>
              <w:bottom w:val="single" w:sz="4" w:space="0" w:color="000000"/>
              <w:end w:val="single" w:sz="4" w:space="0" w:color="000000"/>
            </w:tcBorders>
            <w:vAlign w:val="bottom"/>
          </w:tcPr>
          <w:p>
            <w:pPr>
              <w:pStyle w:val="Normal"/>
              <w:jc w:val="end"/>
              <w:rPr>
                <w:rFonts w:eastAsia="Arial Unicode MS"/>
              </w:rPr>
            </w:pPr>
            <w:r>
              <w:rPr/>
              <w:t> </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Allianz AG</w:t>
            </w:r>
          </w:p>
        </w:tc>
        <w:tc>
          <w:tcPr>
            <w:tcW w:w="1223"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 xml:space="preserve">634 net </w:t>
            </w:r>
          </w:p>
        </w:tc>
        <w:tc>
          <w:tcPr>
            <w:tcW w:w="1260"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927</w:t>
            </w:r>
          </w:p>
        </w:tc>
        <w:tc>
          <w:tcPr>
            <w:tcW w:w="1222"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927</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Ace Global Markets</w:t>
            </w:r>
          </w:p>
        </w:tc>
        <w:tc>
          <w:tcPr>
            <w:tcW w:w="1223"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c>
          <w:tcPr>
            <w:tcW w:w="1260"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c>
          <w:tcPr>
            <w:tcW w:w="1222"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American Internatinal Group (AIG)</w:t>
            </w:r>
          </w:p>
        </w:tc>
        <w:tc>
          <w:tcPr>
            <w:tcW w:w="1223"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500</w:t>
            </w:r>
          </w:p>
        </w:tc>
        <w:tc>
          <w:tcPr>
            <w:tcW w:w="1260"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500</w:t>
            </w:r>
          </w:p>
        </w:tc>
        <w:tc>
          <w:tcPr>
            <w:tcW w:w="1222"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500</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Cantor Fitzgerald</w:t>
            </w:r>
          </w:p>
        </w:tc>
        <w:tc>
          <w:tcPr>
            <w:tcW w:w="1223"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c>
          <w:tcPr>
            <w:tcW w:w="1260"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c>
          <w:tcPr>
            <w:tcW w:w="1222"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Commercial Risk</w:t>
            </w:r>
          </w:p>
        </w:tc>
        <w:tc>
          <w:tcPr>
            <w:tcW w:w="1223"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c>
          <w:tcPr>
            <w:tcW w:w="1260"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c>
          <w:tcPr>
            <w:tcW w:w="1222" w:type="dxa"/>
            <w:tcBorders>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Farifax Financial</w:t>
            </w:r>
          </w:p>
        </w:tc>
        <w:tc>
          <w:tcPr>
            <w:tcW w:w="1223"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65 to 80 net</w:t>
            </w:r>
          </w:p>
        </w:tc>
        <w:tc>
          <w:tcPr>
            <w:tcW w:w="1260"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65 to 80 net</w:t>
            </w:r>
          </w:p>
        </w:tc>
        <w:tc>
          <w:tcPr>
            <w:tcW w:w="1222"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65 to 80 net</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Generali</w:t>
            </w:r>
          </w:p>
        </w:tc>
        <w:tc>
          <w:tcPr>
            <w:tcW w:w="1223"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5 to 10</w:t>
            </w:r>
          </w:p>
        </w:tc>
        <w:tc>
          <w:tcPr>
            <w:tcW w:w="1260"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5 to 10</w:t>
            </w:r>
          </w:p>
        </w:tc>
        <w:tc>
          <w:tcPr>
            <w:tcW w:w="1222"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5 to 10</w:t>
            </w:r>
          </w:p>
        </w:tc>
      </w:tr>
      <w:tr>
        <w:trPr>
          <w:trHeight w:val="255" w:hRule="atLeast"/>
        </w:trPr>
        <w:tc>
          <w:tcPr>
            <w:tcW w:w="4860" w:type="dxa"/>
            <w:tcBorders>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Gerling</w:t>
            </w:r>
          </w:p>
        </w:tc>
        <w:tc>
          <w:tcPr>
            <w:tcW w:w="1223"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150 to 200</w:t>
            </w:r>
          </w:p>
        </w:tc>
        <w:tc>
          <w:tcPr>
            <w:tcW w:w="1260"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150 to 200</w:t>
            </w:r>
          </w:p>
        </w:tc>
        <w:tc>
          <w:tcPr>
            <w:tcW w:w="1222" w:type="dxa"/>
            <w:tcBorders>
              <w:bottom w:val="single" w:sz="4" w:space="0" w:color="000000"/>
              <w:end w:val="single" w:sz="4" w:space="0" w:color="000000"/>
            </w:tcBorders>
            <w:vAlign w:val="bottom"/>
          </w:tcPr>
          <w:p>
            <w:pPr>
              <w:pStyle w:val="Normal"/>
              <w:jc w:val="end"/>
              <w:rPr>
                <w:rFonts w:eastAsia="Arial Unicode MS"/>
              </w:rPr>
            </w:pPr>
            <w:r>
              <w:rPr>
                <w:rFonts w:eastAsia="Arial Unicode MS"/>
              </w:rPr>
              <w:t>150 to 200</w:t>
            </w:r>
          </w:p>
        </w:tc>
      </w:tr>
      <w:tr>
        <w:trPr>
          <w:trHeight w:val="255" w:hRule="atLeast"/>
        </w:trPr>
        <w:tc>
          <w:tcPr>
            <w:tcW w:w="486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Independence Holding Company</w:t>
            </w:r>
          </w:p>
        </w:tc>
        <w:tc>
          <w:tcPr>
            <w:tcW w:w="1223" w:type="dxa"/>
            <w:tcBorders>
              <w:top w:val="single" w:sz="4" w:space="0" w:color="000000"/>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c>
          <w:tcPr>
            <w:tcW w:w="1260" w:type="dxa"/>
            <w:tcBorders>
              <w:top w:val="single" w:sz="4" w:space="0" w:color="000000"/>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c>
          <w:tcPr>
            <w:tcW w:w="1222" w:type="dxa"/>
            <w:tcBorders>
              <w:top w:val="single" w:sz="4" w:space="0" w:color="000000"/>
              <w:bottom w:val="single" w:sz="4" w:space="0" w:color="000000"/>
              <w:end w:val="single" w:sz="4" w:space="0" w:color="000000"/>
            </w:tcBorders>
            <w:vAlign w:val="bottom"/>
          </w:tcPr>
          <w:p>
            <w:pPr>
              <w:pStyle w:val="Normal"/>
              <w:snapToGrid w:val="false"/>
              <w:jc w:val="end"/>
              <w:rPr>
                <w:rFonts w:eastAsia="Arial Unicode MS"/>
              </w:rPr>
            </w:pPr>
            <w:r>
              <w:rPr>
                <w:rFonts w:eastAsia="Arial Unicode MS"/>
              </w:rPr>
            </w:r>
          </w:p>
        </w:tc>
      </w:tr>
      <w:tr>
        <w:trPr>
          <w:trHeight w:val="255" w:hRule="atLeast"/>
        </w:trPr>
        <w:tc>
          <w:tcPr>
            <w:tcW w:w="486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Kemper Insurance Cos.</w:t>
            </w:r>
          </w:p>
        </w:tc>
        <w:tc>
          <w:tcPr>
            <w:tcW w:w="1223" w:type="dxa"/>
            <w:tcBorders>
              <w:top w:val="single" w:sz="4" w:space="0" w:color="000000"/>
              <w:bottom w:val="single" w:sz="4" w:space="0" w:color="000000"/>
              <w:end w:val="single" w:sz="4" w:space="0" w:color="000000"/>
            </w:tcBorders>
            <w:vAlign w:val="bottom"/>
          </w:tcPr>
          <w:p>
            <w:pPr>
              <w:pStyle w:val="Normal"/>
              <w:jc w:val="end"/>
              <w:rPr>
                <w:rFonts w:eastAsia="Arial Unicode MS"/>
              </w:rPr>
            </w:pPr>
            <w:r>
              <w:rPr>
                <w:rFonts w:eastAsia="Arial Unicode MS"/>
              </w:rPr>
              <w:t>60 to 80 net</w:t>
            </w:r>
          </w:p>
        </w:tc>
        <w:tc>
          <w:tcPr>
            <w:tcW w:w="1260" w:type="dxa"/>
            <w:tcBorders>
              <w:top w:val="single" w:sz="4" w:space="0" w:color="000000"/>
              <w:bottom w:val="single" w:sz="4" w:space="0" w:color="000000"/>
              <w:end w:val="single" w:sz="4" w:space="0" w:color="000000"/>
            </w:tcBorders>
            <w:vAlign w:val="bottom"/>
          </w:tcPr>
          <w:p>
            <w:pPr>
              <w:pStyle w:val="Normal"/>
              <w:jc w:val="end"/>
              <w:rPr>
                <w:rFonts w:eastAsia="Arial Unicode MS"/>
              </w:rPr>
            </w:pPr>
            <w:r>
              <w:rPr>
                <w:rFonts w:eastAsia="Arial Unicode MS"/>
              </w:rPr>
              <w:t>60 to 80 net</w:t>
            </w:r>
          </w:p>
        </w:tc>
        <w:tc>
          <w:tcPr>
            <w:tcW w:w="1222" w:type="dxa"/>
            <w:tcBorders>
              <w:top w:val="single" w:sz="4" w:space="0" w:color="000000"/>
              <w:bottom w:val="single" w:sz="4" w:space="0" w:color="000000"/>
              <w:end w:val="single" w:sz="4" w:space="0" w:color="000000"/>
            </w:tcBorders>
            <w:vAlign w:val="bottom"/>
          </w:tcPr>
          <w:p>
            <w:pPr>
              <w:pStyle w:val="Normal"/>
              <w:jc w:val="end"/>
              <w:rPr>
                <w:rFonts w:eastAsia="Arial Unicode MS"/>
              </w:rPr>
            </w:pPr>
            <w:r>
              <w:rPr>
                <w:rFonts w:eastAsia="Arial Unicode MS"/>
              </w:rPr>
              <w:t>60 to 80 net</w:t>
            </w:r>
          </w:p>
        </w:tc>
      </w:tr>
      <w:tr>
        <w:trPr>
          <w:trHeight w:val="255" w:hRule="atLeast"/>
        </w:trPr>
        <w:tc>
          <w:tcPr>
            <w:tcW w:w="486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Markel</w:t>
            </w:r>
          </w:p>
        </w:tc>
        <w:tc>
          <w:tcPr>
            <w:tcW w:w="1223" w:type="dxa"/>
            <w:tcBorders>
              <w:top w:val="single" w:sz="4" w:space="0" w:color="000000"/>
              <w:bottom w:val="single" w:sz="4" w:space="0" w:color="000000"/>
              <w:end w:val="single" w:sz="4" w:space="0" w:color="000000"/>
            </w:tcBorders>
            <w:vAlign w:val="bottom"/>
          </w:tcPr>
          <w:p>
            <w:pPr>
              <w:pStyle w:val="Normal"/>
              <w:jc w:val="end"/>
              <w:rPr>
                <w:rFonts w:eastAsia="Arial Unicode MS"/>
              </w:rPr>
            </w:pPr>
            <w:r>
              <w:rPr>
                <w:rFonts w:eastAsia="Arial Unicode MS"/>
              </w:rPr>
              <w:t>To 75</w:t>
            </w:r>
          </w:p>
        </w:tc>
        <w:tc>
          <w:tcPr>
            <w:tcW w:w="1260" w:type="dxa"/>
            <w:tcBorders>
              <w:top w:val="single" w:sz="4" w:space="0" w:color="000000"/>
              <w:bottom w:val="single" w:sz="4" w:space="0" w:color="000000"/>
              <w:end w:val="single" w:sz="4" w:space="0" w:color="000000"/>
            </w:tcBorders>
            <w:vAlign w:val="bottom"/>
          </w:tcPr>
          <w:p>
            <w:pPr>
              <w:pStyle w:val="Normal"/>
              <w:jc w:val="end"/>
              <w:rPr>
                <w:rFonts w:eastAsia="Arial Unicode MS"/>
              </w:rPr>
            </w:pPr>
            <w:r>
              <w:rPr>
                <w:rFonts w:eastAsia="Arial Unicode MS"/>
              </w:rPr>
              <w:t>To 75</w:t>
            </w:r>
          </w:p>
        </w:tc>
        <w:tc>
          <w:tcPr>
            <w:tcW w:w="1222" w:type="dxa"/>
            <w:tcBorders>
              <w:top w:val="single" w:sz="4" w:space="0" w:color="000000"/>
              <w:bottom w:val="single" w:sz="4" w:space="0" w:color="000000"/>
              <w:end w:val="single" w:sz="4" w:space="0" w:color="000000"/>
            </w:tcBorders>
            <w:vAlign w:val="bottom"/>
          </w:tcPr>
          <w:p>
            <w:pPr>
              <w:pStyle w:val="Normal"/>
              <w:jc w:val="end"/>
              <w:rPr>
                <w:rFonts w:eastAsia="Arial Unicode MS"/>
              </w:rPr>
            </w:pPr>
            <w:r>
              <w:rPr>
                <w:rFonts w:eastAsia="Arial Unicode MS"/>
              </w:rPr>
              <w:t>To 75</w:t>
            </w:r>
          </w:p>
        </w:tc>
      </w:tr>
      <w:tr>
        <w:trPr>
          <w:trHeight w:val="255" w:hRule="atLeast"/>
        </w:trPr>
        <w:tc>
          <w:tcPr>
            <w:tcW w:w="486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PMA Capital Corp.</w:t>
            </w:r>
          </w:p>
        </w:tc>
        <w:tc>
          <w:tcPr>
            <w:tcW w:w="1223" w:type="dxa"/>
            <w:tcBorders>
              <w:top w:val="single" w:sz="4" w:space="0" w:color="000000"/>
              <w:bottom w:val="single" w:sz="4" w:space="0" w:color="000000"/>
              <w:end w:val="single" w:sz="4" w:space="0" w:color="000000"/>
            </w:tcBorders>
            <w:vAlign w:val="bottom"/>
          </w:tcPr>
          <w:p>
            <w:pPr>
              <w:pStyle w:val="Normal"/>
              <w:jc w:val="end"/>
              <w:rPr>
                <w:rFonts w:eastAsia="Arial Unicode MS"/>
              </w:rPr>
            </w:pPr>
            <w:r>
              <w:rPr>
                <w:rFonts w:eastAsia="Arial Unicode MS"/>
              </w:rPr>
              <w:t>30</w:t>
            </w:r>
          </w:p>
        </w:tc>
        <w:tc>
          <w:tcPr>
            <w:tcW w:w="1260" w:type="dxa"/>
            <w:tcBorders>
              <w:top w:val="single" w:sz="4" w:space="0" w:color="000000"/>
              <w:bottom w:val="single" w:sz="4" w:space="0" w:color="000000"/>
              <w:end w:val="single" w:sz="4" w:space="0" w:color="000000"/>
            </w:tcBorders>
            <w:vAlign w:val="bottom"/>
          </w:tcPr>
          <w:p>
            <w:pPr>
              <w:pStyle w:val="Normal"/>
              <w:jc w:val="end"/>
              <w:rPr>
                <w:rFonts w:eastAsia="Arial Unicode MS"/>
              </w:rPr>
            </w:pPr>
            <w:r>
              <w:rPr>
                <w:rFonts w:eastAsia="Arial Unicode MS"/>
              </w:rPr>
              <w:t>30</w:t>
            </w:r>
          </w:p>
        </w:tc>
        <w:tc>
          <w:tcPr>
            <w:tcW w:w="1222" w:type="dxa"/>
            <w:tcBorders>
              <w:top w:val="single" w:sz="4" w:space="0" w:color="000000"/>
              <w:bottom w:val="single" w:sz="4" w:space="0" w:color="000000"/>
              <w:end w:val="single" w:sz="4" w:space="0" w:color="000000"/>
            </w:tcBorders>
            <w:vAlign w:val="bottom"/>
          </w:tcPr>
          <w:p>
            <w:pPr>
              <w:pStyle w:val="Normal"/>
              <w:jc w:val="end"/>
              <w:rPr>
                <w:rFonts w:eastAsia="Arial Unicode MS"/>
              </w:rPr>
            </w:pPr>
            <w:r>
              <w:rPr>
                <w:rFonts w:eastAsia="Arial Unicode MS"/>
              </w:rPr>
              <w:t>30</w:t>
            </w:r>
          </w:p>
        </w:tc>
      </w:tr>
      <w:tr>
        <w:trPr>
          <w:trHeight w:val="255" w:hRule="atLeast"/>
        </w:trPr>
        <w:tc>
          <w:tcPr>
            <w:tcW w:w="486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Royal &amp; Sun Alliance Plc</w:t>
            </w:r>
          </w:p>
        </w:tc>
        <w:tc>
          <w:tcPr>
            <w:tcW w:w="1223" w:type="dxa"/>
            <w:tcBorders>
              <w:top w:val="single" w:sz="4" w:space="0" w:color="000000"/>
              <w:bottom w:val="single" w:sz="4" w:space="0" w:color="000000"/>
              <w:end w:val="single" w:sz="4" w:space="0" w:color="000000"/>
            </w:tcBorders>
            <w:vAlign w:val="bottom"/>
          </w:tcPr>
          <w:p>
            <w:pPr>
              <w:pStyle w:val="Normal"/>
              <w:jc w:val="end"/>
              <w:rPr>
                <w:rFonts w:eastAsia="Arial Unicode MS"/>
              </w:rPr>
            </w:pPr>
            <w:r>
              <w:rPr>
                <w:rFonts w:eastAsia="Arial Unicode MS"/>
              </w:rPr>
              <w:t>221</w:t>
            </w:r>
          </w:p>
        </w:tc>
        <w:tc>
          <w:tcPr>
            <w:tcW w:w="1260" w:type="dxa"/>
            <w:tcBorders>
              <w:top w:val="single" w:sz="4" w:space="0" w:color="000000"/>
              <w:bottom w:val="single" w:sz="4" w:space="0" w:color="000000"/>
              <w:end w:val="single" w:sz="4" w:space="0" w:color="000000"/>
            </w:tcBorders>
            <w:vAlign w:val="bottom"/>
          </w:tcPr>
          <w:p>
            <w:pPr>
              <w:pStyle w:val="Normal"/>
              <w:jc w:val="end"/>
              <w:rPr>
                <w:rFonts w:eastAsia="Arial Unicode MS"/>
              </w:rPr>
            </w:pPr>
            <w:r>
              <w:rPr>
                <w:rFonts w:eastAsia="Arial Unicode MS"/>
              </w:rPr>
              <w:t>221</w:t>
            </w:r>
          </w:p>
        </w:tc>
        <w:tc>
          <w:tcPr>
            <w:tcW w:w="1222" w:type="dxa"/>
            <w:tcBorders>
              <w:top w:val="single" w:sz="4" w:space="0" w:color="000000"/>
              <w:bottom w:val="single" w:sz="4" w:space="0" w:color="000000"/>
              <w:end w:val="single" w:sz="4" w:space="0" w:color="000000"/>
            </w:tcBorders>
            <w:vAlign w:val="bottom"/>
          </w:tcPr>
          <w:p>
            <w:pPr>
              <w:pStyle w:val="Normal"/>
              <w:jc w:val="end"/>
              <w:rPr>
                <w:rFonts w:eastAsia="Arial Unicode MS"/>
              </w:rPr>
            </w:pPr>
            <w:r>
              <w:rPr>
                <w:rFonts w:eastAsia="Arial Unicode MS"/>
              </w:rPr>
              <w:t>221</w:t>
            </w:r>
          </w:p>
        </w:tc>
      </w:tr>
      <w:tr>
        <w:trPr>
          <w:trHeight w:val="255" w:hRule="atLeast"/>
        </w:trPr>
        <w:tc>
          <w:tcPr>
            <w:tcW w:w="486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Safeco</w:t>
            </w:r>
          </w:p>
        </w:tc>
        <w:tc>
          <w:tcPr>
            <w:tcW w:w="1223" w:type="dxa"/>
            <w:tcBorders>
              <w:top w:val="single" w:sz="4" w:space="0" w:color="000000"/>
              <w:bottom w:val="single" w:sz="4" w:space="0" w:color="000000"/>
              <w:end w:val="single" w:sz="4" w:space="0" w:color="000000"/>
            </w:tcBorders>
            <w:vAlign w:val="bottom"/>
          </w:tcPr>
          <w:p>
            <w:pPr>
              <w:pStyle w:val="Normal"/>
              <w:jc w:val="end"/>
              <w:rPr>
                <w:rFonts w:eastAsia="Arial Unicode MS"/>
              </w:rPr>
            </w:pPr>
            <w:r>
              <w:rPr>
                <w:rFonts w:eastAsia="Arial Unicode MS"/>
              </w:rPr>
              <w:t>25</w:t>
            </w:r>
          </w:p>
        </w:tc>
        <w:tc>
          <w:tcPr>
            <w:tcW w:w="1260" w:type="dxa"/>
            <w:tcBorders>
              <w:top w:val="single" w:sz="4" w:space="0" w:color="000000"/>
              <w:bottom w:val="single" w:sz="4" w:space="0" w:color="000000"/>
              <w:end w:val="single" w:sz="4" w:space="0" w:color="000000"/>
            </w:tcBorders>
            <w:vAlign w:val="bottom"/>
          </w:tcPr>
          <w:p>
            <w:pPr>
              <w:pStyle w:val="Normal"/>
              <w:jc w:val="end"/>
              <w:rPr>
                <w:rFonts w:eastAsia="Arial Unicode MS"/>
              </w:rPr>
            </w:pPr>
            <w:r>
              <w:rPr>
                <w:rFonts w:eastAsia="Arial Unicode MS"/>
              </w:rPr>
              <w:t>25</w:t>
            </w:r>
          </w:p>
        </w:tc>
        <w:tc>
          <w:tcPr>
            <w:tcW w:w="1222" w:type="dxa"/>
            <w:tcBorders>
              <w:top w:val="single" w:sz="4" w:space="0" w:color="000000"/>
              <w:bottom w:val="single" w:sz="4" w:space="0" w:color="000000"/>
              <w:end w:val="single" w:sz="4" w:space="0" w:color="000000"/>
            </w:tcBorders>
            <w:vAlign w:val="bottom"/>
          </w:tcPr>
          <w:p>
            <w:pPr>
              <w:pStyle w:val="Normal"/>
              <w:jc w:val="end"/>
              <w:rPr>
                <w:rFonts w:eastAsia="Arial Unicode MS"/>
              </w:rPr>
            </w:pPr>
            <w:r>
              <w:rPr>
                <w:rFonts w:eastAsia="Arial Unicode MS"/>
              </w:rPr>
              <w:t>25</w:t>
            </w:r>
          </w:p>
        </w:tc>
      </w:tr>
      <w:tr>
        <w:trPr>
          <w:trHeight w:val="255" w:hRule="atLeast"/>
        </w:trPr>
        <w:tc>
          <w:tcPr>
            <w:tcW w:w="486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rPr>
            </w:pPr>
            <w:r>
              <w:rPr>
                <w:rFonts w:eastAsia="Arial Unicode MS"/>
              </w:rPr>
              <w:t>Zurich Financial</w:t>
            </w:r>
          </w:p>
        </w:tc>
        <w:tc>
          <w:tcPr>
            <w:tcW w:w="1223" w:type="dxa"/>
            <w:tcBorders>
              <w:top w:val="single" w:sz="4" w:space="0" w:color="000000"/>
              <w:bottom w:val="single" w:sz="4" w:space="0" w:color="000000"/>
              <w:end w:val="single" w:sz="4" w:space="0" w:color="000000"/>
            </w:tcBorders>
            <w:vAlign w:val="bottom"/>
          </w:tcPr>
          <w:p>
            <w:pPr>
              <w:pStyle w:val="Normal"/>
              <w:jc w:val="end"/>
              <w:rPr>
                <w:rFonts w:eastAsia="Arial Unicode MS"/>
              </w:rPr>
            </w:pPr>
            <w:r>
              <w:rPr>
                <w:rFonts w:eastAsia="Arial Unicode MS"/>
              </w:rPr>
              <w:t>under 400</w:t>
            </w:r>
          </w:p>
        </w:tc>
        <w:tc>
          <w:tcPr>
            <w:tcW w:w="1260" w:type="dxa"/>
            <w:tcBorders>
              <w:top w:val="single" w:sz="4" w:space="0" w:color="000000"/>
              <w:bottom w:val="single" w:sz="4" w:space="0" w:color="000000"/>
              <w:end w:val="single" w:sz="4" w:space="0" w:color="000000"/>
            </w:tcBorders>
            <w:vAlign w:val="bottom"/>
          </w:tcPr>
          <w:p>
            <w:pPr>
              <w:pStyle w:val="Normal"/>
              <w:jc w:val="end"/>
              <w:rPr>
                <w:rFonts w:eastAsia="Arial Unicode MS"/>
              </w:rPr>
            </w:pPr>
            <w:r>
              <w:rPr>
                <w:rFonts w:eastAsia="Arial Unicode MS"/>
              </w:rPr>
              <w:t>under 400</w:t>
            </w:r>
          </w:p>
        </w:tc>
        <w:tc>
          <w:tcPr>
            <w:tcW w:w="1222" w:type="dxa"/>
            <w:tcBorders>
              <w:top w:val="single" w:sz="4" w:space="0" w:color="000000"/>
              <w:bottom w:val="single" w:sz="4" w:space="0" w:color="000000"/>
              <w:end w:val="single" w:sz="4" w:space="0" w:color="000000"/>
            </w:tcBorders>
            <w:vAlign w:val="bottom"/>
          </w:tcPr>
          <w:p>
            <w:pPr>
              <w:pStyle w:val="Normal"/>
              <w:jc w:val="end"/>
              <w:rPr>
                <w:rFonts w:eastAsia="Arial Unicode MS"/>
              </w:rPr>
            </w:pPr>
            <w:r>
              <w:rPr>
                <w:rFonts w:eastAsia="Arial Unicode MS"/>
              </w:rPr>
              <w:t>under 400</w:t>
            </w:r>
          </w:p>
        </w:tc>
      </w:tr>
    </w:tbl>
    <w:p>
      <w:pPr>
        <w:pStyle w:val="Normal"/>
        <w:rPr/>
      </w:pPr>
      <w:r>
        <w:rPr/>
      </w:r>
    </w:p>
    <w:p>
      <w:pPr>
        <w:pStyle w:val="Normal"/>
        <w:rPr/>
      </w:pPr>
      <w:r>
        <w:rPr/>
      </w:r>
    </w:p>
    <w:p>
      <w:pPr>
        <w:pStyle w:val="Normal"/>
        <w:rPr/>
      </w:pPr>
      <w:r>
        <w:rPr/>
      </w:r>
    </w:p>
    <w:p>
      <w:pPr>
        <w:pStyle w:val="CRNormal"/>
        <w:jc w:val="center"/>
        <w:rPr>
          <w:b/>
          <w:color w:val="000080"/>
          <w:sz w:val="24"/>
        </w:rPr>
      </w:pPr>
      <w:r>
        <w:rPr>
          <w:b/>
          <w:color w:val="000080"/>
          <w:sz w:val="24"/>
        </w:rPr>
        <w:t>Table 2: Estimated loss by company</w:t>
      </w:r>
    </w:p>
    <w:p>
      <w:pPr>
        <w:pStyle w:val="CRNormal"/>
        <w:jc w:val="center"/>
        <w:rPr>
          <w:b/>
          <w:color w:val="000080"/>
          <w:sz w:val="24"/>
          <w:u w:val="single"/>
        </w:rPr>
      </w:pPr>
      <w:r>
        <w:rPr>
          <w:b/>
          <w:color w:val="000080"/>
          <w:sz w:val="24"/>
          <w:u w:val="single"/>
        </w:rPr>
      </w:r>
    </w:p>
    <w:tbl>
      <w:tblPr>
        <w:tblW w:w="8640" w:type="dxa"/>
        <w:jc w:val="start"/>
        <w:tblInd w:w="468" w:type="dxa"/>
        <w:tblLayout w:type="fixed"/>
        <w:tblCellMar>
          <w:top w:w="0" w:type="dxa"/>
          <w:start w:w="108" w:type="dxa"/>
          <w:bottom w:w="0" w:type="dxa"/>
          <w:end w:w="108" w:type="dxa"/>
        </w:tblCellMar>
      </w:tblPr>
      <w:tblGrid>
        <w:gridCol w:w="2627"/>
        <w:gridCol w:w="3095"/>
        <w:gridCol w:w="2918"/>
      </w:tblGrid>
      <w:tr>
        <w:trPr/>
        <w:tc>
          <w:tcPr>
            <w:tcW w:w="2627" w:type="dxa"/>
            <w:tcBorders>
              <w:top w:val="single" w:sz="4" w:space="0" w:color="000000"/>
              <w:start w:val="single" w:sz="4" w:space="0" w:color="000000"/>
              <w:end w:val="single" w:sz="4" w:space="0" w:color="000000"/>
            </w:tcBorders>
          </w:tcPr>
          <w:p>
            <w:pPr>
              <w:pStyle w:val="CRNormal"/>
              <w:spacing w:before="60" w:after="60"/>
              <w:rPr>
                <w:b/>
              </w:rPr>
            </w:pPr>
            <w:r>
              <w:rPr>
                <w:b/>
              </w:rPr>
              <w:t>Company</w:t>
            </w:r>
          </w:p>
        </w:tc>
        <w:tc>
          <w:tcPr>
            <w:tcW w:w="3095" w:type="dxa"/>
            <w:tcBorders>
              <w:top w:val="single" w:sz="4" w:space="0" w:color="000000"/>
              <w:start w:val="single" w:sz="4" w:space="0" w:color="000000"/>
              <w:end w:val="single" w:sz="4" w:space="0" w:color="000000"/>
            </w:tcBorders>
          </w:tcPr>
          <w:p>
            <w:pPr>
              <w:pStyle w:val="CRNormal"/>
              <w:spacing w:before="60" w:after="60"/>
              <w:jc w:val="center"/>
              <w:rPr>
                <w:b/>
              </w:rPr>
            </w:pPr>
            <w:r>
              <w:rPr>
                <w:b/>
              </w:rPr>
              <w:t>% change in stock price from September 9, 2001</w:t>
            </w:r>
          </w:p>
        </w:tc>
        <w:tc>
          <w:tcPr>
            <w:tcW w:w="2918" w:type="dxa"/>
            <w:tcBorders>
              <w:top w:val="single" w:sz="4" w:space="0" w:color="000000"/>
              <w:start w:val="single" w:sz="4" w:space="0" w:color="000000"/>
              <w:end w:val="single" w:sz="4" w:space="0" w:color="000000"/>
            </w:tcBorders>
          </w:tcPr>
          <w:p>
            <w:pPr>
              <w:pStyle w:val="CRNormal"/>
              <w:spacing w:before="60" w:after="60"/>
              <w:jc w:val="center"/>
              <w:rPr>
                <w:b/>
              </w:rPr>
            </w:pPr>
            <w:r>
              <w:rPr>
                <w:b/>
              </w:rPr>
              <w:t>Estimated losses million US $</w:t>
            </w:r>
          </w:p>
        </w:tc>
      </w:tr>
      <w:tr>
        <w:trPr/>
        <w:tc>
          <w:tcPr>
            <w:tcW w:w="2627" w:type="dxa"/>
            <w:tcBorders>
              <w:top w:val="single" w:sz="4" w:space="0" w:color="000000"/>
              <w:start w:val="single" w:sz="4" w:space="0" w:color="000000"/>
              <w:bottom w:val="single" w:sz="4" w:space="0" w:color="000000"/>
              <w:end w:val="single" w:sz="4" w:space="0" w:color="000000"/>
            </w:tcBorders>
          </w:tcPr>
          <w:p>
            <w:pPr>
              <w:pStyle w:val="CRNormal"/>
              <w:spacing w:before="60" w:after="60"/>
              <w:rPr>
                <w:b/>
              </w:rPr>
            </w:pPr>
            <w:r>
              <w:rPr>
                <w:b/>
              </w:rPr>
              <w:t>Insurance</w:t>
            </w:r>
          </w:p>
        </w:tc>
        <w:tc>
          <w:tcPr>
            <w:tcW w:w="3095" w:type="dxa"/>
            <w:tcBorders>
              <w:top w:val="single" w:sz="4" w:space="0" w:color="000000"/>
              <w:bottom w:val="single" w:sz="4" w:space="0" w:color="000000"/>
            </w:tcBorders>
          </w:tcPr>
          <w:p>
            <w:pPr>
              <w:pStyle w:val="CRNormal"/>
              <w:snapToGrid w:val="false"/>
              <w:spacing w:before="60" w:after="60"/>
              <w:jc w:val="end"/>
              <w:rPr>
                <w:b/>
              </w:rPr>
            </w:pPr>
            <w:r>
              <w:rPr>
                <w:b/>
              </w:rPr>
            </w:r>
          </w:p>
        </w:tc>
        <w:tc>
          <w:tcPr>
            <w:tcW w:w="2918" w:type="dxa"/>
            <w:tcBorders>
              <w:top w:val="single" w:sz="4" w:space="0" w:color="000000"/>
              <w:start w:val="single" w:sz="4" w:space="0" w:color="000000"/>
              <w:bottom w:val="single" w:sz="4" w:space="0" w:color="000000"/>
              <w:end w:val="single" w:sz="4" w:space="0" w:color="000000"/>
            </w:tcBorders>
          </w:tcPr>
          <w:p>
            <w:pPr>
              <w:pStyle w:val="CRNormal"/>
              <w:snapToGrid w:val="false"/>
              <w:spacing w:before="60" w:after="60"/>
              <w:jc w:val="end"/>
              <w:rPr/>
            </w:pPr>
            <w:r>
              <w:rPr/>
            </w:r>
          </w:p>
        </w:tc>
      </w:tr>
      <w:tr>
        <w:trPr/>
        <w:tc>
          <w:tcPr>
            <w:tcW w:w="2627" w:type="dxa"/>
            <w:tcBorders>
              <w:start w:val="single" w:sz="4" w:space="0" w:color="000000"/>
            </w:tcBorders>
          </w:tcPr>
          <w:p>
            <w:pPr>
              <w:pStyle w:val="CRNormal"/>
              <w:spacing w:before="60" w:after="60"/>
              <w:rPr/>
            </w:pPr>
            <w:r>
              <w:rPr/>
              <w:t>Ace</w:t>
            </w:r>
          </w:p>
        </w:tc>
        <w:tc>
          <w:tcPr>
            <w:tcW w:w="3095" w:type="dxa"/>
            <w:tcBorders>
              <w:start w:val="single" w:sz="4" w:space="0" w:color="000000"/>
            </w:tcBorders>
          </w:tcPr>
          <w:p>
            <w:pPr>
              <w:pStyle w:val="CRNormal"/>
              <w:spacing w:before="60" w:after="60"/>
              <w:jc w:val="center"/>
              <w:rPr/>
            </w:pPr>
            <w:r>
              <w:rPr/>
              <w:t>-37.9</w:t>
            </w:r>
          </w:p>
        </w:tc>
        <w:tc>
          <w:tcPr>
            <w:tcW w:w="2918" w:type="dxa"/>
            <w:tcBorders>
              <w:start w:val="single" w:sz="4" w:space="0" w:color="000000"/>
              <w:end w:val="single" w:sz="4" w:space="0" w:color="000000"/>
            </w:tcBorders>
          </w:tcPr>
          <w:p>
            <w:pPr>
              <w:pStyle w:val="CRNormal"/>
              <w:spacing w:before="60" w:after="60"/>
              <w:jc w:val="center"/>
              <w:rPr/>
            </w:pPr>
            <w:r>
              <w:rPr/>
              <w:t>500</w:t>
            </w:r>
          </w:p>
        </w:tc>
      </w:tr>
      <w:tr>
        <w:trPr/>
        <w:tc>
          <w:tcPr>
            <w:tcW w:w="2627" w:type="dxa"/>
            <w:tcBorders>
              <w:start w:val="single" w:sz="4" w:space="0" w:color="000000"/>
            </w:tcBorders>
          </w:tcPr>
          <w:p>
            <w:pPr>
              <w:pStyle w:val="CRNormal"/>
              <w:spacing w:before="60" w:after="60"/>
              <w:rPr/>
            </w:pPr>
            <w:r>
              <w:rPr/>
              <w:t>AIG</w:t>
            </w:r>
          </w:p>
        </w:tc>
        <w:tc>
          <w:tcPr>
            <w:tcW w:w="3095" w:type="dxa"/>
            <w:tcBorders>
              <w:start w:val="single" w:sz="4" w:space="0" w:color="000000"/>
            </w:tcBorders>
          </w:tcPr>
          <w:p>
            <w:pPr>
              <w:pStyle w:val="CRNormal"/>
              <w:spacing w:before="60" w:after="60"/>
              <w:jc w:val="center"/>
              <w:rPr/>
            </w:pPr>
            <w:r>
              <w:rPr/>
              <w:t>-9.7</w:t>
            </w:r>
          </w:p>
        </w:tc>
        <w:tc>
          <w:tcPr>
            <w:tcW w:w="2918" w:type="dxa"/>
            <w:tcBorders>
              <w:start w:val="single" w:sz="4" w:space="0" w:color="000000"/>
              <w:end w:val="single" w:sz="4" w:space="0" w:color="000000"/>
            </w:tcBorders>
          </w:tcPr>
          <w:p>
            <w:pPr>
              <w:pStyle w:val="CRNormal"/>
              <w:spacing w:before="60" w:after="60"/>
              <w:jc w:val="center"/>
              <w:rPr/>
            </w:pPr>
            <w:r>
              <w:rPr/>
              <w:t>500</w:t>
            </w:r>
          </w:p>
        </w:tc>
      </w:tr>
      <w:tr>
        <w:trPr/>
        <w:tc>
          <w:tcPr>
            <w:tcW w:w="2627" w:type="dxa"/>
            <w:tcBorders>
              <w:start w:val="single" w:sz="4" w:space="0" w:color="000000"/>
            </w:tcBorders>
          </w:tcPr>
          <w:p>
            <w:pPr>
              <w:pStyle w:val="CRNormal"/>
              <w:spacing w:before="60" w:after="60"/>
              <w:rPr/>
            </w:pPr>
            <w:r>
              <w:rPr/>
              <w:t>Allianz</w:t>
            </w:r>
          </w:p>
        </w:tc>
        <w:tc>
          <w:tcPr>
            <w:tcW w:w="3095" w:type="dxa"/>
            <w:tcBorders>
              <w:start w:val="single" w:sz="4" w:space="0" w:color="000000"/>
            </w:tcBorders>
          </w:tcPr>
          <w:p>
            <w:pPr>
              <w:pStyle w:val="CRNormal"/>
              <w:spacing w:before="60" w:after="60"/>
              <w:jc w:val="center"/>
              <w:rPr/>
            </w:pPr>
            <w:r>
              <w:rPr/>
              <w:t>-13.0</w:t>
            </w:r>
          </w:p>
        </w:tc>
        <w:tc>
          <w:tcPr>
            <w:tcW w:w="2918" w:type="dxa"/>
            <w:tcBorders>
              <w:start w:val="single" w:sz="4" w:space="0" w:color="000000"/>
              <w:end w:val="single" w:sz="4" w:space="0" w:color="000000"/>
            </w:tcBorders>
          </w:tcPr>
          <w:p>
            <w:pPr>
              <w:pStyle w:val="CRNormal"/>
              <w:spacing w:before="60" w:after="60"/>
              <w:jc w:val="center"/>
              <w:rPr/>
            </w:pPr>
            <w:r>
              <w:rPr/>
              <w:t>-- **</w:t>
            </w:r>
          </w:p>
        </w:tc>
      </w:tr>
      <w:tr>
        <w:trPr/>
        <w:tc>
          <w:tcPr>
            <w:tcW w:w="2627" w:type="dxa"/>
            <w:tcBorders>
              <w:start w:val="single" w:sz="4" w:space="0" w:color="000000"/>
            </w:tcBorders>
          </w:tcPr>
          <w:p>
            <w:pPr>
              <w:pStyle w:val="CRNormal"/>
              <w:spacing w:before="60" w:after="60"/>
              <w:rPr/>
            </w:pPr>
            <w:r>
              <w:rPr/>
              <w:t>AXA Sa</w:t>
            </w:r>
          </w:p>
        </w:tc>
        <w:tc>
          <w:tcPr>
            <w:tcW w:w="3095" w:type="dxa"/>
            <w:tcBorders>
              <w:start w:val="single" w:sz="4" w:space="0" w:color="000000"/>
            </w:tcBorders>
          </w:tcPr>
          <w:p>
            <w:pPr>
              <w:pStyle w:val="CRNormal"/>
              <w:spacing w:before="60" w:after="60"/>
              <w:jc w:val="center"/>
              <w:rPr/>
            </w:pPr>
            <w:r>
              <w:rPr/>
              <w:t>-38.4</w:t>
            </w:r>
          </w:p>
        </w:tc>
        <w:tc>
          <w:tcPr>
            <w:tcW w:w="2918" w:type="dxa"/>
            <w:tcBorders>
              <w:start w:val="single" w:sz="4" w:space="0" w:color="000000"/>
              <w:end w:val="single" w:sz="4" w:space="0" w:color="000000"/>
            </w:tcBorders>
          </w:tcPr>
          <w:p>
            <w:pPr>
              <w:pStyle w:val="CRNormal"/>
              <w:spacing w:before="60" w:after="60"/>
              <w:jc w:val="center"/>
              <w:rPr/>
            </w:pPr>
            <w:r>
              <w:rPr/>
              <w:t>550</w:t>
            </w:r>
          </w:p>
        </w:tc>
      </w:tr>
      <w:tr>
        <w:trPr/>
        <w:tc>
          <w:tcPr>
            <w:tcW w:w="2627" w:type="dxa"/>
            <w:tcBorders>
              <w:start w:val="single" w:sz="4" w:space="0" w:color="000000"/>
            </w:tcBorders>
          </w:tcPr>
          <w:p>
            <w:pPr>
              <w:pStyle w:val="CRNormal"/>
              <w:spacing w:before="60" w:after="60"/>
              <w:rPr/>
            </w:pPr>
            <w:r>
              <w:rPr/>
              <w:t>CGNU*</w:t>
            </w:r>
          </w:p>
        </w:tc>
        <w:tc>
          <w:tcPr>
            <w:tcW w:w="3095" w:type="dxa"/>
            <w:tcBorders>
              <w:start w:val="single" w:sz="4" w:space="0" w:color="000000"/>
            </w:tcBorders>
          </w:tcPr>
          <w:p>
            <w:pPr>
              <w:pStyle w:val="CRNormal"/>
              <w:spacing w:before="60" w:after="60"/>
              <w:jc w:val="center"/>
              <w:rPr/>
            </w:pPr>
            <w:r>
              <w:rPr/>
              <w:t>-98.3</w:t>
            </w:r>
          </w:p>
        </w:tc>
        <w:tc>
          <w:tcPr>
            <w:tcW w:w="2918" w:type="dxa"/>
            <w:tcBorders>
              <w:start w:val="single" w:sz="4" w:space="0" w:color="000000"/>
              <w:end w:val="single" w:sz="4" w:space="0" w:color="000000"/>
            </w:tcBorders>
          </w:tcPr>
          <w:p>
            <w:pPr>
              <w:pStyle w:val="CRNormal"/>
              <w:spacing w:before="60" w:after="60"/>
              <w:jc w:val="center"/>
              <w:rPr/>
            </w:pPr>
            <w:r>
              <w:rPr/>
              <w:t>51.4</w:t>
            </w:r>
          </w:p>
        </w:tc>
      </w:tr>
      <w:tr>
        <w:trPr/>
        <w:tc>
          <w:tcPr>
            <w:tcW w:w="2627" w:type="dxa"/>
            <w:tcBorders>
              <w:start w:val="single" w:sz="4" w:space="0" w:color="000000"/>
            </w:tcBorders>
          </w:tcPr>
          <w:p>
            <w:pPr>
              <w:pStyle w:val="CRNormal"/>
              <w:spacing w:before="60" w:after="60"/>
              <w:rPr/>
            </w:pPr>
            <w:r>
              <w:rPr/>
              <w:t>CNA Financial</w:t>
            </w:r>
          </w:p>
        </w:tc>
        <w:tc>
          <w:tcPr>
            <w:tcW w:w="3095" w:type="dxa"/>
            <w:tcBorders>
              <w:start w:val="single" w:sz="4" w:space="0" w:color="000000"/>
            </w:tcBorders>
          </w:tcPr>
          <w:p>
            <w:pPr>
              <w:pStyle w:val="CRNormal"/>
              <w:spacing w:before="60" w:after="60"/>
              <w:jc w:val="center"/>
              <w:rPr/>
            </w:pPr>
            <w:r>
              <w:rPr/>
              <w:t>-73.8</w:t>
            </w:r>
          </w:p>
        </w:tc>
        <w:tc>
          <w:tcPr>
            <w:tcW w:w="2918" w:type="dxa"/>
            <w:tcBorders>
              <w:start w:val="single" w:sz="4" w:space="0" w:color="000000"/>
              <w:end w:val="single" w:sz="4" w:space="0" w:color="000000"/>
            </w:tcBorders>
          </w:tcPr>
          <w:p>
            <w:pPr>
              <w:pStyle w:val="CRNormal"/>
              <w:spacing w:before="60" w:after="60"/>
              <w:jc w:val="center"/>
              <w:rPr/>
            </w:pPr>
            <w:r>
              <w:rPr/>
              <w:t>200-350</w:t>
            </w:r>
          </w:p>
        </w:tc>
      </w:tr>
      <w:tr>
        <w:trPr/>
        <w:tc>
          <w:tcPr>
            <w:tcW w:w="2627" w:type="dxa"/>
            <w:tcBorders>
              <w:start w:val="single" w:sz="4" w:space="0" w:color="000000"/>
            </w:tcBorders>
          </w:tcPr>
          <w:p>
            <w:pPr>
              <w:pStyle w:val="CRNormal"/>
              <w:spacing w:before="60" w:after="60"/>
              <w:rPr/>
            </w:pPr>
            <w:r>
              <w:rPr/>
              <w:t>Chubb</w:t>
            </w:r>
          </w:p>
        </w:tc>
        <w:tc>
          <w:tcPr>
            <w:tcW w:w="3095" w:type="dxa"/>
            <w:tcBorders>
              <w:start w:val="single" w:sz="4" w:space="0" w:color="000000"/>
            </w:tcBorders>
          </w:tcPr>
          <w:p>
            <w:pPr>
              <w:pStyle w:val="CRNormal"/>
              <w:spacing w:before="60" w:after="60"/>
              <w:jc w:val="center"/>
              <w:rPr/>
            </w:pPr>
            <w:r>
              <w:rPr/>
              <w:t>-63.4</w:t>
            </w:r>
          </w:p>
        </w:tc>
        <w:tc>
          <w:tcPr>
            <w:tcW w:w="2918" w:type="dxa"/>
            <w:tcBorders>
              <w:start w:val="single" w:sz="4" w:space="0" w:color="000000"/>
              <w:end w:val="single" w:sz="4" w:space="0" w:color="000000"/>
            </w:tcBorders>
          </w:tcPr>
          <w:p>
            <w:pPr>
              <w:pStyle w:val="CRNormal"/>
              <w:spacing w:before="60" w:after="60"/>
              <w:jc w:val="center"/>
              <w:rPr/>
            </w:pPr>
            <w:r>
              <w:rPr/>
              <w:t>500-600</w:t>
            </w:r>
          </w:p>
        </w:tc>
      </w:tr>
      <w:tr>
        <w:trPr/>
        <w:tc>
          <w:tcPr>
            <w:tcW w:w="2627" w:type="dxa"/>
            <w:tcBorders>
              <w:start w:val="single" w:sz="4" w:space="0" w:color="000000"/>
            </w:tcBorders>
          </w:tcPr>
          <w:p>
            <w:pPr>
              <w:pStyle w:val="CRNormal"/>
              <w:spacing w:before="60" w:after="60"/>
              <w:rPr/>
            </w:pPr>
            <w:r>
              <w:rPr/>
              <w:t>Citigroup</w:t>
            </w:r>
          </w:p>
        </w:tc>
        <w:tc>
          <w:tcPr>
            <w:tcW w:w="3095" w:type="dxa"/>
            <w:tcBorders>
              <w:start w:val="single" w:sz="4" w:space="0" w:color="000000"/>
            </w:tcBorders>
          </w:tcPr>
          <w:p>
            <w:pPr>
              <w:pStyle w:val="CRNormal"/>
              <w:spacing w:before="60" w:after="60"/>
              <w:jc w:val="center"/>
              <w:rPr/>
            </w:pPr>
            <w:r>
              <w:rPr/>
              <w:t>-12.2</w:t>
            </w:r>
          </w:p>
        </w:tc>
        <w:tc>
          <w:tcPr>
            <w:tcW w:w="2918" w:type="dxa"/>
            <w:tcBorders>
              <w:start w:val="single" w:sz="4" w:space="0" w:color="000000"/>
              <w:end w:val="single" w:sz="4" w:space="0" w:color="000000"/>
            </w:tcBorders>
          </w:tcPr>
          <w:p>
            <w:pPr>
              <w:pStyle w:val="CRNormal"/>
              <w:spacing w:before="60" w:after="60"/>
              <w:jc w:val="center"/>
              <w:rPr/>
            </w:pPr>
            <w:r>
              <w:rPr/>
              <w:t>500</w:t>
            </w:r>
          </w:p>
        </w:tc>
      </w:tr>
      <w:tr>
        <w:trPr/>
        <w:tc>
          <w:tcPr>
            <w:tcW w:w="2627" w:type="dxa"/>
            <w:tcBorders>
              <w:start w:val="single" w:sz="4" w:space="0" w:color="000000"/>
            </w:tcBorders>
          </w:tcPr>
          <w:p>
            <w:pPr>
              <w:pStyle w:val="CRNormal"/>
              <w:spacing w:before="60" w:after="60"/>
              <w:rPr/>
            </w:pPr>
            <w:r>
              <w:rPr/>
              <w:t>Fairfax Financial/*</w:t>
            </w:r>
          </w:p>
        </w:tc>
        <w:tc>
          <w:tcPr>
            <w:tcW w:w="3095" w:type="dxa"/>
            <w:tcBorders>
              <w:start w:val="single" w:sz="4" w:space="0" w:color="000000"/>
            </w:tcBorders>
          </w:tcPr>
          <w:p>
            <w:pPr>
              <w:pStyle w:val="CRNormal"/>
              <w:spacing w:before="60" w:after="60"/>
              <w:jc w:val="center"/>
              <w:rPr/>
            </w:pPr>
            <w:r>
              <w:rPr/>
              <w:t>-25.5</w:t>
            </w:r>
          </w:p>
        </w:tc>
        <w:tc>
          <w:tcPr>
            <w:tcW w:w="2918" w:type="dxa"/>
            <w:tcBorders>
              <w:start w:val="single" w:sz="4" w:space="0" w:color="000000"/>
              <w:end w:val="single" w:sz="4" w:space="0" w:color="000000"/>
            </w:tcBorders>
          </w:tcPr>
          <w:p>
            <w:pPr>
              <w:pStyle w:val="CRNormal"/>
              <w:spacing w:before="60" w:after="60"/>
              <w:jc w:val="center"/>
              <w:rPr/>
            </w:pPr>
            <w:r>
              <w:rPr/>
              <w:t>125</w:t>
            </w:r>
          </w:p>
        </w:tc>
      </w:tr>
      <w:tr>
        <w:trPr/>
        <w:tc>
          <w:tcPr>
            <w:tcW w:w="2627" w:type="dxa"/>
            <w:tcBorders>
              <w:start w:val="single" w:sz="4" w:space="0" w:color="000000"/>
            </w:tcBorders>
          </w:tcPr>
          <w:p>
            <w:pPr>
              <w:pStyle w:val="CRNormal"/>
              <w:spacing w:before="60" w:after="60"/>
              <w:rPr/>
            </w:pPr>
            <w:r>
              <w:rPr/>
              <w:t>FM Global</w:t>
            </w:r>
          </w:p>
        </w:tc>
        <w:tc>
          <w:tcPr>
            <w:tcW w:w="3095" w:type="dxa"/>
            <w:tcBorders>
              <w:start w:val="single" w:sz="4" w:space="0" w:color="000000"/>
            </w:tcBorders>
          </w:tcPr>
          <w:p>
            <w:pPr>
              <w:pStyle w:val="CRNormal"/>
              <w:snapToGrid w:val="false"/>
              <w:spacing w:before="60" w:after="60"/>
              <w:jc w:val="center"/>
              <w:rPr/>
            </w:pPr>
            <w:r>
              <w:rPr/>
            </w:r>
          </w:p>
        </w:tc>
        <w:tc>
          <w:tcPr>
            <w:tcW w:w="2918" w:type="dxa"/>
            <w:tcBorders>
              <w:start w:val="single" w:sz="4" w:space="0" w:color="000000"/>
              <w:end w:val="single" w:sz="4" w:space="0" w:color="000000"/>
            </w:tcBorders>
          </w:tcPr>
          <w:p>
            <w:pPr>
              <w:pStyle w:val="CRNormal"/>
              <w:spacing w:before="60" w:after="60"/>
              <w:jc w:val="center"/>
              <w:rPr/>
            </w:pPr>
            <w:r>
              <w:rPr/>
              <w:t>250</w:t>
            </w:r>
          </w:p>
        </w:tc>
      </w:tr>
      <w:tr>
        <w:trPr/>
        <w:tc>
          <w:tcPr>
            <w:tcW w:w="2627" w:type="dxa"/>
            <w:tcBorders>
              <w:start w:val="single" w:sz="4" w:space="0" w:color="000000"/>
            </w:tcBorders>
          </w:tcPr>
          <w:p>
            <w:pPr>
              <w:pStyle w:val="CRNormal"/>
              <w:spacing w:before="60" w:after="60"/>
              <w:rPr/>
            </w:pPr>
            <w:r>
              <w:rPr/>
              <w:t>Hartford Financial</w:t>
            </w:r>
          </w:p>
        </w:tc>
        <w:tc>
          <w:tcPr>
            <w:tcW w:w="3095" w:type="dxa"/>
            <w:tcBorders>
              <w:start w:val="single" w:sz="4" w:space="0" w:color="000000"/>
            </w:tcBorders>
          </w:tcPr>
          <w:p>
            <w:pPr>
              <w:pStyle w:val="CRNormal"/>
              <w:spacing w:before="60" w:after="60"/>
              <w:jc w:val="center"/>
              <w:rPr/>
            </w:pPr>
            <w:r>
              <w:rPr/>
              <w:t>-19.1</w:t>
            </w:r>
          </w:p>
        </w:tc>
        <w:tc>
          <w:tcPr>
            <w:tcW w:w="2918" w:type="dxa"/>
            <w:tcBorders>
              <w:start w:val="single" w:sz="4" w:space="0" w:color="000000"/>
              <w:end w:val="single" w:sz="4" w:space="0" w:color="000000"/>
            </w:tcBorders>
          </w:tcPr>
          <w:p>
            <w:pPr>
              <w:pStyle w:val="CRNormal"/>
              <w:spacing w:before="60" w:after="60"/>
              <w:jc w:val="center"/>
              <w:rPr/>
            </w:pPr>
            <w:r>
              <w:rPr/>
              <w:t>450</w:t>
            </w:r>
          </w:p>
        </w:tc>
      </w:tr>
      <w:tr>
        <w:trPr/>
        <w:tc>
          <w:tcPr>
            <w:tcW w:w="2627" w:type="dxa"/>
            <w:tcBorders>
              <w:start w:val="single" w:sz="4" w:space="0" w:color="000000"/>
            </w:tcBorders>
          </w:tcPr>
          <w:p>
            <w:pPr>
              <w:pStyle w:val="CRNormal"/>
              <w:spacing w:before="60" w:after="60"/>
              <w:rPr/>
            </w:pPr>
            <w:r>
              <w:rPr/>
              <w:t>Kemper Indemnity</w:t>
            </w:r>
          </w:p>
        </w:tc>
        <w:tc>
          <w:tcPr>
            <w:tcW w:w="3095" w:type="dxa"/>
            <w:tcBorders>
              <w:start w:val="single" w:sz="4" w:space="0" w:color="000000"/>
            </w:tcBorders>
          </w:tcPr>
          <w:p>
            <w:pPr>
              <w:pStyle w:val="CRNormal"/>
              <w:snapToGrid w:val="false"/>
              <w:spacing w:before="60" w:after="60"/>
              <w:jc w:val="center"/>
              <w:rPr/>
            </w:pPr>
            <w:r>
              <w:rPr/>
            </w:r>
          </w:p>
        </w:tc>
        <w:tc>
          <w:tcPr>
            <w:tcW w:w="2918" w:type="dxa"/>
            <w:tcBorders>
              <w:start w:val="single" w:sz="4" w:space="0" w:color="000000"/>
              <w:end w:val="single" w:sz="4" w:space="0" w:color="000000"/>
            </w:tcBorders>
          </w:tcPr>
          <w:p>
            <w:pPr>
              <w:pStyle w:val="CRNormal"/>
              <w:spacing w:before="60" w:after="60"/>
              <w:jc w:val="center"/>
              <w:rPr/>
            </w:pPr>
            <w:r>
              <w:rPr/>
              <w:t>60-80</w:t>
            </w:r>
          </w:p>
        </w:tc>
      </w:tr>
      <w:tr>
        <w:trPr/>
        <w:tc>
          <w:tcPr>
            <w:tcW w:w="2627" w:type="dxa"/>
            <w:tcBorders>
              <w:start w:val="single" w:sz="4" w:space="0" w:color="000000"/>
              <w:bottom w:val="single" w:sz="4" w:space="0" w:color="000000"/>
            </w:tcBorders>
          </w:tcPr>
          <w:p>
            <w:pPr>
              <w:pStyle w:val="CRNormal"/>
              <w:spacing w:before="60" w:after="60"/>
              <w:rPr/>
            </w:pPr>
            <w:r>
              <w:rPr/>
              <w:t>Liberty Mutual</w:t>
            </w:r>
          </w:p>
        </w:tc>
        <w:tc>
          <w:tcPr>
            <w:tcW w:w="3095" w:type="dxa"/>
            <w:tcBorders>
              <w:start w:val="single" w:sz="4" w:space="0" w:color="000000"/>
              <w:bottom w:val="single" w:sz="4" w:space="0" w:color="000000"/>
            </w:tcBorders>
          </w:tcPr>
          <w:p>
            <w:pPr>
              <w:pStyle w:val="CRNormal"/>
              <w:snapToGrid w:val="false"/>
              <w:spacing w:before="60" w:after="60"/>
              <w:jc w:val="center"/>
              <w:rPr/>
            </w:pPr>
            <w:r>
              <w:rPr/>
            </w:r>
          </w:p>
        </w:tc>
        <w:tc>
          <w:tcPr>
            <w:tcW w:w="2918" w:type="dxa"/>
            <w:tcBorders>
              <w:start w:val="single" w:sz="4" w:space="0" w:color="000000"/>
              <w:bottom w:val="single" w:sz="4" w:space="0" w:color="000000"/>
              <w:end w:val="single" w:sz="4" w:space="0" w:color="000000"/>
            </w:tcBorders>
          </w:tcPr>
          <w:p>
            <w:pPr>
              <w:pStyle w:val="CRNormal"/>
              <w:spacing w:before="60" w:after="60"/>
              <w:jc w:val="center"/>
              <w:rPr/>
            </w:pPr>
            <w:r>
              <w:rPr/>
              <w:t>200-300</w:t>
            </w:r>
          </w:p>
        </w:tc>
      </w:tr>
      <w:tr>
        <w:trPr/>
        <w:tc>
          <w:tcPr>
            <w:tcW w:w="2627" w:type="dxa"/>
            <w:tcBorders>
              <w:top w:val="single" w:sz="4" w:space="0" w:color="000000"/>
              <w:start w:val="single" w:sz="4" w:space="0" w:color="000000"/>
            </w:tcBorders>
          </w:tcPr>
          <w:p>
            <w:pPr>
              <w:pStyle w:val="CRNormal"/>
              <w:spacing w:before="60" w:after="60"/>
              <w:rPr/>
            </w:pPr>
            <w:r>
              <w:rPr/>
              <w:t>Manulife</w:t>
            </w:r>
          </w:p>
        </w:tc>
        <w:tc>
          <w:tcPr>
            <w:tcW w:w="3095" w:type="dxa"/>
            <w:tcBorders>
              <w:top w:val="single" w:sz="4" w:space="0" w:color="000000"/>
              <w:start w:val="single" w:sz="4" w:space="0" w:color="000000"/>
            </w:tcBorders>
          </w:tcPr>
          <w:p>
            <w:pPr>
              <w:pStyle w:val="CRNormal"/>
              <w:spacing w:before="60" w:after="60"/>
              <w:jc w:val="center"/>
              <w:rPr/>
            </w:pPr>
            <w:r>
              <w:rPr/>
              <w:t>-17.1</w:t>
            </w:r>
          </w:p>
        </w:tc>
        <w:tc>
          <w:tcPr>
            <w:tcW w:w="2918" w:type="dxa"/>
            <w:tcBorders>
              <w:top w:val="single" w:sz="4" w:space="0" w:color="000000"/>
              <w:start w:val="single" w:sz="4" w:space="0" w:color="000000"/>
              <w:end w:val="single" w:sz="4" w:space="0" w:color="000000"/>
            </w:tcBorders>
          </w:tcPr>
          <w:p>
            <w:pPr>
              <w:pStyle w:val="CRNormal"/>
              <w:spacing w:before="60" w:after="60"/>
              <w:jc w:val="center"/>
              <w:rPr/>
            </w:pPr>
            <w:r>
              <w:rPr/>
              <w:t>63</w:t>
            </w:r>
          </w:p>
        </w:tc>
      </w:tr>
      <w:tr>
        <w:trPr/>
        <w:tc>
          <w:tcPr>
            <w:tcW w:w="2627" w:type="dxa"/>
            <w:tcBorders>
              <w:start w:val="single" w:sz="4" w:space="0" w:color="000000"/>
            </w:tcBorders>
          </w:tcPr>
          <w:p>
            <w:pPr>
              <w:pStyle w:val="CRNormal"/>
              <w:spacing w:before="60" w:after="60"/>
              <w:rPr/>
            </w:pPr>
            <w:r>
              <w:rPr/>
              <w:t>Markel Corp</w:t>
            </w:r>
          </w:p>
        </w:tc>
        <w:tc>
          <w:tcPr>
            <w:tcW w:w="3095" w:type="dxa"/>
            <w:tcBorders>
              <w:start w:val="single" w:sz="4" w:space="0" w:color="000000"/>
            </w:tcBorders>
          </w:tcPr>
          <w:p>
            <w:pPr>
              <w:pStyle w:val="CRNormal"/>
              <w:spacing w:before="60" w:after="60"/>
              <w:jc w:val="center"/>
              <w:rPr/>
            </w:pPr>
            <w:r>
              <w:rPr/>
              <w:t>-12.0</w:t>
            </w:r>
          </w:p>
        </w:tc>
        <w:tc>
          <w:tcPr>
            <w:tcW w:w="2918" w:type="dxa"/>
            <w:tcBorders>
              <w:start w:val="single" w:sz="4" w:space="0" w:color="000000"/>
              <w:end w:val="single" w:sz="4" w:space="0" w:color="000000"/>
            </w:tcBorders>
          </w:tcPr>
          <w:p>
            <w:pPr>
              <w:pStyle w:val="CRNormal"/>
              <w:spacing w:before="60" w:after="60"/>
              <w:jc w:val="center"/>
              <w:rPr/>
            </w:pPr>
            <w:r>
              <w:rPr/>
              <w:t>75</w:t>
            </w:r>
          </w:p>
        </w:tc>
      </w:tr>
      <w:tr>
        <w:trPr/>
        <w:tc>
          <w:tcPr>
            <w:tcW w:w="2627" w:type="dxa"/>
            <w:tcBorders>
              <w:start w:val="single" w:sz="4" w:space="0" w:color="000000"/>
            </w:tcBorders>
          </w:tcPr>
          <w:p>
            <w:pPr>
              <w:pStyle w:val="CRNormal"/>
              <w:spacing w:before="60" w:after="60"/>
              <w:rPr/>
            </w:pPr>
            <w:r>
              <w:rPr/>
              <w:t>Metlife</w:t>
            </w:r>
          </w:p>
        </w:tc>
        <w:tc>
          <w:tcPr>
            <w:tcW w:w="3095" w:type="dxa"/>
            <w:tcBorders>
              <w:start w:val="single" w:sz="4" w:space="0" w:color="000000"/>
            </w:tcBorders>
          </w:tcPr>
          <w:p>
            <w:pPr>
              <w:pStyle w:val="CRNormal"/>
              <w:spacing w:before="60" w:after="60"/>
              <w:jc w:val="center"/>
              <w:rPr/>
            </w:pPr>
            <w:r>
              <w:rPr/>
              <w:t>-12.5</w:t>
            </w:r>
          </w:p>
        </w:tc>
        <w:tc>
          <w:tcPr>
            <w:tcW w:w="2918" w:type="dxa"/>
            <w:tcBorders>
              <w:start w:val="single" w:sz="4" w:space="0" w:color="000000"/>
              <w:end w:val="single" w:sz="4" w:space="0" w:color="000000"/>
            </w:tcBorders>
          </w:tcPr>
          <w:p>
            <w:pPr>
              <w:pStyle w:val="CRNormal"/>
              <w:spacing w:before="60" w:after="60"/>
              <w:jc w:val="center"/>
              <w:rPr/>
            </w:pPr>
            <w:r>
              <w:rPr/>
              <w:t>250-300</w:t>
            </w:r>
          </w:p>
        </w:tc>
      </w:tr>
      <w:tr>
        <w:trPr/>
        <w:tc>
          <w:tcPr>
            <w:tcW w:w="2627" w:type="dxa"/>
            <w:tcBorders>
              <w:start w:val="single" w:sz="4" w:space="0" w:color="000000"/>
            </w:tcBorders>
          </w:tcPr>
          <w:p>
            <w:pPr>
              <w:pStyle w:val="CRNormal"/>
              <w:spacing w:before="60" w:after="60"/>
              <w:rPr/>
            </w:pPr>
            <w:r>
              <w:rPr/>
              <w:t>Royal and Sun Alliance</w:t>
            </w:r>
          </w:p>
        </w:tc>
        <w:tc>
          <w:tcPr>
            <w:tcW w:w="3095" w:type="dxa"/>
            <w:tcBorders>
              <w:start w:val="single" w:sz="4" w:space="0" w:color="000000"/>
            </w:tcBorders>
          </w:tcPr>
          <w:p>
            <w:pPr>
              <w:pStyle w:val="CRNormal"/>
              <w:spacing w:before="60" w:after="60"/>
              <w:jc w:val="center"/>
              <w:rPr/>
            </w:pPr>
            <w:r>
              <w:rPr/>
              <w:t>-33.4</w:t>
            </w:r>
          </w:p>
        </w:tc>
        <w:tc>
          <w:tcPr>
            <w:tcW w:w="2918" w:type="dxa"/>
            <w:tcBorders>
              <w:start w:val="single" w:sz="4" w:space="0" w:color="000000"/>
              <w:end w:val="single" w:sz="4" w:space="0" w:color="000000"/>
            </w:tcBorders>
          </w:tcPr>
          <w:p>
            <w:pPr>
              <w:pStyle w:val="CRNormal"/>
              <w:spacing w:before="60" w:after="60"/>
              <w:jc w:val="center"/>
              <w:rPr/>
            </w:pPr>
            <w:r>
              <w:rPr/>
              <w:t>220</w:t>
            </w:r>
          </w:p>
        </w:tc>
      </w:tr>
      <w:tr>
        <w:trPr/>
        <w:tc>
          <w:tcPr>
            <w:tcW w:w="2627" w:type="dxa"/>
            <w:tcBorders>
              <w:start w:val="single" w:sz="4" w:space="0" w:color="000000"/>
            </w:tcBorders>
          </w:tcPr>
          <w:p>
            <w:pPr>
              <w:pStyle w:val="CRNormal"/>
              <w:spacing w:before="60" w:after="60"/>
              <w:rPr/>
            </w:pPr>
            <w:r>
              <w:rPr/>
              <w:t>SAFECO</w:t>
            </w:r>
          </w:p>
        </w:tc>
        <w:tc>
          <w:tcPr>
            <w:tcW w:w="3095" w:type="dxa"/>
            <w:tcBorders>
              <w:start w:val="single" w:sz="4" w:space="0" w:color="000000"/>
            </w:tcBorders>
          </w:tcPr>
          <w:p>
            <w:pPr>
              <w:pStyle w:val="CRNormal"/>
              <w:spacing w:before="60" w:after="60"/>
              <w:jc w:val="center"/>
              <w:rPr/>
            </w:pPr>
            <w:r>
              <w:rPr/>
              <w:t>-12.4</w:t>
            </w:r>
          </w:p>
        </w:tc>
        <w:tc>
          <w:tcPr>
            <w:tcW w:w="2918" w:type="dxa"/>
            <w:tcBorders>
              <w:start w:val="single" w:sz="4" w:space="0" w:color="000000"/>
              <w:end w:val="single" w:sz="4" w:space="0" w:color="000000"/>
            </w:tcBorders>
          </w:tcPr>
          <w:p>
            <w:pPr>
              <w:pStyle w:val="CRNormal"/>
              <w:spacing w:before="60" w:after="60"/>
              <w:jc w:val="center"/>
              <w:rPr/>
            </w:pPr>
            <w:r>
              <w:rPr/>
              <w:t>30-35</w:t>
            </w:r>
          </w:p>
        </w:tc>
      </w:tr>
      <w:tr>
        <w:trPr/>
        <w:tc>
          <w:tcPr>
            <w:tcW w:w="2627" w:type="dxa"/>
            <w:tcBorders>
              <w:start w:val="single" w:sz="4" w:space="0" w:color="000000"/>
            </w:tcBorders>
          </w:tcPr>
          <w:p>
            <w:pPr>
              <w:pStyle w:val="CRNormal"/>
              <w:spacing w:before="60" w:after="60"/>
              <w:jc w:val="start"/>
              <w:rPr/>
            </w:pPr>
            <w:r>
              <w:rPr/>
              <w:t>White Mountains Insurance</w:t>
            </w:r>
          </w:p>
        </w:tc>
        <w:tc>
          <w:tcPr>
            <w:tcW w:w="3095" w:type="dxa"/>
            <w:tcBorders>
              <w:start w:val="single" w:sz="4" w:space="0" w:color="000000"/>
            </w:tcBorders>
          </w:tcPr>
          <w:p>
            <w:pPr>
              <w:pStyle w:val="CRNormal"/>
              <w:spacing w:before="60" w:after="60"/>
              <w:jc w:val="center"/>
              <w:rPr/>
            </w:pPr>
            <w:r>
              <w:rPr/>
              <w:t>-10.9</w:t>
            </w:r>
          </w:p>
        </w:tc>
        <w:tc>
          <w:tcPr>
            <w:tcW w:w="2918" w:type="dxa"/>
            <w:tcBorders>
              <w:start w:val="single" w:sz="4" w:space="0" w:color="000000"/>
              <w:end w:val="single" w:sz="4" w:space="0" w:color="000000"/>
            </w:tcBorders>
          </w:tcPr>
          <w:p>
            <w:pPr>
              <w:pStyle w:val="CRNormal"/>
              <w:spacing w:before="60" w:after="60"/>
              <w:jc w:val="center"/>
              <w:rPr/>
            </w:pPr>
            <w:r>
              <w:rPr/>
              <w:t>175</w:t>
            </w:r>
          </w:p>
        </w:tc>
      </w:tr>
      <w:tr>
        <w:trPr/>
        <w:tc>
          <w:tcPr>
            <w:tcW w:w="2627" w:type="dxa"/>
            <w:tcBorders>
              <w:start w:val="single" w:sz="4" w:space="0" w:color="000000"/>
            </w:tcBorders>
          </w:tcPr>
          <w:p>
            <w:pPr>
              <w:pStyle w:val="CRNormal"/>
              <w:spacing w:before="60" w:after="60"/>
              <w:jc w:val="start"/>
              <w:rPr/>
            </w:pPr>
            <w:r>
              <w:rPr/>
              <w:t xml:space="preserve">Zenith National Insurance </w:t>
            </w:r>
          </w:p>
        </w:tc>
        <w:tc>
          <w:tcPr>
            <w:tcW w:w="3095" w:type="dxa"/>
            <w:tcBorders>
              <w:start w:val="single" w:sz="4" w:space="0" w:color="000000"/>
            </w:tcBorders>
          </w:tcPr>
          <w:p>
            <w:pPr>
              <w:pStyle w:val="CRNormal"/>
              <w:spacing w:before="60" w:after="60"/>
              <w:jc w:val="center"/>
              <w:rPr/>
            </w:pPr>
            <w:r>
              <w:rPr/>
              <w:t>-11.7</w:t>
            </w:r>
          </w:p>
        </w:tc>
        <w:tc>
          <w:tcPr>
            <w:tcW w:w="2918" w:type="dxa"/>
            <w:tcBorders>
              <w:start w:val="single" w:sz="4" w:space="0" w:color="000000"/>
              <w:end w:val="single" w:sz="4" w:space="0" w:color="000000"/>
            </w:tcBorders>
          </w:tcPr>
          <w:p>
            <w:pPr>
              <w:pStyle w:val="CRNormal"/>
              <w:spacing w:before="60" w:after="60"/>
              <w:jc w:val="center"/>
              <w:rPr/>
            </w:pPr>
            <w:r>
              <w:rPr/>
              <w:t>7-15</w:t>
            </w:r>
          </w:p>
        </w:tc>
      </w:tr>
      <w:tr>
        <w:trPr/>
        <w:tc>
          <w:tcPr>
            <w:tcW w:w="2627" w:type="dxa"/>
            <w:tcBorders>
              <w:top w:val="single" w:sz="4" w:space="0" w:color="000000"/>
              <w:start w:val="single" w:sz="4" w:space="0" w:color="000000"/>
              <w:bottom w:val="single" w:sz="4" w:space="0" w:color="000000"/>
            </w:tcBorders>
          </w:tcPr>
          <w:p>
            <w:pPr>
              <w:pStyle w:val="CRNormal"/>
              <w:spacing w:before="60" w:after="60"/>
              <w:jc w:val="start"/>
              <w:rPr>
                <w:b/>
              </w:rPr>
            </w:pPr>
            <w:r>
              <w:rPr>
                <w:b/>
              </w:rPr>
              <w:t>Reinsurance</w:t>
            </w:r>
          </w:p>
        </w:tc>
        <w:tc>
          <w:tcPr>
            <w:tcW w:w="3095" w:type="dxa"/>
            <w:tcBorders>
              <w:top w:val="single" w:sz="4" w:space="0" w:color="000000"/>
              <w:start w:val="single" w:sz="4" w:space="0" w:color="000000"/>
              <w:bottom w:val="single" w:sz="4" w:space="0" w:color="000000"/>
            </w:tcBorders>
          </w:tcPr>
          <w:p>
            <w:pPr>
              <w:pStyle w:val="CRNormal"/>
              <w:snapToGrid w:val="false"/>
              <w:spacing w:before="60" w:after="60"/>
              <w:jc w:val="center"/>
              <w:rPr>
                <w:b/>
              </w:rPr>
            </w:pPr>
            <w:r>
              <w:rPr>
                <w:b/>
              </w:rPr>
            </w:r>
          </w:p>
        </w:tc>
        <w:tc>
          <w:tcPr>
            <w:tcW w:w="2918" w:type="dxa"/>
            <w:tcBorders>
              <w:top w:val="single" w:sz="4" w:space="0" w:color="000000"/>
              <w:start w:val="single" w:sz="4" w:space="0" w:color="000000"/>
              <w:bottom w:val="single" w:sz="4" w:space="0" w:color="000000"/>
              <w:end w:val="single" w:sz="4" w:space="0" w:color="000000"/>
            </w:tcBorders>
          </w:tcPr>
          <w:p>
            <w:pPr>
              <w:pStyle w:val="CRNormal"/>
              <w:snapToGrid w:val="false"/>
              <w:spacing w:before="60" w:after="60"/>
              <w:jc w:val="center"/>
              <w:rPr/>
            </w:pPr>
            <w:r>
              <w:rPr/>
            </w:r>
          </w:p>
        </w:tc>
      </w:tr>
      <w:tr>
        <w:trPr/>
        <w:tc>
          <w:tcPr>
            <w:tcW w:w="2627" w:type="dxa"/>
            <w:tcBorders>
              <w:start w:val="single" w:sz="4" w:space="0" w:color="000000"/>
            </w:tcBorders>
          </w:tcPr>
          <w:p>
            <w:pPr>
              <w:pStyle w:val="CRNormal"/>
              <w:spacing w:before="60" w:after="60"/>
              <w:rPr/>
            </w:pPr>
            <w:r>
              <w:rPr/>
              <w:t>Berkshire Hathaway</w:t>
            </w:r>
          </w:p>
        </w:tc>
        <w:tc>
          <w:tcPr>
            <w:tcW w:w="3095" w:type="dxa"/>
            <w:tcBorders>
              <w:start w:val="single" w:sz="4" w:space="0" w:color="000000"/>
            </w:tcBorders>
          </w:tcPr>
          <w:p>
            <w:pPr>
              <w:pStyle w:val="CRNormal"/>
              <w:spacing w:before="60" w:after="60"/>
              <w:jc w:val="center"/>
              <w:rPr/>
            </w:pPr>
            <w:r>
              <w:rPr/>
              <w:t>-8.1</w:t>
            </w:r>
          </w:p>
        </w:tc>
        <w:tc>
          <w:tcPr>
            <w:tcW w:w="2918" w:type="dxa"/>
            <w:tcBorders>
              <w:start w:val="single" w:sz="4" w:space="0" w:color="000000"/>
              <w:end w:val="single" w:sz="4" w:space="0" w:color="000000"/>
            </w:tcBorders>
          </w:tcPr>
          <w:p>
            <w:pPr>
              <w:pStyle w:val="CRNormal"/>
              <w:spacing w:before="60" w:after="60"/>
              <w:jc w:val="center"/>
              <w:rPr/>
            </w:pPr>
            <w:r>
              <w:rPr/>
              <w:t>2,200</w:t>
            </w:r>
          </w:p>
        </w:tc>
      </w:tr>
      <w:tr>
        <w:trPr/>
        <w:tc>
          <w:tcPr>
            <w:tcW w:w="2627" w:type="dxa"/>
            <w:tcBorders>
              <w:start w:val="single" w:sz="4" w:space="0" w:color="000000"/>
            </w:tcBorders>
          </w:tcPr>
          <w:p>
            <w:pPr>
              <w:pStyle w:val="CRNormal"/>
              <w:spacing w:before="60" w:after="60"/>
              <w:rPr/>
            </w:pPr>
            <w:r>
              <w:rPr/>
              <w:t>Everest Re</w:t>
            </w:r>
          </w:p>
        </w:tc>
        <w:tc>
          <w:tcPr>
            <w:tcW w:w="3095" w:type="dxa"/>
            <w:tcBorders>
              <w:start w:val="single" w:sz="4" w:space="0" w:color="000000"/>
            </w:tcBorders>
          </w:tcPr>
          <w:p>
            <w:pPr>
              <w:pStyle w:val="CRNormal"/>
              <w:spacing w:before="60" w:after="60"/>
              <w:jc w:val="center"/>
              <w:rPr/>
            </w:pPr>
            <w:r>
              <w:rPr/>
              <w:t>-19.7</w:t>
            </w:r>
          </w:p>
        </w:tc>
        <w:tc>
          <w:tcPr>
            <w:tcW w:w="2918" w:type="dxa"/>
            <w:tcBorders>
              <w:start w:val="single" w:sz="4" w:space="0" w:color="000000"/>
              <w:end w:val="single" w:sz="4" w:space="0" w:color="000000"/>
            </w:tcBorders>
          </w:tcPr>
          <w:p>
            <w:pPr>
              <w:pStyle w:val="CRNormal"/>
              <w:spacing w:before="60" w:after="60"/>
              <w:jc w:val="center"/>
              <w:rPr/>
            </w:pPr>
            <w:r>
              <w:rPr/>
              <w:t>75</w:t>
            </w:r>
          </w:p>
        </w:tc>
      </w:tr>
      <w:tr>
        <w:trPr/>
        <w:tc>
          <w:tcPr>
            <w:tcW w:w="2627" w:type="dxa"/>
            <w:tcBorders>
              <w:start w:val="single" w:sz="4" w:space="0" w:color="000000"/>
            </w:tcBorders>
          </w:tcPr>
          <w:p>
            <w:pPr>
              <w:pStyle w:val="CRNormal"/>
              <w:spacing w:before="60" w:after="60"/>
              <w:rPr/>
            </w:pPr>
            <w:r>
              <w:rPr/>
              <w:t>Ge/Employer’s Re</w:t>
            </w:r>
          </w:p>
        </w:tc>
        <w:tc>
          <w:tcPr>
            <w:tcW w:w="3095" w:type="dxa"/>
            <w:tcBorders>
              <w:start w:val="single" w:sz="4" w:space="0" w:color="000000"/>
            </w:tcBorders>
          </w:tcPr>
          <w:p>
            <w:pPr>
              <w:pStyle w:val="CRNormal"/>
              <w:spacing w:before="60" w:after="60"/>
              <w:jc w:val="center"/>
              <w:rPr/>
            </w:pPr>
            <w:r>
              <w:rPr/>
              <w:t>-20.5</w:t>
            </w:r>
          </w:p>
        </w:tc>
        <w:tc>
          <w:tcPr>
            <w:tcW w:w="2918" w:type="dxa"/>
            <w:tcBorders>
              <w:start w:val="single" w:sz="4" w:space="0" w:color="000000"/>
              <w:end w:val="single" w:sz="4" w:space="0" w:color="000000"/>
            </w:tcBorders>
          </w:tcPr>
          <w:p>
            <w:pPr>
              <w:pStyle w:val="CRNormal"/>
              <w:spacing w:before="60" w:after="60"/>
              <w:jc w:val="center"/>
              <w:rPr/>
            </w:pPr>
            <w:r>
              <w:rPr/>
              <w:t>400</w:t>
            </w:r>
          </w:p>
        </w:tc>
      </w:tr>
      <w:tr>
        <w:trPr/>
        <w:tc>
          <w:tcPr>
            <w:tcW w:w="2627" w:type="dxa"/>
            <w:tcBorders>
              <w:start w:val="single" w:sz="4" w:space="0" w:color="000000"/>
            </w:tcBorders>
          </w:tcPr>
          <w:p>
            <w:pPr>
              <w:pStyle w:val="CRNormal"/>
              <w:spacing w:before="60" w:after="60"/>
              <w:rPr/>
            </w:pPr>
            <w:r>
              <w:rPr/>
              <w:t>Hannover Re</w:t>
            </w:r>
          </w:p>
        </w:tc>
        <w:tc>
          <w:tcPr>
            <w:tcW w:w="3095" w:type="dxa"/>
            <w:tcBorders>
              <w:start w:val="single" w:sz="4" w:space="0" w:color="000000"/>
            </w:tcBorders>
          </w:tcPr>
          <w:p>
            <w:pPr>
              <w:pStyle w:val="CRNormal"/>
              <w:spacing w:before="60" w:after="60"/>
              <w:jc w:val="center"/>
              <w:rPr/>
            </w:pPr>
            <w:r>
              <w:rPr/>
              <w:t>-46.0</w:t>
            </w:r>
          </w:p>
        </w:tc>
        <w:tc>
          <w:tcPr>
            <w:tcW w:w="2918" w:type="dxa"/>
            <w:tcBorders>
              <w:start w:val="single" w:sz="4" w:space="0" w:color="000000"/>
              <w:end w:val="single" w:sz="4" w:space="0" w:color="000000"/>
            </w:tcBorders>
          </w:tcPr>
          <w:p>
            <w:pPr>
              <w:pStyle w:val="CRNormal"/>
              <w:spacing w:before="60" w:after="60"/>
              <w:jc w:val="center"/>
              <w:rPr/>
            </w:pPr>
            <w:r>
              <w:rPr/>
              <w:t>370</w:t>
            </w:r>
          </w:p>
        </w:tc>
      </w:tr>
      <w:tr>
        <w:trPr/>
        <w:tc>
          <w:tcPr>
            <w:tcW w:w="2627" w:type="dxa"/>
            <w:tcBorders>
              <w:start w:val="single" w:sz="4" w:space="0" w:color="000000"/>
            </w:tcBorders>
          </w:tcPr>
          <w:p>
            <w:pPr>
              <w:pStyle w:val="CRNormal"/>
              <w:spacing w:before="60" w:after="60"/>
              <w:rPr/>
            </w:pPr>
            <w:r>
              <w:rPr/>
              <w:t>IPC Holdings</w:t>
            </w:r>
          </w:p>
        </w:tc>
        <w:tc>
          <w:tcPr>
            <w:tcW w:w="3095" w:type="dxa"/>
            <w:tcBorders>
              <w:start w:val="single" w:sz="4" w:space="0" w:color="000000"/>
            </w:tcBorders>
          </w:tcPr>
          <w:p>
            <w:pPr>
              <w:pStyle w:val="CRNormal"/>
              <w:spacing w:before="60" w:after="60"/>
              <w:jc w:val="center"/>
              <w:rPr/>
            </w:pPr>
            <w:r>
              <w:rPr/>
              <w:t>-20.6</w:t>
            </w:r>
          </w:p>
        </w:tc>
        <w:tc>
          <w:tcPr>
            <w:tcW w:w="2918" w:type="dxa"/>
            <w:tcBorders>
              <w:start w:val="single" w:sz="4" w:space="0" w:color="000000"/>
              <w:end w:val="single" w:sz="4" w:space="0" w:color="000000"/>
            </w:tcBorders>
          </w:tcPr>
          <w:p>
            <w:pPr>
              <w:pStyle w:val="CRNormal"/>
              <w:spacing w:before="60" w:after="60"/>
              <w:jc w:val="center"/>
              <w:rPr/>
            </w:pPr>
            <w:r>
              <w:rPr/>
              <w:t>75</w:t>
            </w:r>
          </w:p>
        </w:tc>
      </w:tr>
      <w:tr>
        <w:trPr/>
        <w:tc>
          <w:tcPr>
            <w:tcW w:w="2627" w:type="dxa"/>
            <w:tcBorders>
              <w:start w:val="single" w:sz="4" w:space="0" w:color="000000"/>
            </w:tcBorders>
          </w:tcPr>
          <w:p>
            <w:pPr>
              <w:pStyle w:val="CRNormal"/>
              <w:spacing w:before="60" w:after="60"/>
              <w:rPr/>
            </w:pPr>
            <w:r>
              <w:rPr/>
              <w:t>Lloyds of London</w:t>
            </w:r>
          </w:p>
        </w:tc>
        <w:tc>
          <w:tcPr>
            <w:tcW w:w="3095" w:type="dxa"/>
            <w:tcBorders>
              <w:start w:val="single" w:sz="4" w:space="0" w:color="000000"/>
            </w:tcBorders>
          </w:tcPr>
          <w:p>
            <w:pPr>
              <w:pStyle w:val="CRNormal"/>
              <w:snapToGrid w:val="false"/>
              <w:spacing w:before="60" w:after="60"/>
              <w:jc w:val="center"/>
              <w:rPr>
                <w:b/>
                <w:u w:val="single"/>
              </w:rPr>
            </w:pPr>
            <w:r>
              <w:rPr>
                <w:b/>
                <w:u w:val="single"/>
              </w:rPr>
            </w:r>
          </w:p>
        </w:tc>
        <w:tc>
          <w:tcPr>
            <w:tcW w:w="2918" w:type="dxa"/>
            <w:tcBorders>
              <w:start w:val="single" w:sz="4" w:space="0" w:color="000000"/>
              <w:end w:val="single" w:sz="4" w:space="0" w:color="000000"/>
            </w:tcBorders>
          </w:tcPr>
          <w:p>
            <w:pPr>
              <w:pStyle w:val="CRNormal"/>
              <w:spacing w:before="60" w:after="60"/>
              <w:jc w:val="center"/>
              <w:rPr/>
            </w:pPr>
            <w:r>
              <w:rPr/>
              <w:t>2,000</w:t>
            </w:r>
          </w:p>
        </w:tc>
      </w:tr>
      <w:tr>
        <w:trPr/>
        <w:tc>
          <w:tcPr>
            <w:tcW w:w="2627" w:type="dxa"/>
            <w:tcBorders>
              <w:start w:val="single" w:sz="4" w:space="0" w:color="000000"/>
            </w:tcBorders>
          </w:tcPr>
          <w:p>
            <w:pPr>
              <w:pStyle w:val="CRNormal"/>
              <w:spacing w:before="60" w:after="60"/>
              <w:rPr/>
            </w:pPr>
            <w:r>
              <w:rPr/>
              <w:t>Munich Re*</w:t>
            </w:r>
          </w:p>
        </w:tc>
        <w:tc>
          <w:tcPr>
            <w:tcW w:w="3095" w:type="dxa"/>
            <w:tcBorders>
              <w:start w:val="single" w:sz="4" w:space="0" w:color="000000"/>
            </w:tcBorders>
          </w:tcPr>
          <w:p>
            <w:pPr>
              <w:pStyle w:val="CRNormal"/>
              <w:spacing w:before="60" w:after="60"/>
              <w:jc w:val="center"/>
              <w:rPr/>
            </w:pPr>
            <w:r>
              <w:rPr/>
              <w:t>-12.6</w:t>
            </w:r>
          </w:p>
        </w:tc>
        <w:tc>
          <w:tcPr>
            <w:tcW w:w="2918" w:type="dxa"/>
            <w:tcBorders>
              <w:start w:val="single" w:sz="4" w:space="0" w:color="000000"/>
              <w:end w:val="single" w:sz="4" w:space="0" w:color="000000"/>
            </w:tcBorders>
          </w:tcPr>
          <w:p>
            <w:pPr>
              <w:pStyle w:val="CRNormal"/>
              <w:spacing w:before="60" w:after="60"/>
              <w:jc w:val="center"/>
              <w:rPr/>
            </w:pPr>
            <w:r>
              <w:rPr/>
              <w:t>2,000</w:t>
            </w:r>
          </w:p>
        </w:tc>
      </w:tr>
      <w:tr>
        <w:trPr/>
        <w:tc>
          <w:tcPr>
            <w:tcW w:w="2627" w:type="dxa"/>
            <w:tcBorders>
              <w:start w:val="single" w:sz="4" w:space="0" w:color="000000"/>
              <w:bottom w:val="single" w:sz="4" w:space="0" w:color="000000"/>
            </w:tcBorders>
          </w:tcPr>
          <w:p>
            <w:pPr>
              <w:pStyle w:val="CRNormal"/>
              <w:spacing w:before="60" w:after="60"/>
              <w:rPr/>
            </w:pPr>
            <w:r>
              <w:rPr/>
              <w:t>Odyssey Re</w:t>
            </w:r>
          </w:p>
        </w:tc>
        <w:tc>
          <w:tcPr>
            <w:tcW w:w="3095" w:type="dxa"/>
            <w:tcBorders>
              <w:start w:val="single" w:sz="4" w:space="0" w:color="000000"/>
              <w:bottom w:val="single" w:sz="4" w:space="0" w:color="000000"/>
            </w:tcBorders>
          </w:tcPr>
          <w:p>
            <w:pPr>
              <w:pStyle w:val="CRNormal"/>
              <w:spacing w:before="60" w:after="60"/>
              <w:jc w:val="center"/>
              <w:rPr/>
            </w:pPr>
            <w:r>
              <w:rPr/>
              <w:t>-31.5</w:t>
            </w:r>
          </w:p>
        </w:tc>
        <w:tc>
          <w:tcPr>
            <w:tcW w:w="2918" w:type="dxa"/>
            <w:tcBorders>
              <w:start w:val="single" w:sz="4" w:space="0" w:color="000000"/>
              <w:bottom w:val="single" w:sz="4" w:space="0" w:color="000000"/>
              <w:end w:val="single" w:sz="4" w:space="0" w:color="000000"/>
            </w:tcBorders>
          </w:tcPr>
          <w:p>
            <w:pPr>
              <w:pStyle w:val="CRNormal"/>
              <w:spacing w:before="60" w:after="60"/>
              <w:jc w:val="center"/>
              <w:rPr/>
            </w:pPr>
            <w:r>
              <w:rPr/>
              <w:t>80</w:t>
            </w:r>
          </w:p>
        </w:tc>
      </w:tr>
    </w:tbl>
    <w:p>
      <w:pPr>
        <w:pStyle w:val="CRNormal"/>
        <w:rPr/>
      </w:pPr>
      <w:r>
        <w:rPr/>
      </w:r>
    </w:p>
    <w:tbl>
      <w:tblPr>
        <w:tblW w:w="8640" w:type="dxa"/>
        <w:jc w:val="start"/>
        <w:tblInd w:w="468" w:type="dxa"/>
        <w:tblLayout w:type="fixed"/>
        <w:tblCellMar>
          <w:top w:w="0" w:type="dxa"/>
          <w:start w:w="108" w:type="dxa"/>
          <w:bottom w:w="0" w:type="dxa"/>
          <w:end w:w="108" w:type="dxa"/>
        </w:tblCellMar>
      </w:tblPr>
      <w:tblGrid>
        <w:gridCol w:w="2627"/>
        <w:gridCol w:w="3095"/>
        <w:gridCol w:w="2918"/>
      </w:tblGrid>
      <w:tr>
        <w:trPr/>
        <w:tc>
          <w:tcPr>
            <w:tcW w:w="2627" w:type="dxa"/>
            <w:tcBorders>
              <w:top w:val="single" w:sz="4" w:space="0" w:color="000000"/>
              <w:start w:val="single" w:sz="4" w:space="0" w:color="000000"/>
            </w:tcBorders>
          </w:tcPr>
          <w:p>
            <w:pPr>
              <w:pStyle w:val="CRNormal"/>
              <w:spacing w:before="60" w:after="60"/>
              <w:rPr/>
            </w:pPr>
            <w:r>
              <w:rPr/>
              <w:t>Partner Re</w:t>
            </w:r>
          </w:p>
        </w:tc>
        <w:tc>
          <w:tcPr>
            <w:tcW w:w="3095" w:type="dxa"/>
            <w:tcBorders>
              <w:top w:val="single" w:sz="4" w:space="0" w:color="000000"/>
              <w:start w:val="single" w:sz="4" w:space="0" w:color="000000"/>
            </w:tcBorders>
          </w:tcPr>
          <w:p>
            <w:pPr>
              <w:pStyle w:val="CRNormal"/>
              <w:spacing w:before="60" w:after="60"/>
              <w:jc w:val="center"/>
              <w:rPr/>
            </w:pPr>
            <w:r>
              <w:rPr/>
              <w:t>-28.3</w:t>
            </w:r>
          </w:p>
        </w:tc>
        <w:tc>
          <w:tcPr>
            <w:tcW w:w="2918" w:type="dxa"/>
            <w:tcBorders>
              <w:top w:val="single" w:sz="4" w:space="0" w:color="000000"/>
              <w:start w:val="single" w:sz="4" w:space="0" w:color="000000"/>
              <w:end w:val="single" w:sz="4" w:space="0" w:color="000000"/>
            </w:tcBorders>
          </w:tcPr>
          <w:p>
            <w:pPr>
              <w:pStyle w:val="CRNormal"/>
              <w:spacing w:before="60" w:after="60"/>
              <w:jc w:val="center"/>
              <w:rPr/>
            </w:pPr>
            <w:r>
              <w:rPr/>
              <w:t>350-400</w:t>
            </w:r>
          </w:p>
        </w:tc>
      </w:tr>
      <w:tr>
        <w:trPr/>
        <w:tc>
          <w:tcPr>
            <w:tcW w:w="2627" w:type="dxa"/>
            <w:tcBorders>
              <w:start w:val="single" w:sz="4" w:space="0" w:color="000000"/>
            </w:tcBorders>
          </w:tcPr>
          <w:p>
            <w:pPr>
              <w:pStyle w:val="CRNormal"/>
              <w:spacing w:before="60" w:after="60"/>
              <w:rPr/>
            </w:pPr>
            <w:r>
              <w:rPr/>
              <w:t>Renaissance Re</w:t>
            </w:r>
          </w:p>
        </w:tc>
        <w:tc>
          <w:tcPr>
            <w:tcW w:w="3095" w:type="dxa"/>
            <w:tcBorders>
              <w:start w:val="single" w:sz="4" w:space="0" w:color="000000"/>
            </w:tcBorders>
          </w:tcPr>
          <w:p>
            <w:pPr>
              <w:pStyle w:val="CRNormal"/>
              <w:spacing w:before="60" w:after="60"/>
              <w:jc w:val="center"/>
              <w:rPr/>
            </w:pPr>
            <w:r>
              <w:rPr/>
              <w:t>4.1</w:t>
            </w:r>
          </w:p>
        </w:tc>
        <w:tc>
          <w:tcPr>
            <w:tcW w:w="2918" w:type="dxa"/>
            <w:tcBorders>
              <w:start w:val="single" w:sz="4" w:space="0" w:color="000000"/>
              <w:end w:val="single" w:sz="4" w:space="0" w:color="000000"/>
            </w:tcBorders>
          </w:tcPr>
          <w:p>
            <w:pPr>
              <w:pStyle w:val="CRNormal"/>
              <w:spacing w:before="60" w:after="60"/>
              <w:jc w:val="center"/>
              <w:rPr/>
            </w:pPr>
            <w:r>
              <w:rPr/>
              <w:t>45</w:t>
            </w:r>
          </w:p>
        </w:tc>
      </w:tr>
      <w:tr>
        <w:trPr/>
        <w:tc>
          <w:tcPr>
            <w:tcW w:w="2627" w:type="dxa"/>
            <w:tcBorders>
              <w:start w:val="single" w:sz="4" w:space="0" w:color="000000"/>
            </w:tcBorders>
          </w:tcPr>
          <w:p>
            <w:pPr>
              <w:pStyle w:val="CRNormal"/>
              <w:spacing w:before="60" w:after="60"/>
              <w:rPr/>
            </w:pPr>
            <w:r>
              <w:rPr/>
              <w:t>SCOR</w:t>
            </w:r>
          </w:p>
        </w:tc>
        <w:tc>
          <w:tcPr>
            <w:tcW w:w="3095" w:type="dxa"/>
            <w:tcBorders>
              <w:start w:val="single" w:sz="4" w:space="0" w:color="000000"/>
            </w:tcBorders>
          </w:tcPr>
          <w:p>
            <w:pPr>
              <w:pStyle w:val="CRNormal"/>
              <w:spacing w:before="60" w:after="60"/>
              <w:jc w:val="center"/>
              <w:rPr/>
            </w:pPr>
            <w:r>
              <w:rPr/>
              <w:t>-40.6</w:t>
            </w:r>
          </w:p>
        </w:tc>
        <w:tc>
          <w:tcPr>
            <w:tcW w:w="2918" w:type="dxa"/>
            <w:tcBorders>
              <w:start w:val="single" w:sz="4" w:space="0" w:color="000000"/>
              <w:end w:val="single" w:sz="4" w:space="0" w:color="000000"/>
            </w:tcBorders>
          </w:tcPr>
          <w:p>
            <w:pPr>
              <w:pStyle w:val="CRNormal"/>
              <w:spacing w:before="60" w:after="60"/>
              <w:jc w:val="center"/>
              <w:rPr/>
            </w:pPr>
            <w:r>
              <w:rPr/>
              <w:t>150-200</w:t>
            </w:r>
          </w:p>
        </w:tc>
      </w:tr>
      <w:tr>
        <w:trPr/>
        <w:tc>
          <w:tcPr>
            <w:tcW w:w="2627" w:type="dxa"/>
            <w:tcBorders>
              <w:start w:val="single" w:sz="4" w:space="0" w:color="000000"/>
            </w:tcBorders>
          </w:tcPr>
          <w:p>
            <w:pPr>
              <w:pStyle w:val="CRNormal"/>
              <w:spacing w:before="60" w:after="60"/>
              <w:rPr/>
            </w:pPr>
            <w:r>
              <w:rPr/>
              <w:t>St. Pauls</w:t>
            </w:r>
          </w:p>
        </w:tc>
        <w:tc>
          <w:tcPr>
            <w:tcW w:w="3095" w:type="dxa"/>
            <w:tcBorders>
              <w:start w:val="single" w:sz="4" w:space="0" w:color="000000"/>
            </w:tcBorders>
          </w:tcPr>
          <w:p>
            <w:pPr>
              <w:pStyle w:val="CRNormal"/>
              <w:spacing w:before="60" w:after="60"/>
              <w:jc w:val="center"/>
              <w:rPr/>
            </w:pPr>
            <w:r>
              <w:rPr/>
              <w:t>-13.9</w:t>
            </w:r>
          </w:p>
        </w:tc>
        <w:tc>
          <w:tcPr>
            <w:tcW w:w="2918" w:type="dxa"/>
            <w:tcBorders>
              <w:start w:val="single" w:sz="4" w:space="0" w:color="000000"/>
              <w:end w:val="single" w:sz="4" w:space="0" w:color="000000"/>
            </w:tcBorders>
          </w:tcPr>
          <w:p>
            <w:pPr>
              <w:pStyle w:val="CRNormal"/>
              <w:spacing w:before="60" w:after="60"/>
              <w:jc w:val="center"/>
              <w:rPr/>
            </w:pPr>
            <w:r>
              <w:rPr/>
              <w:t>700</w:t>
            </w:r>
          </w:p>
        </w:tc>
      </w:tr>
      <w:tr>
        <w:trPr/>
        <w:tc>
          <w:tcPr>
            <w:tcW w:w="2627" w:type="dxa"/>
            <w:tcBorders>
              <w:start w:val="single" w:sz="4" w:space="0" w:color="000000"/>
            </w:tcBorders>
          </w:tcPr>
          <w:p>
            <w:pPr>
              <w:pStyle w:val="CRNormal"/>
              <w:spacing w:before="60" w:after="60"/>
              <w:rPr/>
            </w:pPr>
            <w:r>
              <w:rPr/>
              <w:t>Swiss Re*</w:t>
            </w:r>
          </w:p>
        </w:tc>
        <w:tc>
          <w:tcPr>
            <w:tcW w:w="3095" w:type="dxa"/>
            <w:tcBorders>
              <w:start w:val="single" w:sz="4" w:space="0" w:color="000000"/>
            </w:tcBorders>
          </w:tcPr>
          <w:p>
            <w:pPr>
              <w:pStyle w:val="CRNormal"/>
              <w:spacing w:before="60" w:after="60"/>
              <w:jc w:val="center"/>
              <w:rPr/>
            </w:pPr>
            <w:r>
              <w:rPr/>
              <w:t>-15.4</w:t>
            </w:r>
          </w:p>
        </w:tc>
        <w:tc>
          <w:tcPr>
            <w:tcW w:w="2918" w:type="dxa"/>
            <w:tcBorders>
              <w:start w:val="single" w:sz="4" w:space="0" w:color="000000"/>
              <w:end w:val="single" w:sz="4" w:space="0" w:color="000000"/>
            </w:tcBorders>
          </w:tcPr>
          <w:p>
            <w:pPr>
              <w:pStyle w:val="CRNormal"/>
              <w:spacing w:before="60" w:after="60"/>
              <w:jc w:val="center"/>
              <w:rPr/>
            </w:pPr>
            <w:r>
              <w:rPr/>
              <w:t>1,250</w:t>
            </w:r>
          </w:p>
        </w:tc>
      </w:tr>
      <w:tr>
        <w:trPr/>
        <w:tc>
          <w:tcPr>
            <w:tcW w:w="2627" w:type="dxa"/>
            <w:tcBorders>
              <w:start w:val="single" w:sz="4" w:space="0" w:color="000000"/>
            </w:tcBorders>
          </w:tcPr>
          <w:p>
            <w:pPr>
              <w:pStyle w:val="CRNormal"/>
              <w:spacing w:before="60" w:after="60"/>
              <w:rPr/>
            </w:pPr>
            <w:r>
              <w:rPr/>
              <w:t>Transatlantic Holdings</w:t>
            </w:r>
          </w:p>
        </w:tc>
        <w:tc>
          <w:tcPr>
            <w:tcW w:w="3095" w:type="dxa"/>
            <w:tcBorders>
              <w:start w:val="single" w:sz="4" w:space="0" w:color="000000"/>
            </w:tcBorders>
          </w:tcPr>
          <w:p>
            <w:pPr>
              <w:pStyle w:val="CRNormal"/>
              <w:spacing w:before="60" w:after="60"/>
              <w:jc w:val="center"/>
              <w:rPr/>
            </w:pPr>
            <w:r>
              <w:rPr/>
              <w:t>-1.3</w:t>
            </w:r>
          </w:p>
        </w:tc>
        <w:tc>
          <w:tcPr>
            <w:tcW w:w="2918" w:type="dxa"/>
            <w:tcBorders>
              <w:start w:val="single" w:sz="4" w:space="0" w:color="000000"/>
              <w:end w:val="single" w:sz="4" w:space="0" w:color="000000"/>
            </w:tcBorders>
          </w:tcPr>
          <w:p>
            <w:pPr>
              <w:pStyle w:val="CRNormal"/>
              <w:spacing w:before="60" w:after="60"/>
              <w:jc w:val="center"/>
              <w:rPr/>
            </w:pPr>
            <w:r>
              <w:rPr/>
              <w:t>100</w:t>
            </w:r>
          </w:p>
        </w:tc>
      </w:tr>
      <w:tr>
        <w:trPr/>
        <w:tc>
          <w:tcPr>
            <w:tcW w:w="2627" w:type="dxa"/>
            <w:tcBorders>
              <w:start w:val="single" w:sz="4" w:space="0" w:color="000000"/>
            </w:tcBorders>
          </w:tcPr>
          <w:p>
            <w:pPr>
              <w:pStyle w:val="CRNormal"/>
              <w:spacing w:before="60" w:after="60"/>
              <w:rPr/>
            </w:pPr>
            <w:r>
              <w:rPr/>
              <w:t>Trenwick Group</w:t>
            </w:r>
          </w:p>
        </w:tc>
        <w:tc>
          <w:tcPr>
            <w:tcW w:w="3095" w:type="dxa"/>
            <w:tcBorders>
              <w:start w:val="single" w:sz="4" w:space="0" w:color="000000"/>
            </w:tcBorders>
          </w:tcPr>
          <w:p>
            <w:pPr>
              <w:pStyle w:val="CRNormal"/>
              <w:spacing w:before="60" w:after="60"/>
              <w:jc w:val="center"/>
              <w:rPr/>
            </w:pPr>
            <w:r>
              <w:rPr/>
              <w:t>-53.7</w:t>
            </w:r>
          </w:p>
        </w:tc>
        <w:tc>
          <w:tcPr>
            <w:tcW w:w="2918" w:type="dxa"/>
            <w:tcBorders>
              <w:start w:val="single" w:sz="4" w:space="0" w:color="000000"/>
              <w:end w:val="single" w:sz="4" w:space="0" w:color="000000"/>
            </w:tcBorders>
          </w:tcPr>
          <w:p>
            <w:pPr>
              <w:pStyle w:val="CRNormal"/>
              <w:spacing w:before="60" w:after="60"/>
              <w:jc w:val="center"/>
              <w:rPr/>
            </w:pPr>
            <w:r>
              <w:rPr/>
              <w:t>50-75</w:t>
            </w:r>
          </w:p>
        </w:tc>
      </w:tr>
      <w:tr>
        <w:trPr/>
        <w:tc>
          <w:tcPr>
            <w:tcW w:w="2627" w:type="dxa"/>
            <w:tcBorders>
              <w:start w:val="single" w:sz="4" w:space="0" w:color="000000"/>
            </w:tcBorders>
          </w:tcPr>
          <w:p>
            <w:pPr>
              <w:pStyle w:val="CRNormal"/>
              <w:spacing w:before="60" w:after="60"/>
              <w:rPr/>
            </w:pPr>
            <w:r>
              <w:rPr/>
              <w:t>XL Capital</w:t>
            </w:r>
          </w:p>
        </w:tc>
        <w:tc>
          <w:tcPr>
            <w:tcW w:w="3095" w:type="dxa"/>
            <w:tcBorders>
              <w:start w:val="single" w:sz="4" w:space="0" w:color="000000"/>
            </w:tcBorders>
          </w:tcPr>
          <w:p>
            <w:pPr>
              <w:pStyle w:val="CRNormal"/>
              <w:spacing w:before="60" w:after="60"/>
              <w:jc w:val="center"/>
              <w:rPr/>
            </w:pPr>
            <w:r>
              <w:rPr/>
              <w:t>-24.4</w:t>
            </w:r>
          </w:p>
        </w:tc>
        <w:tc>
          <w:tcPr>
            <w:tcW w:w="2918" w:type="dxa"/>
            <w:tcBorders>
              <w:start w:val="single" w:sz="4" w:space="0" w:color="000000"/>
              <w:end w:val="single" w:sz="4" w:space="0" w:color="000000"/>
            </w:tcBorders>
          </w:tcPr>
          <w:p>
            <w:pPr>
              <w:pStyle w:val="CRNormal"/>
              <w:spacing w:before="60" w:after="60"/>
              <w:jc w:val="center"/>
              <w:rPr/>
            </w:pPr>
            <w:r>
              <w:rPr/>
              <w:t>600-700</w:t>
            </w:r>
          </w:p>
        </w:tc>
      </w:tr>
      <w:tr>
        <w:trPr/>
        <w:tc>
          <w:tcPr>
            <w:tcW w:w="2627" w:type="dxa"/>
            <w:tcBorders>
              <w:start w:val="single" w:sz="4" w:space="0" w:color="000000"/>
              <w:bottom w:val="single" w:sz="4" w:space="0" w:color="000000"/>
            </w:tcBorders>
          </w:tcPr>
          <w:p>
            <w:pPr>
              <w:pStyle w:val="CRNormal"/>
              <w:spacing w:before="60" w:after="60"/>
              <w:rPr/>
            </w:pPr>
            <w:r>
              <w:rPr/>
              <w:t>Zurich Financial*</w:t>
            </w:r>
          </w:p>
        </w:tc>
        <w:tc>
          <w:tcPr>
            <w:tcW w:w="3095" w:type="dxa"/>
            <w:tcBorders>
              <w:start w:val="single" w:sz="4" w:space="0" w:color="000000"/>
              <w:bottom w:val="single" w:sz="4" w:space="0" w:color="000000"/>
            </w:tcBorders>
          </w:tcPr>
          <w:p>
            <w:pPr>
              <w:pStyle w:val="CRNormal"/>
              <w:spacing w:before="60" w:after="60"/>
              <w:jc w:val="center"/>
              <w:rPr/>
            </w:pPr>
            <w:r>
              <w:rPr/>
              <w:t>-37.7</w:t>
            </w:r>
          </w:p>
        </w:tc>
        <w:tc>
          <w:tcPr>
            <w:tcW w:w="2918" w:type="dxa"/>
            <w:tcBorders>
              <w:start w:val="single" w:sz="4" w:space="0" w:color="000000"/>
              <w:bottom w:val="single" w:sz="4" w:space="0" w:color="000000"/>
              <w:end w:val="single" w:sz="4" w:space="0" w:color="000000"/>
            </w:tcBorders>
          </w:tcPr>
          <w:p>
            <w:pPr>
              <w:pStyle w:val="CRNormal"/>
              <w:spacing w:before="60" w:after="60"/>
              <w:jc w:val="center"/>
              <w:rPr/>
            </w:pPr>
            <w:r>
              <w:rPr/>
              <w:t>&lt;400</w:t>
            </w:r>
          </w:p>
        </w:tc>
      </w:tr>
    </w:tbl>
    <w:p>
      <w:pPr>
        <w:pStyle w:val="CRNormal"/>
        <w:tabs>
          <w:tab w:val="clear" w:pos="720"/>
          <w:tab w:val="left" w:pos="7380" w:leader="none"/>
        </w:tabs>
        <w:ind w:start="360" w:end="0"/>
        <w:rPr>
          <w:i/>
          <w:i/>
          <w:sz w:val="18"/>
        </w:rPr>
      </w:pPr>
      <w:r>
        <w:rPr>
          <w:i/>
          <w:sz w:val="18"/>
        </w:rPr>
        <w:t>Note: * represents foreign-traded firms. ** Allianz details to follow.</w:t>
      </w:r>
    </w:p>
    <w:p>
      <w:pPr>
        <w:pStyle w:val="Normal"/>
        <w:rPr>
          <w:i/>
          <w:i/>
          <w:sz w:val="18"/>
        </w:rPr>
      </w:pPr>
      <w:r>
        <w:rPr>
          <w:i/>
          <w:sz w:val="18"/>
        </w:rPr>
      </w:r>
    </w:p>
    <w:sectPr>
      <w:headerReference w:type="default" r:id="rId4"/>
      <w:footerReference w:type="default" r:id="rId5"/>
      <w:type w:val="nextPage"/>
      <w:pgSz w:w="12240" w:h="15840"/>
      <w:pgMar w:left="1440" w:right="1440" w:gutter="0" w:header="432" w:top="1440" w:footer="432"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fldChar w:fldCharType="begin"/>
    </w:r>
    <w:r>
      <w:rPr/>
      <w:instrText xml:space="preserve"> DATE \@"dddd', 'MMMM\ dd', 'yyyy" </w:instrText>
    </w:r>
    <w:r>
      <w:rPr/>
      <w:fldChar w:fldCharType="separate"/>
    </w:r>
    <w:r>
      <w:rPr/>
      <w:t>Sunday, September 28, 2025</w:t>
    </w:r>
    <w:r>
      <w:rPr/>
      <w:fldChar w:fldCharType="end"/>
    </w:r>
    <w:r>
      <mc:AlternateContent>
        <mc:Choice Requires="wps">
          <w:drawing>
            <wp:anchor behindDoc="0" distT="0" distB="0" distL="0" distR="0" simplePos="0" locked="0" layoutInCell="0" allowOverlap="1" relativeHeight="8">
              <wp:simplePos x="0" y="0"/>
              <wp:positionH relativeFrom="margin">
                <wp:align>right</wp:align>
              </wp:positionH>
              <wp:positionV relativeFrom="paragraph">
                <wp:posOffset>635</wp:posOffset>
              </wp:positionV>
              <wp:extent cx="64135" cy="146685"/>
              <wp:effectExtent l="0" t="0" r="0" b="0"/>
              <wp:wrapSquare wrapText="bothSides"/>
              <wp:docPr id="1"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62.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p>
    <w:pPr>
      <w:pStyle w:val="Footer"/>
      <w:ind w:end="3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color w:val="FF0000"/>
        <w:sz w:val="28"/>
      </w:rPr>
    </w:pPr>
    <w:r>
      <w:rPr>
        <w:b/>
        <w:color w:val="FF0000"/>
        <w:sz w:val="28"/>
      </w:rPr>
      <w:t>Confidential</w:t>
    </w:r>
  </w:p>
  <w:p>
    <w:pPr>
      <w:pStyle w:val="Header"/>
      <w:jc w:val="center"/>
      <w:rPr>
        <w:color w:val="FF0000"/>
        <w:sz w:val="28"/>
      </w:rPr>
    </w:pPr>
    <w:r>
      <w:rPr>
        <w:color w:val="FF0000"/>
        <w:sz w:val="28"/>
      </w:rPr>
      <w:t>No Further Dissemination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0" w:hanging="0"/>
      </w:p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32"/>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outlineLvl w:val="3"/>
    </w:pPr>
    <w:rPr>
      <w:b/>
      <w:sz w:val="24"/>
      <w:u w:val="single"/>
    </w:rPr>
  </w:style>
  <w:style w:type="paragraph" w:styleId="Heading5">
    <w:name w:val="heading 5"/>
    <w:basedOn w:val="Normal"/>
    <w:next w:val="Normal"/>
    <w:qFormat/>
    <w:pPr>
      <w:keepNext w:val="true"/>
      <w:numPr>
        <w:ilvl w:val="4"/>
        <w:numId w:val="1"/>
      </w:numPr>
      <w:outlineLvl w:val="4"/>
    </w:pPr>
    <w:rPr>
      <w:sz w:val="24"/>
    </w:rPr>
  </w:style>
  <w:style w:type="paragraph" w:styleId="Heading6">
    <w:name w:val="heading 6"/>
    <w:basedOn w:val="Normal"/>
    <w:next w:val="Normal"/>
    <w:qFormat/>
    <w:pPr>
      <w:keepNext w:val="true"/>
      <w:numPr>
        <w:ilvl w:val="5"/>
        <w:numId w:val="1"/>
      </w:numPr>
      <w:outlineLvl w:val="5"/>
    </w:pPr>
    <w:rPr>
      <w:b/>
      <w:i/>
      <w:sz w:val="24"/>
    </w:rPr>
  </w:style>
  <w:style w:type="paragraph" w:styleId="Heading7">
    <w:name w:val="heading 7"/>
    <w:basedOn w:val="Normal"/>
    <w:next w:val="Normal"/>
    <w:qFormat/>
    <w:pPr>
      <w:keepNext w:val="true"/>
      <w:numPr>
        <w:ilvl w:val="6"/>
        <w:numId w:val="1"/>
      </w:numPr>
      <w:outlineLvl w:val="6"/>
    </w:pPr>
    <w:rPr>
      <w:sz w:val="24"/>
      <w:u w:val="single"/>
    </w:rPr>
  </w:style>
  <w:style w:type="paragraph" w:styleId="Heading8">
    <w:name w:val="heading 8"/>
    <w:basedOn w:val="Normal"/>
    <w:next w:val="Normal"/>
    <w:qFormat/>
    <w:pPr>
      <w:keepNext w:val="true"/>
      <w:numPr>
        <w:ilvl w:val="7"/>
        <w:numId w:val="1"/>
      </w:numPr>
      <w:outlineLvl w:val="7"/>
    </w:pPr>
    <w:rPr>
      <w:i/>
      <w:sz w:val="24"/>
    </w:rPr>
  </w:style>
  <w:style w:type="paragraph" w:styleId="Heading9">
    <w:name w:val="heading 9"/>
    <w:basedOn w:val="Normal"/>
    <w:next w:val="Normal"/>
    <w:qFormat/>
    <w:pPr>
      <w:keepNext w:val="true"/>
      <w:numPr>
        <w:ilvl w:val="8"/>
        <w:numId w:val="1"/>
      </w:numPr>
      <w:outlineLvl w:val="8"/>
    </w:pPr>
    <w:rPr>
      <w:rFonts w:ascii="Garamond" w:hAnsi="Garamond" w:cs="Garamond"/>
      <w:sz w:val="24"/>
    </w:rPr>
  </w:style>
  <w:style w:type="character" w:styleId="WW8Num1z0">
    <w:name w:val="WW8Num1z0"/>
    <w:qFormat/>
    <w:rPr>
      <w:rFonts w:ascii="Symbol" w:hAnsi="Symbol" w:cs="Symbol"/>
    </w:rPr>
  </w:style>
  <w:style w:type="character" w:styleId="WW8Num3z0">
    <w:name w:val="WW8Num3z0"/>
    <w:qFormat/>
    <w:rPr/>
  </w:style>
  <w:style w:type="character" w:styleId="WW8Num4z0">
    <w:name w:val="WW8Num4z0"/>
    <w:qFormat/>
    <w:rPr>
      <w:rFonts w:ascii="Symbol" w:hAnsi="Symbol" w:cs="Symbol"/>
      <w:sz w:val="24"/>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Wingdings" w:hAnsi="Wingdings" w:cs="Wingdings"/>
      <w:sz w:val="16"/>
    </w:rPr>
  </w:style>
  <w:style w:type="character" w:styleId="WW8Num6z0">
    <w:name w:val="WW8Num6z0"/>
    <w:qFormat/>
    <w:rPr>
      <w:b w:val="false"/>
      <w:i w:val="false"/>
    </w:rPr>
  </w:style>
  <w:style w:type="character" w:styleId="WW8Num7z0">
    <w:name w:val="WW8Num7z0"/>
    <w:qFormat/>
    <w:rPr/>
  </w:style>
  <w:style w:type="character" w:styleId="WW8Num8z0">
    <w:name w:val="WW8Num8z0"/>
    <w:qFormat/>
    <w:rPr/>
  </w:style>
  <w:style w:type="character" w:styleId="WW8Num9z0">
    <w:name w:val="WW8Num9z0"/>
    <w:qFormat/>
    <w:rPr>
      <w:b/>
      <w:i w:val="false"/>
    </w:rPr>
  </w:style>
  <w:style w:type="character" w:styleId="WW8Num10z0">
    <w:name w:val="WW8Num10z0"/>
    <w:qFormat/>
    <w:rPr>
      <w:b/>
      <w:i w:val="false"/>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style>
  <w:style w:type="character" w:styleId="WW8Num14z0">
    <w:name w:val="WW8Num14z0"/>
    <w:qFormat/>
    <w:rPr>
      <w:b w:val="false"/>
      <w:i w:val="false"/>
    </w:rPr>
  </w:style>
  <w:style w:type="character" w:styleId="WW8Num15z0">
    <w:name w:val="WW8Num15z0"/>
    <w:qFormat/>
    <w:rPr>
      <w:rFonts w:ascii="Symbol" w:hAnsi="Symbol" w:cs="Symbol"/>
      <w:spacing w:val="0"/>
      <w:position w:val="0"/>
      <w:sz w:val="20"/>
      <w:sz w:val="20"/>
      <w:vertAlign w:val="baseline"/>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style>
  <w:style w:type="character" w:styleId="WW8Num17z0">
    <w:name w:val="WW8Num17z0"/>
    <w:qFormat/>
    <w:rPr>
      <w:b/>
      <w:i w:val="false"/>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rFonts w:ascii="Wingdings" w:hAnsi="Wingdings" w:cs="Wingdings"/>
      <w:sz w:val="16"/>
    </w:rPr>
  </w:style>
  <w:style w:type="character" w:styleId="WW8Num22z0">
    <w:name w:val="WW8Num22z0"/>
    <w:qFormat/>
    <w:rPr/>
  </w:style>
  <w:style w:type="character" w:styleId="WW8Num23z0">
    <w:name w:val="WW8Num23z0"/>
    <w:qFormat/>
    <w:rPr/>
  </w:style>
  <w:style w:type="character" w:styleId="WW8Num25z0">
    <w:name w:val="WW8Num25z0"/>
    <w:qFormat/>
    <w:rPr>
      <w:b/>
      <w:i w:val="false"/>
    </w:rPr>
  </w:style>
  <w:style w:type="character" w:styleId="WW8Num26z0">
    <w:name w:val="WW8Num26z0"/>
    <w:qFormat/>
    <w:rPr>
      <w:rFonts w:ascii="Symbol" w:hAnsi="Symbol" w:cs="Symbol"/>
      <w:color w:val="auto"/>
    </w:rPr>
  </w:style>
  <w:style w:type="character" w:styleId="WW8Num27z0">
    <w:name w:val="WW8Num27z0"/>
    <w:qFormat/>
    <w:rPr>
      <w:rFonts w:ascii="Symbol" w:hAnsi="Symbol" w:cs="Symbol"/>
      <w:color w:val="auto"/>
      <w:sz w:val="28"/>
    </w:rPr>
  </w:style>
  <w:style w:type="character" w:styleId="WW8Num28z0">
    <w:name w:val="WW8Num28z0"/>
    <w:qFormat/>
    <w:rPr>
      <w:rFonts w:ascii="Symbol" w:hAnsi="Symbol" w:cs="Symbol"/>
    </w:rPr>
  </w:style>
  <w:style w:type="character" w:styleId="WW8Num29z0">
    <w:name w:val="WW8Num29z0"/>
    <w:qFormat/>
    <w:rPr>
      <w:rFonts w:ascii="Symbol" w:hAnsi="Symbol" w:cs="Symbol"/>
      <w:sz w:val="24"/>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29z4">
    <w:name w:val="WW8Num29z4"/>
    <w:qFormat/>
    <w:rPr>
      <w:rFonts w:ascii="Courier New" w:hAnsi="Courier New" w:cs="Courier New"/>
    </w:rPr>
  </w:style>
  <w:style w:type="character" w:styleId="WW8Num30z0">
    <w:name w:val="WW8Num30z0"/>
    <w:qFormat/>
    <w:rPr/>
  </w:style>
  <w:style w:type="character" w:styleId="WW8Num31z0">
    <w:name w:val="WW8Num31z0"/>
    <w:qFormat/>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4z0">
    <w:name w:val="WW8Num34z0"/>
    <w:qFormat/>
    <w:rPr>
      <w:b/>
    </w:rPr>
  </w:style>
  <w:style w:type="character" w:styleId="WW8Num35z0">
    <w:name w:val="WW8Num35z0"/>
    <w:qFormat/>
    <w:rPr/>
  </w:style>
  <w:style w:type="character" w:styleId="WW8Num36z0">
    <w:name w:val="WW8Num36z0"/>
    <w:qFormat/>
    <w:rPr>
      <w:b/>
      <w:i w:val="false"/>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5">
    <w:name w:val="WW8Num37z5"/>
    <w:qFormat/>
    <w:rPr>
      <w:rFonts w:ascii="Wingdings" w:hAnsi="Wingdings" w:cs="Wingdings"/>
    </w:rPr>
  </w:style>
  <w:style w:type="character" w:styleId="WW8Num38z0">
    <w:name w:val="WW8Num38z0"/>
    <w:qFormat/>
    <w:rPr>
      <w:rFonts w:ascii="Symbol" w:hAnsi="Symbol" w:cs="Symbol"/>
    </w:rPr>
  </w:style>
  <w:style w:type="character" w:styleId="WW8Num38z1">
    <w:name w:val="WW8Num38z1"/>
    <w:qFormat/>
    <w:rPr>
      <w:rFonts w:ascii="Courier New" w:hAnsi="Courier New" w:cs="Courier New"/>
    </w:rPr>
  </w:style>
  <w:style w:type="character" w:styleId="WW8Num38z5">
    <w:name w:val="WW8Num38z5"/>
    <w:qFormat/>
    <w:rPr>
      <w:rFonts w:ascii="Wingdings" w:hAnsi="Wingdings" w:cs="Wingdings"/>
    </w:rPr>
  </w:style>
  <w:style w:type="character" w:styleId="WW8Num39z0">
    <w:name w:val="WW8Num39z0"/>
    <w:qFormat/>
    <w:rPr>
      <w:b w:val="false"/>
      <w:i w:val="false"/>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rFonts w:ascii="Symbol" w:hAnsi="Symbol" w:cs="Symbol"/>
      <w:color w:val="auto"/>
      <w:sz w:val="20"/>
    </w:rPr>
  </w:style>
  <w:style w:type="character" w:styleId="WW8Num43z0">
    <w:name w:val="WW8Num43z0"/>
    <w:qFormat/>
    <w:rPr>
      <w:b/>
      <w:i w:val="false"/>
    </w:rPr>
  </w:style>
  <w:style w:type="character" w:styleId="WW8Num45z0">
    <w:name w:val="WW8Num45z0"/>
    <w:qFormat/>
    <w:rPr>
      <w:b/>
      <w:i w:val="false"/>
    </w:rPr>
  </w:style>
  <w:style w:type="character" w:styleId="WW8Num47z0">
    <w:name w:val="WW8Num47z0"/>
    <w:qFormat/>
    <w:rPr>
      <w:rFonts w:ascii="Symbol" w:hAnsi="Symbol" w:cs="Symbol"/>
      <w:spacing w:val="0"/>
      <w:position w:val="0"/>
      <w:sz w:val="20"/>
      <w:sz w:val="20"/>
      <w:vertAlign w:val="baseline"/>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7z3">
    <w:name w:val="WW8Num47z3"/>
    <w:qFormat/>
    <w:rPr>
      <w:rFonts w:ascii="Symbol" w:hAnsi="Symbol" w:cs="Symbol"/>
    </w:rPr>
  </w:style>
  <w:style w:type="character" w:styleId="WW8Num48z0">
    <w:name w:val="WW8Num48z0"/>
    <w:qFormat/>
    <w:rPr>
      <w:b/>
    </w:rPr>
  </w:style>
  <w:style w:type="character" w:styleId="WW8Num49z0">
    <w:name w:val="WW8Num49z0"/>
    <w:qFormat/>
    <w:rPr>
      <w:rFonts w:ascii="Symbol" w:hAnsi="Symbol" w:cs="Symbol"/>
      <w:spacing w:val="0"/>
      <w:position w:val="0"/>
      <w:sz w:val="20"/>
      <w:sz w:val="20"/>
      <w:vertAlign w:val="baseline"/>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49z3">
    <w:name w:val="WW8Num49z3"/>
    <w:qFormat/>
    <w:rPr>
      <w:rFonts w:ascii="Symbol" w:hAnsi="Symbol" w:cs="Symbol"/>
    </w:rPr>
  </w:style>
  <w:style w:type="character" w:styleId="WW8Num50z0">
    <w:name w:val="WW8Num50z0"/>
    <w:qFormat/>
    <w:rPr>
      <w:rFonts w:ascii="Symbol" w:hAnsi="Symbol" w:cs="Symbol"/>
      <w:color w:val="000000"/>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0z3">
    <w:name w:val="WW8Num50z3"/>
    <w:qFormat/>
    <w:rPr>
      <w:rFonts w:ascii="Symbol" w:hAnsi="Symbol" w:cs="Symbol"/>
    </w:rPr>
  </w:style>
  <w:style w:type="character" w:styleId="WW8Num51z0">
    <w:name w:val="WW8Num51z0"/>
    <w:qFormat/>
    <w:rPr>
      <w:b/>
      <w:i w:val="false"/>
    </w:rPr>
  </w:style>
  <w:style w:type="character" w:styleId="WW8Num52z0">
    <w:name w:val="WW8Num52z0"/>
    <w:qFormat/>
    <w:rPr>
      <w:rFonts w:ascii="Symbol" w:hAnsi="Symbol" w:cs="Symbol"/>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3z0">
    <w:name w:val="WW8Num53z0"/>
    <w:qFormat/>
    <w:rPr>
      <w:rFonts w:ascii="Symbol" w:hAnsi="Symbol" w:cs="Symbol"/>
      <w:spacing w:val="0"/>
      <w:position w:val="0"/>
      <w:sz w:val="20"/>
      <w:sz w:val="20"/>
      <w:vertAlign w:val="baseline"/>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3z3">
    <w:name w:val="WW8Num53z3"/>
    <w:qFormat/>
    <w:rPr>
      <w:rFonts w:ascii="Symbol" w:hAnsi="Symbol" w:cs="Symbol"/>
    </w:rPr>
  </w:style>
  <w:style w:type="character" w:styleId="WW8Num54z0">
    <w:name w:val="WW8Num54z0"/>
    <w:qFormat/>
    <w:rPr/>
  </w:style>
  <w:style w:type="character" w:styleId="WW8Num55z0">
    <w:name w:val="WW8Num55z0"/>
    <w:qFormat/>
    <w:rPr/>
  </w:style>
  <w:style w:type="character" w:styleId="WW8Num56z0">
    <w:name w:val="WW8Num56z0"/>
    <w:qFormat/>
    <w:rPr>
      <w:rFonts w:ascii="Symbol" w:hAnsi="Symbol" w:cs="Symbol"/>
    </w:rPr>
  </w:style>
  <w:style w:type="character" w:styleId="WW8Num59z0">
    <w:name w:val="WW8Num59z0"/>
    <w:qFormat/>
    <w:rPr>
      <w:rFonts w:ascii="Symbol" w:hAnsi="Symbol" w:cs="Symbol"/>
      <w:sz w:val="20"/>
    </w:rPr>
  </w:style>
  <w:style w:type="character" w:styleId="WW8Num60z0">
    <w:name w:val="WW8Num60z0"/>
    <w:qFormat/>
    <w:rPr>
      <w:rFonts w:ascii="Symbol" w:hAnsi="Symbol" w:cs="Symbol"/>
    </w:rPr>
  </w:style>
  <w:style w:type="character" w:styleId="WW8Num60z1">
    <w:name w:val="WW8Num60z1"/>
    <w:qFormat/>
    <w:rPr>
      <w:rFonts w:ascii="Courier New" w:hAnsi="Courier New" w:cs="Courier New"/>
    </w:rPr>
  </w:style>
  <w:style w:type="character" w:styleId="WW8Num60z5">
    <w:name w:val="WW8Num60z5"/>
    <w:qFormat/>
    <w:rPr>
      <w:rFonts w:ascii="Wingdings" w:hAnsi="Wingdings" w:cs="Wingdings"/>
    </w:rPr>
  </w:style>
  <w:style w:type="character" w:styleId="WW8Num61z0">
    <w:name w:val="WW8Num61z0"/>
    <w:qFormat/>
    <w:rPr>
      <w:rFonts w:ascii="Symbol" w:hAnsi="Symbol" w:cs="Symbol"/>
    </w:rPr>
  </w:style>
  <w:style w:type="character" w:styleId="WW8Num61z1">
    <w:name w:val="WW8Num61z1"/>
    <w:qFormat/>
    <w:rPr>
      <w:rFonts w:ascii="Courier New" w:hAnsi="Courier New" w:cs="Courier New"/>
    </w:rPr>
  </w:style>
  <w:style w:type="character" w:styleId="WW8Num61z5">
    <w:name w:val="WW8Num61z5"/>
    <w:qFormat/>
    <w:rPr>
      <w:rFonts w:ascii="Wingdings" w:hAnsi="Wingdings" w:cs="Wingdings"/>
    </w:rPr>
  </w:style>
  <w:style w:type="character" w:styleId="WW8Num62z0">
    <w:name w:val="WW8Num62z0"/>
    <w:qFormat/>
    <w:rPr>
      <w:rFonts w:ascii="Symbol" w:hAnsi="Symbol" w:cs="Symbol"/>
    </w:rPr>
  </w:style>
  <w:style w:type="character" w:styleId="WW8Num63z0">
    <w:name w:val="WW8Num63z0"/>
    <w:qFormat/>
    <w:rPr>
      <w:rFonts w:ascii="Symbol" w:hAnsi="Symbol" w:cs="Symbol"/>
      <w:color w:val="auto"/>
    </w:rPr>
  </w:style>
  <w:style w:type="character" w:styleId="WW8Num64z0">
    <w:name w:val="WW8Num64z0"/>
    <w:qFormat/>
    <w:rPr>
      <w:rFonts w:ascii="Symbol" w:hAnsi="Symbol" w:cs="Symbol"/>
      <w:color w:val="auto"/>
      <w:sz w:val="20"/>
    </w:rPr>
  </w:style>
  <w:style w:type="character" w:styleId="WW8Num65z0">
    <w:name w:val="WW8Num65z0"/>
    <w:qFormat/>
    <w:rPr>
      <w:b w:val="false"/>
      <w:i w:val="false"/>
    </w:rPr>
  </w:style>
  <w:style w:type="character" w:styleId="WW8Num66z0">
    <w:name w:val="WW8Num66z0"/>
    <w:qFormat/>
    <w:rPr>
      <w:rFonts w:ascii="Symbol" w:hAnsi="Symbol" w:cs="Symbol"/>
    </w:rPr>
  </w:style>
  <w:style w:type="character" w:styleId="WW8Num67z0">
    <w:name w:val="WW8Num67z0"/>
    <w:qFormat/>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style>
  <w:style w:type="character" w:styleId="WW8Num71z0">
    <w:name w:val="WW8Num71z0"/>
    <w:qFormat/>
    <w:rPr>
      <w:rFonts w:ascii="Symbol" w:hAnsi="Symbol" w:cs="Symbol"/>
      <w:spacing w:val="0"/>
      <w:position w:val="0"/>
      <w:sz w:val="20"/>
      <w:sz w:val="20"/>
      <w:vertAlign w:val="baseline"/>
    </w:rPr>
  </w:style>
  <w:style w:type="character" w:styleId="WW8Num71z1">
    <w:name w:val="WW8Num71z1"/>
    <w:qFormat/>
    <w:rPr>
      <w:rFonts w:ascii="Courier New" w:hAnsi="Courier New" w:cs="Courier New"/>
    </w:rPr>
  </w:style>
  <w:style w:type="character" w:styleId="WW8Num71z2">
    <w:name w:val="WW8Num71z2"/>
    <w:qFormat/>
    <w:rPr>
      <w:rFonts w:ascii="Wingdings" w:hAnsi="Wingdings" w:cs="Wingdings"/>
    </w:rPr>
  </w:style>
  <w:style w:type="character" w:styleId="WW8Num71z3">
    <w:name w:val="WW8Num71z3"/>
    <w:qFormat/>
    <w:rPr>
      <w:rFonts w:ascii="Symbol" w:hAnsi="Symbol" w:cs="Symbol"/>
    </w:rPr>
  </w:style>
  <w:style w:type="character" w:styleId="WW8Num72z0">
    <w:name w:val="WW8Num72z0"/>
    <w:qFormat/>
    <w:rPr>
      <w:rFonts w:ascii="Symbol" w:hAnsi="Symbol" w:cs="Symbol"/>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WW8Num73z0">
    <w:name w:val="WW8Num73z0"/>
    <w:qFormat/>
    <w:rPr>
      <w:rFonts w:ascii="Symbol" w:hAnsi="Symbol" w:cs="Symbol"/>
    </w:rPr>
  </w:style>
  <w:style w:type="character" w:styleId="WW8Num73z1">
    <w:name w:val="WW8Num73z1"/>
    <w:qFormat/>
    <w:rPr>
      <w:rFonts w:ascii="Courier New" w:hAnsi="Courier New" w:cs="Courier New"/>
    </w:rPr>
  </w:style>
  <w:style w:type="character" w:styleId="WW8Num73z5">
    <w:name w:val="WW8Num73z5"/>
    <w:qFormat/>
    <w:rPr>
      <w:rFonts w:ascii="Wingdings" w:hAnsi="Wingdings" w:cs="Wingdings"/>
    </w:rPr>
  </w:style>
  <w:style w:type="character" w:styleId="WW8Num74z0">
    <w:name w:val="WW8Num74z0"/>
    <w:qFormat/>
    <w:rPr>
      <w:rFonts w:ascii="Symbol" w:hAnsi="Symbol" w:cs="Symbol"/>
      <w:sz w:val="24"/>
    </w:rPr>
  </w:style>
  <w:style w:type="character" w:styleId="WW8Num74z2">
    <w:name w:val="WW8Num74z2"/>
    <w:qFormat/>
    <w:rPr>
      <w:rFonts w:ascii="Wingdings" w:hAnsi="Wingdings" w:cs="Wingdings"/>
    </w:rPr>
  </w:style>
  <w:style w:type="character" w:styleId="WW8Num74z3">
    <w:name w:val="WW8Num74z3"/>
    <w:qFormat/>
    <w:rPr>
      <w:rFonts w:ascii="Symbol" w:hAnsi="Symbol" w:cs="Symbol"/>
    </w:rPr>
  </w:style>
  <w:style w:type="character" w:styleId="WW8Num74z4">
    <w:name w:val="WW8Num74z4"/>
    <w:qFormat/>
    <w:rPr>
      <w:rFonts w:ascii="Courier New" w:hAnsi="Courier New" w:cs="Courier New"/>
    </w:rPr>
  </w:style>
  <w:style w:type="character" w:styleId="WW8Num75z0">
    <w:name w:val="WW8Num75z0"/>
    <w:qFormat/>
    <w:rPr/>
  </w:style>
  <w:style w:type="character" w:styleId="WW8Num76z0">
    <w:name w:val="WW8Num76z0"/>
    <w:qFormat/>
    <w:rPr>
      <w:rFonts w:ascii="Symbol" w:hAnsi="Symbol" w:cs="Symbol"/>
      <w:color w:val="auto"/>
    </w:rPr>
  </w:style>
  <w:style w:type="character" w:styleId="WW8Num77z0">
    <w:name w:val="WW8Num77z0"/>
    <w:qFormat/>
    <w:rPr>
      <w:b w:val="false"/>
      <w:i w:val="false"/>
    </w:rPr>
  </w:style>
  <w:style w:type="character" w:styleId="WW8Num78z0">
    <w:name w:val="WW8Num78z0"/>
    <w:qFormat/>
    <w:rPr>
      <w:b/>
      <w:i w:val="false"/>
    </w:rPr>
  </w:style>
  <w:style w:type="character" w:styleId="WW8Num79z0">
    <w:name w:val="WW8Num79z0"/>
    <w:qFormat/>
    <w:rPr>
      <w:rFonts w:ascii="Symbol" w:hAnsi="Symbol" w:cs="Symbol"/>
      <w:spacing w:val="0"/>
      <w:position w:val="0"/>
      <w:sz w:val="20"/>
      <w:sz w:val="20"/>
      <w:vertAlign w:val="baseline"/>
    </w:rPr>
  </w:style>
  <w:style w:type="character" w:styleId="WW8Num79z1">
    <w:name w:val="WW8Num79z1"/>
    <w:qFormat/>
    <w:rPr>
      <w:rFonts w:ascii="Courier New" w:hAnsi="Courier New" w:cs="Courier New"/>
    </w:rPr>
  </w:style>
  <w:style w:type="character" w:styleId="WW8Num79z2">
    <w:name w:val="WW8Num79z2"/>
    <w:qFormat/>
    <w:rPr>
      <w:rFonts w:ascii="Wingdings" w:hAnsi="Wingdings" w:cs="Wingdings"/>
    </w:rPr>
  </w:style>
  <w:style w:type="character" w:styleId="WW8Num79z3">
    <w:name w:val="WW8Num79z3"/>
    <w:qFormat/>
    <w:rPr>
      <w:rFonts w:ascii="Symbol" w:hAnsi="Symbol" w:cs="Symbol"/>
    </w:rPr>
  </w:style>
  <w:style w:type="character" w:styleId="WW8Num80z0">
    <w:name w:val="WW8Num80z0"/>
    <w:qFormat/>
    <w:rPr>
      <w:rFonts w:ascii="Courier New" w:hAnsi="Courier New" w:cs="Courier New"/>
    </w:rPr>
  </w:style>
  <w:style w:type="character" w:styleId="WW8Num80z2">
    <w:name w:val="WW8Num80z2"/>
    <w:qFormat/>
    <w:rPr>
      <w:rFonts w:ascii="Wingdings" w:hAnsi="Wingdings" w:cs="Wingdings"/>
    </w:rPr>
  </w:style>
  <w:style w:type="character" w:styleId="WW8Num80z3">
    <w:name w:val="WW8Num80z3"/>
    <w:qFormat/>
    <w:rPr>
      <w:rFonts w:ascii="Symbol" w:hAnsi="Symbol" w:cs="Symbol"/>
    </w:rPr>
  </w:style>
  <w:style w:type="character" w:styleId="WW8Num81z0">
    <w:name w:val="WW8Num81z0"/>
    <w:qFormat/>
    <w:rPr>
      <w:rFonts w:ascii="Symbol" w:hAnsi="Symbol" w:cs="Symbol"/>
      <w:color w:val="auto"/>
      <w:sz w:val="28"/>
    </w:rPr>
  </w:style>
  <w:style w:type="character" w:styleId="WW8Num82z0">
    <w:name w:val="WW8Num82z0"/>
    <w:qFormat/>
    <w:rPr>
      <w:rFonts w:ascii="Symbol" w:hAnsi="Symbol" w:cs="Symbol"/>
      <w:color w:val="FF0000"/>
    </w:rPr>
  </w:style>
  <w:style w:type="character" w:styleId="WW8Num83z0">
    <w:name w:val="WW8Num83z0"/>
    <w:qFormat/>
    <w:rPr>
      <w:rFonts w:ascii="Symbol" w:hAnsi="Symbol" w:cs="Symbol"/>
    </w:rPr>
  </w:style>
  <w:style w:type="character" w:styleId="WW8Num84z0">
    <w:name w:val="WW8Num84z0"/>
    <w:qFormat/>
    <w:rPr>
      <w:rFonts w:ascii="Symbol" w:hAnsi="Symbol" w:cs="Symbol"/>
      <w:sz w:val="20"/>
    </w:rPr>
  </w:style>
  <w:style w:type="character" w:styleId="WW8Num85z0">
    <w:name w:val="WW8Num85z0"/>
    <w:qFormat/>
    <w:rPr>
      <w:rFonts w:ascii="Symbol" w:hAnsi="Symbol" w:cs="Symbol"/>
      <w:color w:val="FF0000"/>
    </w:rPr>
  </w:style>
  <w:style w:type="character" w:styleId="WW8Num87z0">
    <w:name w:val="WW8Num87z0"/>
    <w:qFormat/>
    <w:rPr/>
  </w:style>
  <w:style w:type="character" w:styleId="WW8Num88z0">
    <w:name w:val="WW8Num88z0"/>
    <w:qFormat/>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spacing w:val="0"/>
      <w:position w:val="0"/>
      <w:sz w:val="20"/>
      <w:sz w:val="20"/>
      <w:vertAlign w:val="baseline"/>
    </w:rPr>
  </w:style>
  <w:style w:type="character" w:styleId="WW8Num91z1">
    <w:name w:val="WW8Num91z1"/>
    <w:qFormat/>
    <w:rPr>
      <w:rFonts w:ascii="Courier New" w:hAnsi="Courier New" w:cs="Courier New"/>
    </w:rPr>
  </w:style>
  <w:style w:type="character" w:styleId="WW8Num91z2">
    <w:name w:val="WW8Num91z2"/>
    <w:qFormat/>
    <w:rPr>
      <w:rFonts w:ascii="Wingdings" w:hAnsi="Wingdings" w:cs="Wingdings"/>
    </w:rPr>
  </w:style>
  <w:style w:type="character" w:styleId="WW8Num91z3">
    <w:name w:val="WW8Num91z3"/>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3z1">
    <w:name w:val="WW8Num93z1"/>
    <w:qFormat/>
    <w:rPr>
      <w:rFonts w:ascii="Courier New" w:hAnsi="Courier New" w:cs="Courier New"/>
    </w:rPr>
  </w:style>
  <w:style w:type="character" w:styleId="WW8Num93z2">
    <w:name w:val="WW8Num93z2"/>
    <w:qFormat/>
    <w:rPr>
      <w:rFonts w:ascii="Wingdings" w:hAnsi="Wingdings" w:cs="Wingdings"/>
    </w:rPr>
  </w:style>
  <w:style w:type="character" w:styleId="WW8Num94z0">
    <w:name w:val="WW8Num94z0"/>
    <w:qFormat/>
    <w:rPr>
      <w:rFonts w:ascii="Symbol" w:hAnsi="Symbol" w:cs="Symbol"/>
      <w:sz w:val="20"/>
    </w:rPr>
  </w:style>
  <w:style w:type="character" w:styleId="WW8Num95z0">
    <w:name w:val="WW8Num95z0"/>
    <w:qFormat/>
    <w:rPr>
      <w:rFonts w:ascii="Courier New" w:hAnsi="Courier New" w:cs="Courier New"/>
    </w:rPr>
  </w:style>
  <w:style w:type="character" w:styleId="WW8Num95z2">
    <w:name w:val="WW8Num95z2"/>
    <w:qFormat/>
    <w:rPr>
      <w:rFonts w:ascii="Wingdings" w:hAnsi="Wingdings" w:cs="Wingdings"/>
    </w:rPr>
  </w:style>
  <w:style w:type="character" w:styleId="WW8Num95z3">
    <w:name w:val="WW8Num95z3"/>
    <w:qFormat/>
    <w:rPr>
      <w:rFonts w:ascii="Symbol" w:hAnsi="Symbol" w:cs="Symbol"/>
    </w:rPr>
  </w:style>
  <w:style w:type="character" w:styleId="WW8Num96z0">
    <w:name w:val="WW8Num96z0"/>
    <w:qFormat/>
    <w:rPr/>
  </w:style>
  <w:style w:type="character" w:styleId="WW8Num97z0">
    <w:name w:val="WW8Num97z0"/>
    <w:qFormat/>
    <w:rPr>
      <w:rFonts w:ascii="Symbol" w:hAnsi="Symbol" w:cs="Symbol"/>
      <w:color w:val="FF0000"/>
    </w:rPr>
  </w:style>
  <w:style w:type="character" w:styleId="WW8Num98z0">
    <w:name w:val="WW8Num98z0"/>
    <w:qFormat/>
    <w:rPr>
      <w:rFonts w:ascii="Symbol" w:hAnsi="Symbol" w:cs="Symbol"/>
    </w:rPr>
  </w:style>
  <w:style w:type="character" w:styleId="WW8Num99z0">
    <w:name w:val="WW8Num99z0"/>
    <w:qFormat/>
    <w:rPr>
      <w:rFonts w:ascii="Symbol" w:hAnsi="Symbol" w:cs="Symbol"/>
      <w:sz w:val="24"/>
    </w:rPr>
  </w:style>
  <w:style w:type="character" w:styleId="WW8Num99z2">
    <w:name w:val="WW8Num99z2"/>
    <w:qFormat/>
    <w:rPr>
      <w:rFonts w:ascii="Wingdings" w:hAnsi="Wingdings" w:cs="Wingdings"/>
    </w:rPr>
  </w:style>
  <w:style w:type="character" w:styleId="WW8Num99z3">
    <w:name w:val="WW8Num99z3"/>
    <w:qFormat/>
    <w:rPr>
      <w:rFonts w:ascii="Symbol" w:hAnsi="Symbol" w:cs="Symbol"/>
    </w:rPr>
  </w:style>
  <w:style w:type="character" w:styleId="WW8Num99z4">
    <w:name w:val="WW8Num99z4"/>
    <w:qFormat/>
    <w:rPr>
      <w:rFonts w:ascii="Courier New" w:hAnsi="Courier New" w:cs="Courier New"/>
    </w:rPr>
  </w:style>
  <w:style w:type="character" w:styleId="WW8Num100z0">
    <w:name w:val="WW8Num100z0"/>
    <w:qFormat/>
    <w:rPr>
      <w:rFonts w:ascii="Symbol" w:hAnsi="Symbol" w:cs="Symbol"/>
      <w:sz w:val="20"/>
    </w:rPr>
  </w:style>
  <w:style w:type="character" w:styleId="WW8Num100z1">
    <w:name w:val="WW8Num100z1"/>
    <w:qFormat/>
    <w:rPr>
      <w:rFonts w:ascii="Courier New" w:hAnsi="Courier New" w:cs="Courier New"/>
      <w:sz w:val="20"/>
    </w:rPr>
  </w:style>
  <w:style w:type="character" w:styleId="WW8Num100z2">
    <w:name w:val="WW8Num100z2"/>
    <w:qFormat/>
    <w:rPr>
      <w:rFonts w:ascii="Wingdings" w:hAnsi="Wingdings" w:cs="Wingdings"/>
      <w:sz w:val="20"/>
    </w:rPr>
  </w:style>
  <w:style w:type="character" w:styleId="WW8Num101z0">
    <w:name w:val="WW8Num101z0"/>
    <w:qFormat/>
    <w:rPr>
      <w:b w:val="false"/>
      <w:i w:val="false"/>
    </w:rPr>
  </w:style>
  <w:style w:type="character" w:styleId="WW8Num102z0">
    <w:name w:val="WW8Num102z0"/>
    <w:qFormat/>
    <w:rPr/>
  </w:style>
  <w:style w:type="character" w:styleId="WW8Num103z0">
    <w:name w:val="WW8Num103z0"/>
    <w:qFormat/>
    <w:rPr>
      <w:rFonts w:ascii="Symbol" w:hAnsi="Symbol" w:cs="Symbol"/>
    </w:rPr>
  </w:style>
  <w:style w:type="character" w:styleId="WW8Num103z1">
    <w:name w:val="WW8Num103z1"/>
    <w:qFormat/>
    <w:rPr>
      <w:rFonts w:ascii="Courier New" w:hAnsi="Courier New" w:cs="Courier New"/>
    </w:rPr>
  </w:style>
  <w:style w:type="character" w:styleId="WW8Num103z5">
    <w:name w:val="WW8Num103z5"/>
    <w:qFormat/>
    <w:rPr>
      <w:rFonts w:ascii="Wingdings" w:hAnsi="Wingdings" w:cs="Wingdings"/>
    </w:rPr>
  </w:style>
  <w:style w:type="character" w:styleId="WW8Num104z0">
    <w:name w:val="WW8Num104z0"/>
    <w:qFormat/>
    <w:rPr>
      <w:b/>
    </w:rPr>
  </w:style>
  <w:style w:type="character" w:styleId="WW8Num105z0">
    <w:name w:val="WW8Num105z0"/>
    <w:qFormat/>
    <w:rPr>
      <w:b/>
      <w:i w:val="false"/>
    </w:rPr>
  </w:style>
  <w:style w:type="character" w:styleId="WW8Num106z0">
    <w:name w:val="WW8Num106z0"/>
    <w:qFormat/>
    <w:rPr/>
  </w:style>
  <w:style w:type="character" w:styleId="WW8Num107z0">
    <w:name w:val="WW8Num107z0"/>
    <w:qFormat/>
    <w:rPr>
      <w:b/>
      <w:i w:val="false"/>
    </w:rPr>
  </w:style>
  <w:style w:type="character" w:styleId="WW8Num108z0">
    <w:name w:val="WW8Num108z0"/>
    <w:qFormat/>
    <w:rPr>
      <w:rFonts w:ascii="Symbol" w:hAnsi="Symbol" w:cs="Symbol"/>
    </w:rPr>
  </w:style>
  <w:style w:type="character" w:styleId="WW8Num108z1">
    <w:name w:val="WW8Num108z1"/>
    <w:qFormat/>
    <w:rPr>
      <w:rFonts w:ascii="Courier New" w:hAnsi="Courier New" w:cs="Courier New"/>
    </w:rPr>
  </w:style>
  <w:style w:type="character" w:styleId="WW8Num108z2">
    <w:name w:val="WW8Num108z2"/>
    <w:qFormat/>
    <w:rPr>
      <w:rFonts w:ascii="Wingdings" w:hAnsi="Wingdings" w:cs="Wingdings"/>
    </w:rPr>
  </w:style>
  <w:style w:type="character" w:styleId="WW8Num109z0">
    <w:name w:val="WW8Num109z0"/>
    <w:qFormat/>
    <w:rPr>
      <w:rFonts w:ascii="Symbol" w:hAnsi="Symbol" w:cs="Symbol"/>
    </w:rPr>
  </w:style>
  <w:style w:type="character" w:styleId="WW8Num109z1">
    <w:name w:val="WW8Num109z1"/>
    <w:qFormat/>
    <w:rPr>
      <w:rFonts w:ascii="Courier New" w:hAnsi="Courier New" w:cs="Courier New"/>
    </w:rPr>
  </w:style>
  <w:style w:type="character" w:styleId="WW8Num109z2">
    <w:name w:val="WW8Num109z2"/>
    <w:qFormat/>
    <w:rPr>
      <w:rFonts w:ascii="Wingdings" w:hAnsi="Wingdings" w:cs="Wingdings"/>
    </w:rPr>
  </w:style>
  <w:style w:type="character" w:styleId="WW8Num110z0">
    <w:name w:val="WW8Num110z0"/>
    <w:qFormat/>
    <w:rPr>
      <w:rFonts w:ascii="Symbol" w:hAnsi="Symbol" w:cs="Symbol"/>
      <w:color w:val="auto"/>
    </w:rPr>
  </w:style>
  <w:style w:type="character" w:styleId="WW8Num111z0">
    <w:name w:val="WW8Num111z0"/>
    <w:qFormat/>
    <w:rPr>
      <w:rFonts w:ascii="Symbol" w:hAnsi="Symbol" w:cs="Symbol"/>
      <w:sz w:val="20"/>
    </w:rPr>
  </w:style>
  <w:style w:type="character" w:styleId="WW8Num112z0">
    <w:name w:val="WW8Num112z0"/>
    <w:qFormat/>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b w:val="false"/>
      <w:i w:val="false"/>
    </w:rPr>
  </w:style>
  <w:style w:type="character" w:styleId="WW8Num117z0">
    <w:name w:val="WW8Num117z0"/>
    <w:qFormat/>
    <w:rPr>
      <w:rFonts w:ascii="Symbol" w:hAnsi="Symbol" w:cs="Symbol"/>
    </w:rPr>
  </w:style>
  <w:style w:type="character" w:styleId="WW8Num118z0">
    <w:name w:val="WW8Num118z0"/>
    <w:qFormat/>
    <w:rPr>
      <w:rFonts w:ascii="Symbol" w:hAnsi="Symbol" w:cs="Symbol"/>
      <w:color w:val="auto"/>
    </w:rPr>
  </w:style>
  <w:style w:type="character" w:styleId="WW8Num119z0">
    <w:name w:val="WW8Num119z0"/>
    <w:qFormat/>
    <w:rPr>
      <w:rFonts w:ascii="Symbol" w:hAnsi="Symbol" w:cs="Symbol"/>
      <w:sz w:val="24"/>
    </w:rPr>
  </w:style>
  <w:style w:type="character" w:styleId="WW8Num119z1">
    <w:name w:val="WW8Num119z1"/>
    <w:qFormat/>
    <w:rPr>
      <w:rFonts w:ascii="Courier New" w:hAnsi="Courier New" w:cs="Courier New"/>
    </w:rPr>
  </w:style>
  <w:style w:type="character" w:styleId="WW8Num119z2">
    <w:name w:val="WW8Num119z2"/>
    <w:qFormat/>
    <w:rPr>
      <w:rFonts w:ascii="Wingdings" w:hAnsi="Wingdings" w:cs="Wingdings"/>
    </w:rPr>
  </w:style>
  <w:style w:type="character" w:styleId="WW8Num119z3">
    <w:name w:val="WW8Num119z3"/>
    <w:qFormat/>
    <w:rPr>
      <w:rFonts w:ascii="Symbol" w:hAnsi="Symbol" w:cs="Symbol"/>
    </w:rPr>
  </w:style>
  <w:style w:type="character" w:styleId="WW8Num120z0">
    <w:name w:val="WW8Num120z0"/>
    <w:qFormat/>
    <w:rPr>
      <w:rFonts w:ascii="Symbol" w:hAnsi="Symbol" w:cs="Symbol"/>
      <w:color w:val="FF0000"/>
    </w:rPr>
  </w:style>
  <w:style w:type="character" w:styleId="WW8Num121z0">
    <w:name w:val="WW8Num121z0"/>
    <w:qFormat/>
    <w:rPr>
      <w:rFonts w:ascii="Symbol" w:hAnsi="Symbol" w:cs="Symbol"/>
      <w:spacing w:val="0"/>
      <w:position w:val="0"/>
      <w:sz w:val="20"/>
      <w:sz w:val="20"/>
      <w:vertAlign w:val="baseline"/>
    </w:rPr>
  </w:style>
  <w:style w:type="character" w:styleId="WW8Num121z1">
    <w:name w:val="WW8Num121z1"/>
    <w:qFormat/>
    <w:rPr>
      <w:rFonts w:ascii="Courier New" w:hAnsi="Courier New" w:cs="Courier New"/>
    </w:rPr>
  </w:style>
  <w:style w:type="character" w:styleId="WW8Num121z2">
    <w:name w:val="WW8Num121z2"/>
    <w:qFormat/>
    <w:rPr>
      <w:rFonts w:ascii="Wingdings" w:hAnsi="Wingdings" w:cs="Wingdings"/>
    </w:rPr>
  </w:style>
  <w:style w:type="character" w:styleId="WW8Num121z3">
    <w:name w:val="WW8Num121z3"/>
    <w:qFormat/>
    <w:rPr>
      <w:rFonts w:ascii="Symbol" w:hAnsi="Symbol" w:cs="Symbol"/>
    </w:rPr>
  </w:style>
  <w:style w:type="character" w:styleId="WW8Num122z0">
    <w:name w:val="WW8Num122z0"/>
    <w:qFormat/>
    <w:rPr>
      <w:b/>
      <w:i w:val="false"/>
    </w:rPr>
  </w:style>
  <w:style w:type="character" w:styleId="WW8Num123z0">
    <w:name w:val="WW8Num123z0"/>
    <w:qFormat/>
    <w:rPr/>
  </w:style>
  <w:style w:type="character" w:styleId="WW8Num124z0">
    <w:name w:val="WW8Num124z0"/>
    <w:qFormat/>
    <w:rPr>
      <w:b/>
      <w:i w:val="false"/>
    </w:rPr>
  </w:style>
  <w:style w:type="character" w:styleId="WW8Num125z0">
    <w:name w:val="WW8Num125z0"/>
    <w:qFormat/>
    <w:rPr>
      <w:rFonts w:ascii="Wingdings" w:hAnsi="Wingdings" w:cs="Wingdings"/>
      <w:sz w:val="16"/>
    </w:rPr>
  </w:style>
  <w:style w:type="character" w:styleId="WW8Num126z0">
    <w:name w:val="WW8Num126z0"/>
    <w:qFormat/>
    <w:rPr/>
  </w:style>
  <w:style w:type="character" w:styleId="WW8Num127z0">
    <w:name w:val="WW8Num127z0"/>
    <w:qFormat/>
    <w:rPr/>
  </w:style>
  <w:style w:type="character" w:styleId="WW8Num128z0">
    <w:name w:val="WW8Num128z0"/>
    <w:qFormat/>
    <w:rPr>
      <w:rFonts w:ascii="Symbol" w:hAnsi="Symbol" w:cs="Symbol"/>
    </w:rPr>
  </w:style>
  <w:style w:type="character" w:styleId="WW8Num128z1">
    <w:name w:val="WW8Num128z1"/>
    <w:qFormat/>
    <w:rPr>
      <w:rFonts w:ascii="Courier New" w:hAnsi="Courier New" w:cs="Courier New"/>
    </w:rPr>
  </w:style>
  <w:style w:type="character" w:styleId="WW8Num128z5">
    <w:name w:val="WW8Num128z5"/>
    <w:qFormat/>
    <w:rPr>
      <w:rFonts w:ascii="Wingdings" w:hAnsi="Wingdings" w:cs="Wingdings"/>
    </w:rPr>
  </w:style>
  <w:style w:type="character" w:styleId="WW8Num129z0">
    <w:name w:val="WW8Num129z0"/>
    <w:qFormat/>
    <w:rPr>
      <w:rFonts w:ascii="Symbol" w:hAnsi="Symbol" w:cs="Symbol"/>
      <w:sz w:val="20"/>
    </w:rPr>
  </w:style>
  <w:style w:type="character" w:styleId="WW8Num130z0">
    <w:name w:val="WW8Num130z0"/>
    <w:qFormat/>
    <w:rPr>
      <w:rFonts w:ascii="Symbol" w:hAnsi="Symbol" w:cs="Symbol"/>
    </w:rPr>
  </w:style>
  <w:style w:type="character" w:styleId="WW8Num131z0">
    <w:name w:val="WW8Num131z0"/>
    <w:qFormat/>
    <w:rPr>
      <w:b/>
      <w:i w:val="false"/>
    </w:rPr>
  </w:style>
  <w:style w:type="character" w:styleId="WW8Num132z0">
    <w:name w:val="WW8Num132z0"/>
    <w:qFormat/>
    <w:rPr>
      <w:rFonts w:ascii="Wingdings" w:hAnsi="Wingdings" w:cs="Wingdings"/>
    </w:rPr>
  </w:style>
  <w:style w:type="character" w:styleId="WW8Num133z0">
    <w:name w:val="WW8Num133z0"/>
    <w:qFormat/>
    <w:rPr>
      <w:rFonts w:ascii="Symbol" w:hAnsi="Symbol" w:cs="Symbol"/>
      <w:sz w:val="20"/>
    </w:rPr>
  </w:style>
  <w:style w:type="character" w:styleId="WW8Num135z0">
    <w:name w:val="WW8Num135z0"/>
    <w:qFormat/>
    <w:rPr>
      <w:rFonts w:ascii="Courier New" w:hAnsi="Courier New" w:cs="Courier New"/>
    </w:rPr>
  </w:style>
  <w:style w:type="character" w:styleId="WW8Num135z2">
    <w:name w:val="WW8Num135z2"/>
    <w:qFormat/>
    <w:rPr>
      <w:rFonts w:ascii="Wingdings" w:hAnsi="Wingdings" w:cs="Wingdings"/>
    </w:rPr>
  </w:style>
  <w:style w:type="character" w:styleId="WW8Num135z3">
    <w:name w:val="WW8Num135z3"/>
    <w:qFormat/>
    <w:rPr>
      <w:rFonts w:ascii="Symbol" w:hAnsi="Symbol" w:cs="Symbol"/>
    </w:rPr>
  </w:style>
  <w:style w:type="character" w:styleId="WW8Num136z0">
    <w:name w:val="WW8Num136z0"/>
    <w:qFormat/>
    <w:rPr>
      <w:rFonts w:ascii="Symbol" w:hAnsi="Symbol" w:cs="Symbol"/>
    </w:rPr>
  </w:style>
  <w:style w:type="character" w:styleId="WW8Num136z1">
    <w:name w:val="WW8Num136z1"/>
    <w:qFormat/>
    <w:rPr>
      <w:rFonts w:ascii="Courier New" w:hAnsi="Courier New" w:cs="Courier New"/>
    </w:rPr>
  </w:style>
  <w:style w:type="character" w:styleId="WW8Num136z5">
    <w:name w:val="WW8Num136z5"/>
    <w:qFormat/>
    <w:rPr>
      <w:rFonts w:ascii="Wingdings" w:hAnsi="Wingdings" w:cs="Wingdings"/>
    </w:rPr>
  </w:style>
  <w:style w:type="character" w:styleId="WW8Num137z0">
    <w:name w:val="WW8Num137z0"/>
    <w:qFormat/>
    <w:rPr>
      <w:rFonts w:ascii="Wingdings" w:hAnsi="Wingdings" w:cs="Wingdings"/>
      <w:sz w:val="16"/>
    </w:rPr>
  </w:style>
  <w:style w:type="character" w:styleId="WW8Num138z0">
    <w:name w:val="WW8Num138z0"/>
    <w:qFormat/>
    <w:rPr>
      <w:rFonts w:ascii="Symbol" w:hAnsi="Symbol" w:cs="Symbol"/>
    </w:rPr>
  </w:style>
  <w:style w:type="character" w:styleId="WW8Num139z0">
    <w:name w:val="WW8Num139z0"/>
    <w:qFormat/>
    <w:rPr/>
  </w:style>
  <w:style w:type="character" w:styleId="WW8Num140z0">
    <w:name w:val="WW8Num140z0"/>
    <w:qFormat/>
    <w:rPr/>
  </w:style>
  <w:style w:type="character" w:styleId="WW8Num141z0">
    <w:name w:val="WW8Num141z0"/>
    <w:qFormat/>
    <w:rPr/>
  </w:style>
  <w:style w:type="character" w:styleId="WW8Num142z0">
    <w:name w:val="WW8Num142z0"/>
    <w:qFormat/>
    <w:rPr/>
  </w:style>
  <w:style w:type="character" w:styleId="WW8Num143z0">
    <w:name w:val="WW8Num143z0"/>
    <w:qFormat/>
    <w:rPr/>
  </w:style>
  <w:style w:type="character" w:styleId="WW8Num144z0">
    <w:name w:val="WW8Num144z0"/>
    <w:qFormat/>
    <w:rPr>
      <w:rFonts w:ascii="Symbol" w:hAnsi="Symbol" w:cs="Symbol"/>
    </w:rPr>
  </w:style>
  <w:style w:type="character" w:styleId="WW8Num144z1">
    <w:name w:val="WW8Num144z1"/>
    <w:qFormat/>
    <w:rPr>
      <w:rFonts w:ascii="Courier New" w:hAnsi="Courier New" w:cs="Courier New"/>
    </w:rPr>
  </w:style>
  <w:style w:type="character" w:styleId="WW8Num144z2">
    <w:name w:val="WW8Num144z2"/>
    <w:qFormat/>
    <w:rPr>
      <w:rFonts w:ascii="Wingdings" w:hAnsi="Wingdings" w:cs="Wingdings"/>
    </w:rPr>
  </w:style>
  <w:style w:type="character" w:styleId="WW8Num145z0">
    <w:name w:val="WW8Num145z0"/>
    <w:qFormat/>
    <w:rPr/>
  </w:style>
  <w:style w:type="character" w:styleId="WW8Num146z0">
    <w:name w:val="WW8Num146z0"/>
    <w:qFormat/>
    <w:rPr>
      <w:b w:val="false"/>
      <w:color w:val="auto"/>
    </w:rPr>
  </w:style>
  <w:style w:type="character" w:styleId="WW8Num147z0">
    <w:name w:val="WW8Num147z0"/>
    <w:qFormat/>
    <w:rPr>
      <w:b/>
      <w:i w:val="false"/>
    </w:rPr>
  </w:style>
  <w:style w:type="character" w:styleId="WW8Num148z0">
    <w:name w:val="WW8Num148z0"/>
    <w:qFormat/>
    <w:rPr>
      <w:b w:val="false"/>
      <w:i w:val="false"/>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style>
  <w:style w:type="character" w:styleId="WW8Num152z0">
    <w:name w:val="WW8Num152z0"/>
    <w:qFormat/>
    <w:rPr>
      <w:rFonts w:ascii="Symbol" w:hAnsi="Symbol" w:cs="Symbol"/>
      <w:color w:val="auto"/>
    </w:rPr>
  </w:style>
  <w:style w:type="character" w:styleId="WW8Num153z0">
    <w:name w:val="WW8Num153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spacing w:val="0"/>
      <w:position w:val="0"/>
      <w:sz w:val="20"/>
      <w:sz w:val="20"/>
      <w:vertAlign w:val="baseline"/>
    </w:rPr>
  </w:style>
  <w:style w:type="character" w:styleId="WW8Num156z1">
    <w:name w:val="WW8Num156z1"/>
    <w:qFormat/>
    <w:rPr>
      <w:rFonts w:ascii="Courier New" w:hAnsi="Courier New" w:cs="Courier New"/>
    </w:rPr>
  </w:style>
  <w:style w:type="character" w:styleId="WW8Num156z2">
    <w:name w:val="WW8Num156z2"/>
    <w:qFormat/>
    <w:rPr>
      <w:rFonts w:ascii="Wingdings" w:hAnsi="Wingdings" w:cs="Wingdings"/>
    </w:rPr>
  </w:style>
  <w:style w:type="character" w:styleId="WW8Num156z3">
    <w:name w:val="WW8Num156z3"/>
    <w:qFormat/>
    <w:rPr>
      <w:rFonts w:ascii="Symbol" w:hAnsi="Symbol" w:cs="Symbol"/>
    </w:rPr>
  </w:style>
  <w:style w:type="character" w:styleId="WW8Num157z0">
    <w:name w:val="WW8Num157z0"/>
    <w:qFormat/>
    <w:rPr>
      <w:rFonts w:ascii="Symbol" w:hAnsi="Symbol" w:cs="Symbol"/>
    </w:rPr>
  </w:style>
  <w:style w:type="character" w:styleId="WW8Num157z1">
    <w:name w:val="WW8Num157z1"/>
    <w:qFormat/>
    <w:rPr>
      <w:rFonts w:ascii="Courier New" w:hAnsi="Courier New" w:cs="Courier New"/>
    </w:rPr>
  </w:style>
  <w:style w:type="character" w:styleId="WW8Num157z2">
    <w:name w:val="WW8Num157z2"/>
    <w:qFormat/>
    <w:rPr>
      <w:rFonts w:ascii="Wingdings" w:hAnsi="Wingdings" w:cs="Wingdings"/>
    </w:rPr>
  </w:style>
  <w:style w:type="character" w:styleId="WW8Num158z0">
    <w:name w:val="WW8Num158z0"/>
    <w:qFormat/>
    <w:rPr>
      <w:b w:val="false"/>
      <w:i w:val="false"/>
    </w:rPr>
  </w:style>
  <w:style w:type="character" w:styleId="WW8Num159z0">
    <w:name w:val="WW8Num159z0"/>
    <w:qFormat/>
    <w:rPr>
      <w:rFonts w:ascii="Symbol" w:hAnsi="Symbol" w:cs="Symbol"/>
    </w:rPr>
  </w:style>
  <w:style w:type="character" w:styleId="WW8Num160z0">
    <w:name w:val="WW8Num160z0"/>
    <w:qFormat/>
    <w:rPr>
      <w:b/>
      <w:i w:val="false"/>
    </w:rPr>
  </w:style>
  <w:style w:type="character" w:styleId="WW8Num161z0">
    <w:name w:val="WW8Num161z0"/>
    <w:qFormat/>
    <w:rPr>
      <w:rFonts w:ascii="Symbol" w:hAnsi="Symbol" w:cs="Symbol"/>
    </w:rPr>
  </w:style>
  <w:style w:type="character" w:styleId="WW8Num161z1">
    <w:name w:val="WW8Num161z1"/>
    <w:qFormat/>
    <w:rPr>
      <w:rFonts w:ascii="Courier New" w:hAnsi="Courier New" w:cs="Courier New"/>
    </w:rPr>
  </w:style>
  <w:style w:type="character" w:styleId="WW8Num161z2">
    <w:name w:val="WW8Num161z2"/>
    <w:qFormat/>
    <w:rPr>
      <w:rFonts w:ascii="Wingdings" w:hAnsi="Wingdings" w:cs="Wingdings"/>
    </w:rPr>
  </w:style>
  <w:style w:type="character" w:styleId="WW8Num162z0">
    <w:name w:val="WW8Num162z0"/>
    <w:qFormat/>
    <w:rPr>
      <w:b/>
      <w:i w:val="false"/>
    </w:rPr>
  </w:style>
  <w:style w:type="character" w:styleId="WW8Num163z0">
    <w:name w:val="WW8Num163z0"/>
    <w:qFormat/>
    <w:rPr>
      <w:rFonts w:ascii="Symbol" w:hAnsi="Symbol" w:cs="Symbol"/>
      <w:color w:val="auto"/>
    </w:rPr>
  </w:style>
  <w:style w:type="character" w:styleId="WW8Num164z0">
    <w:name w:val="WW8Num164z0"/>
    <w:qFormat/>
    <w:rPr>
      <w:rFonts w:ascii="Symbol" w:hAnsi="Symbol" w:cs="Symbol"/>
      <w:spacing w:val="0"/>
      <w:position w:val="0"/>
      <w:sz w:val="20"/>
      <w:sz w:val="20"/>
      <w:vertAlign w:val="baseline"/>
    </w:rPr>
  </w:style>
  <w:style w:type="character" w:styleId="WW8Num164z1">
    <w:name w:val="WW8Num164z1"/>
    <w:qFormat/>
    <w:rPr>
      <w:rFonts w:ascii="Courier New" w:hAnsi="Courier New" w:cs="Courier New"/>
    </w:rPr>
  </w:style>
  <w:style w:type="character" w:styleId="WW8Num164z2">
    <w:name w:val="WW8Num164z2"/>
    <w:qFormat/>
    <w:rPr>
      <w:rFonts w:ascii="Wingdings" w:hAnsi="Wingdings" w:cs="Wingdings"/>
    </w:rPr>
  </w:style>
  <w:style w:type="character" w:styleId="WW8Num164z3">
    <w:name w:val="WW8Num164z3"/>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style>
  <w:style w:type="character" w:styleId="WW8Num168z0">
    <w:name w:val="WW8Num168z0"/>
    <w:qFormat/>
    <w:rPr>
      <w:rFonts w:ascii="Courier New" w:hAnsi="Courier New" w:cs="Courier New"/>
    </w:rPr>
  </w:style>
  <w:style w:type="character" w:styleId="WW8Num168z2">
    <w:name w:val="WW8Num168z2"/>
    <w:qFormat/>
    <w:rPr>
      <w:rFonts w:ascii="Wingdings" w:hAnsi="Wingdings" w:cs="Wingdings"/>
    </w:rPr>
  </w:style>
  <w:style w:type="character" w:styleId="WW8Num168z3">
    <w:name w:val="WW8Num168z3"/>
    <w:qFormat/>
    <w:rPr>
      <w:rFonts w:ascii="Symbol" w:hAnsi="Symbol" w:cs="Symbol"/>
    </w:rPr>
  </w:style>
  <w:style w:type="character" w:styleId="WW8Num169z0">
    <w:name w:val="WW8Num169z0"/>
    <w:qFormat/>
    <w:rPr>
      <w:b/>
    </w:rPr>
  </w:style>
  <w:style w:type="character" w:styleId="WW8Num170z0">
    <w:name w:val="WW8Num170z0"/>
    <w:qFormat/>
    <w:rPr>
      <w:rFonts w:ascii="Symbol" w:hAnsi="Symbol" w:cs="Symbol"/>
    </w:rPr>
  </w:style>
  <w:style w:type="character" w:styleId="WW8Num171z0">
    <w:name w:val="WW8Num171z0"/>
    <w:qFormat/>
    <w:rPr>
      <w:rFonts w:ascii="Wingdings" w:hAnsi="Wingdings" w:cs="Wingdings"/>
    </w:rPr>
  </w:style>
  <w:style w:type="character" w:styleId="WW8Num172z0">
    <w:name w:val="WW8Num172z0"/>
    <w:qFormat/>
    <w:rPr>
      <w:rFonts w:ascii="Symbol" w:hAnsi="Symbol" w:cs="Symbol"/>
    </w:rPr>
  </w:style>
  <w:style w:type="character" w:styleId="WW8Num172z1">
    <w:name w:val="WW8Num172z1"/>
    <w:qFormat/>
    <w:rPr>
      <w:rFonts w:ascii="Courier New" w:hAnsi="Courier New" w:cs="Courier New"/>
    </w:rPr>
  </w:style>
  <w:style w:type="character" w:styleId="WW8Num172z5">
    <w:name w:val="WW8Num172z5"/>
    <w:qFormat/>
    <w:rPr>
      <w:rFonts w:ascii="Wingdings" w:hAnsi="Wingdings" w:cs="Wingdings"/>
    </w:rPr>
  </w:style>
  <w:style w:type="character" w:styleId="WW8Num173z0">
    <w:name w:val="WW8Num173z0"/>
    <w:qFormat/>
    <w:rPr/>
  </w:style>
  <w:style w:type="character" w:styleId="WW8Num174z0">
    <w:name w:val="WW8Num174z0"/>
    <w:qFormat/>
    <w:rPr>
      <w:b/>
      <w:i w:val="false"/>
    </w:rPr>
  </w:style>
  <w:style w:type="character" w:styleId="WW8Num175z0">
    <w:name w:val="WW8Num175z0"/>
    <w:qFormat/>
    <w:rPr/>
  </w:style>
  <w:style w:type="character" w:styleId="WW8Num176z0">
    <w:name w:val="WW8Num176z0"/>
    <w:qFormat/>
    <w:rPr>
      <w:rFonts w:ascii="Symbol" w:hAnsi="Symbol" w:cs="Symbol"/>
      <w:spacing w:val="0"/>
      <w:position w:val="0"/>
      <w:sz w:val="20"/>
      <w:sz w:val="20"/>
      <w:vertAlign w:val="baseline"/>
    </w:rPr>
  </w:style>
  <w:style w:type="character" w:styleId="WW8Num176z1">
    <w:name w:val="WW8Num176z1"/>
    <w:qFormat/>
    <w:rPr>
      <w:rFonts w:ascii="Courier New" w:hAnsi="Courier New" w:cs="Courier New"/>
    </w:rPr>
  </w:style>
  <w:style w:type="character" w:styleId="WW8Num176z2">
    <w:name w:val="WW8Num176z2"/>
    <w:qFormat/>
    <w:rPr>
      <w:rFonts w:ascii="Wingdings" w:hAnsi="Wingdings" w:cs="Wingdings"/>
    </w:rPr>
  </w:style>
  <w:style w:type="character" w:styleId="WW8Num176z3">
    <w:name w:val="WW8Num176z3"/>
    <w:qFormat/>
    <w:rPr>
      <w:rFonts w:ascii="Symbol" w:hAnsi="Symbol" w:cs="Symbol"/>
    </w:rPr>
  </w:style>
  <w:style w:type="character" w:styleId="WW8Num177z0">
    <w:name w:val="WW8Num177z0"/>
    <w:qFormat/>
    <w:rPr>
      <w:rFonts w:ascii="Symbol" w:hAnsi="Symbol" w:cs="Symbol"/>
    </w:rPr>
  </w:style>
  <w:style w:type="character" w:styleId="WW8Num177z1">
    <w:name w:val="WW8Num177z1"/>
    <w:qFormat/>
    <w:rPr>
      <w:rFonts w:ascii="Courier New" w:hAnsi="Courier New" w:cs="Courier New"/>
    </w:rPr>
  </w:style>
  <w:style w:type="character" w:styleId="WW8Num177z2">
    <w:name w:val="WW8Num177z2"/>
    <w:qFormat/>
    <w:rPr>
      <w:rFonts w:ascii="Wingdings" w:hAnsi="Wingdings" w:cs="Wingdings"/>
    </w:rPr>
  </w:style>
  <w:style w:type="character" w:styleId="WW8Num178z0">
    <w:name w:val="WW8Num178z0"/>
    <w:qFormat/>
    <w:rPr>
      <w:rFonts w:ascii="Symbol" w:hAnsi="Symbol" w:cs="Symbol"/>
      <w:color w:val="auto"/>
    </w:rPr>
  </w:style>
  <w:style w:type="character" w:styleId="WW8Num179z0">
    <w:name w:val="WW8Num179z0"/>
    <w:qFormat/>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color w:val="auto"/>
      <w:sz w:val="28"/>
    </w:rPr>
  </w:style>
  <w:style w:type="character" w:styleId="WW8Num183z0">
    <w:name w:val="WW8Num183z0"/>
    <w:qFormat/>
    <w:rPr>
      <w:rFonts w:ascii="Wingdings" w:hAnsi="Wingdings" w:cs="Wingdings"/>
      <w:color w:val="FF0000"/>
      <w:sz w:val="16"/>
    </w:rPr>
  </w:style>
  <w:style w:type="character" w:styleId="WW8Num184z0">
    <w:name w:val="WW8Num184z0"/>
    <w:qFormat/>
    <w:rPr>
      <w:rFonts w:ascii="Symbol" w:hAnsi="Symbol" w:cs="Symbol"/>
      <w:spacing w:val="0"/>
      <w:position w:val="0"/>
      <w:sz w:val="20"/>
      <w:sz w:val="20"/>
      <w:vertAlign w:val="baseline"/>
    </w:rPr>
  </w:style>
  <w:style w:type="character" w:styleId="WW8Num184z1">
    <w:name w:val="WW8Num184z1"/>
    <w:qFormat/>
    <w:rPr>
      <w:rFonts w:ascii="Courier New" w:hAnsi="Courier New" w:cs="Courier New"/>
    </w:rPr>
  </w:style>
  <w:style w:type="character" w:styleId="WW8Num184z2">
    <w:name w:val="WW8Num184z2"/>
    <w:qFormat/>
    <w:rPr>
      <w:rFonts w:ascii="Wingdings" w:hAnsi="Wingdings" w:cs="Wingdings"/>
    </w:rPr>
  </w:style>
  <w:style w:type="character" w:styleId="WW8Num184z3">
    <w:name w:val="WW8Num184z3"/>
    <w:qFormat/>
    <w:rPr>
      <w:rFonts w:ascii="Symbol" w:hAnsi="Symbol" w:cs="Symbol"/>
    </w:rPr>
  </w:style>
  <w:style w:type="character" w:styleId="WW8Num185z0">
    <w:name w:val="WW8Num185z0"/>
    <w:qFormat/>
    <w:rPr>
      <w:rFonts w:ascii="Symbol" w:hAnsi="Symbol" w:cs="Symbol"/>
      <w:color w:val="auto"/>
      <w:sz w:val="28"/>
    </w:rPr>
  </w:style>
  <w:style w:type="character" w:styleId="WW8Num186z0">
    <w:name w:val="WW8Num186z0"/>
    <w:qFormat/>
    <w:rPr>
      <w:rFonts w:ascii="Symbol" w:hAnsi="Symbol" w:cs="Symbol"/>
    </w:rPr>
  </w:style>
  <w:style w:type="character" w:styleId="WW8Num187z0">
    <w:name w:val="WW8Num187z0"/>
    <w:qFormat/>
    <w:rPr>
      <w:b/>
      <w:i w:val="false"/>
    </w:rPr>
  </w:style>
  <w:style w:type="character" w:styleId="WW8Num188z0">
    <w:name w:val="WW8Num188z0"/>
    <w:qFormat/>
    <w:rPr>
      <w:rFonts w:ascii="Wingdings" w:hAnsi="Wingdings" w:cs="Wingdings"/>
      <w:sz w:val="16"/>
    </w:rPr>
  </w:style>
  <w:style w:type="character" w:styleId="WW8Num189z0">
    <w:name w:val="WW8Num189z0"/>
    <w:qFormat/>
    <w:rPr>
      <w:b/>
      <w:i w:val="false"/>
    </w:rPr>
  </w:style>
  <w:style w:type="character" w:styleId="WW8Num190z0">
    <w:name w:val="WW8Num190z0"/>
    <w:qFormat/>
    <w:rPr>
      <w:rFonts w:ascii="Symbol" w:hAnsi="Symbol" w:cs="Symbol"/>
      <w:color w:val="auto"/>
      <w:sz w:val="20"/>
    </w:rPr>
  </w:style>
  <w:style w:type="character" w:styleId="WW8Num191z0">
    <w:name w:val="WW8Num191z0"/>
    <w:qFormat/>
    <w:rPr/>
  </w:style>
  <w:style w:type="character" w:styleId="WW8Num192z0">
    <w:name w:val="WW8Num192z0"/>
    <w:qFormat/>
    <w:rPr>
      <w:b w:val="false"/>
      <w:i w:val="false"/>
    </w:rPr>
  </w:style>
  <w:style w:type="character" w:styleId="WW8Num193z0">
    <w:name w:val="WW8Num193z0"/>
    <w:qFormat/>
    <w:rPr/>
  </w:style>
  <w:style w:type="character" w:styleId="WW8Num194z0">
    <w:name w:val="WW8Num194z0"/>
    <w:qFormat/>
    <w:rPr>
      <w:rFonts w:ascii="Symbol" w:hAnsi="Symbol" w:cs="Symbol"/>
      <w:color w:val="FF0000"/>
    </w:rPr>
  </w:style>
  <w:style w:type="character" w:styleId="WW8Num195z0">
    <w:name w:val="WW8Num195z0"/>
    <w:qFormat/>
    <w:rPr>
      <w:rFonts w:ascii="Symbol" w:hAnsi="Symbol" w:cs="Symbol"/>
      <w:color w:val="auto"/>
      <w:sz w:val="28"/>
    </w:rPr>
  </w:style>
  <w:style w:type="character" w:styleId="WW8Num196z0">
    <w:name w:val="WW8Num196z0"/>
    <w:qFormat/>
    <w:rPr/>
  </w:style>
  <w:style w:type="character" w:styleId="WW8Num197z0">
    <w:name w:val="WW8Num197z0"/>
    <w:qFormat/>
    <w:rPr>
      <w:rFonts w:ascii="Symbol" w:hAnsi="Symbol" w:cs="Symbol"/>
      <w:sz w:val="20"/>
    </w:rPr>
  </w:style>
  <w:style w:type="character" w:styleId="WW8Num198z0">
    <w:name w:val="WW8Num198z0"/>
    <w:qFormat/>
    <w:rPr>
      <w:rFonts w:ascii="Symbol" w:hAnsi="Symbol" w:cs="Symbol"/>
    </w:rPr>
  </w:style>
  <w:style w:type="character" w:styleId="WW8Num198z1">
    <w:name w:val="WW8Num198z1"/>
    <w:qFormat/>
    <w:rPr>
      <w:rFonts w:ascii="Courier New" w:hAnsi="Courier New" w:cs="Courier New"/>
    </w:rPr>
  </w:style>
  <w:style w:type="character" w:styleId="WW8Num198z5">
    <w:name w:val="WW8Num198z5"/>
    <w:qFormat/>
    <w:rPr>
      <w:rFonts w:ascii="Wingdings" w:hAnsi="Wingdings" w:cs="Wingdings"/>
    </w:rPr>
  </w:style>
  <w:style w:type="character" w:styleId="WW8Num199z0">
    <w:name w:val="WW8Num199z0"/>
    <w:qFormat/>
    <w:rPr>
      <w:rFonts w:ascii="Symbol" w:hAnsi="Symbol" w:cs="Symbol"/>
    </w:rPr>
  </w:style>
  <w:style w:type="character" w:styleId="WW8Num199z1">
    <w:name w:val="WW8Num199z1"/>
    <w:qFormat/>
    <w:rPr>
      <w:rFonts w:ascii="Courier New" w:hAnsi="Courier New" w:cs="Courier New"/>
    </w:rPr>
  </w:style>
  <w:style w:type="character" w:styleId="WW8Num199z2">
    <w:name w:val="WW8Num199z2"/>
    <w:qFormat/>
    <w:rPr>
      <w:rFonts w:ascii="Wingdings" w:hAnsi="Wingdings" w:cs="Wingdings"/>
    </w:rPr>
  </w:style>
  <w:style w:type="character" w:styleId="WW8Num200z0">
    <w:name w:val="WW8Num200z0"/>
    <w:qFormat/>
    <w:rPr>
      <w:b/>
      <w:i/>
    </w:rPr>
  </w:style>
  <w:style w:type="character" w:styleId="WW8Num201z0">
    <w:name w:val="WW8Num201z0"/>
    <w:qFormat/>
    <w:rPr>
      <w:rFonts w:ascii="Wingdings" w:hAnsi="Wingdings" w:cs="Wingdings"/>
      <w:sz w:val="16"/>
    </w:rPr>
  </w:style>
  <w:style w:type="character" w:styleId="WW8Num202z0">
    <w:name w:val="WW8Num202z0"/>
    <w:qFormat/>
    <w:rPr>
      <w:rFonts w:ascii="Symbol" w:hAnsi="Symbol" w:cs="Symbol"/>
      <w:spacing w:val="0"/>
      <w:position w:val="0"/>
      <w:sz w:val="20"/>
      <w:sz w:val="20"/>
      <w:vertAlign w:val="baseline"/>
    </w:rPr>
  </w:style>
  <w:style w:type="character" w:styleId="WW8Num202z1">
    <w:name w:val="WW8Num202z1"/>
    <w:qFormat/>
    <w:rPr>
      <w:rFonts w:ascii="Courier New" w:hAnsi="Courier New" w:cs="Courier New"/>
    </w:rPr>
  </w:style>
  <w:style w:type="character" w:styleId="WW8Num202z2">
    <w:name w:val="WW8Num202z2"/>
    <w:qFormat/>
    <w:rPr>
      <w:rFonts w:ascii="Wingdings" w:hAnsi="Wingdings" w:cs="Wingdings"/>
    </w:rPr>
  </w:style>
  <w:style w:type="character" w:styleId="WW8Num202z3">
    <w:name w:val="WW8Num202z3"/>
    <w:qFormat/>
    <w:rPr>
      <w:rFonts w:ascii="Symbol" w:hAnsi="Symbol" w:cs="Symbol"/>
    </w:rPr>
  </w:style>
  <w:style w:type="character" w:styleId="WW8Num203z0">
    <w:name w:val="WW8Num203z0"/>
    <w:qFormat/>
    <w:rPr>
      <w:b/>
      <w:i w:val="false"/>
    </w:rPr>
  </w:style>
  <w:style w:type="character" w:styleId="WW8Num204z0">
    <w:name w:val="WW8Num204z0"/>
    <w:qFormat/>
    <w:rPr>
      <w:rFonts w:ascii="Symbol" w:hAnsi="Symbol" w:cs="Symbol"/>
    </w:rPr>
  </w:style>
  <w:style w:type="character" w:styleId="WW8Num205z0">
    <w:name w:val="WW8Num205z0"/>
    <w:qFormat/>
    <w:rPr>
      <w:b/>
      <w:i w:val="false"/>
    </w:rPr>
  </w:style>
  <w:style w:type="character" w:styleId="WW8Num206z0">
    <w:name w:val="WW8Num206z0"/>
    <w:qFormat/>
    <w:rPr>
      <w:rFonts w:ascii="Symbol" w:hAnsi="Symbol" w:cs="Symbol"/>
      <w:color w:val="auto"/>
      <w:sz w:val="20"/>
    </w:rPr>
  </w:style>
  <w:style w:type="character" w:styleId="WW8Num207z0">
    <w:name w:val="WW8Num207z0"/>
    <w:qFormat/>
    <w:rPr>
      <w:rFonts w:ascii="Symbol" w:hAnsi="Symbol" w:cs="Symbol"/>
      <w:color w:val="auto"/>
      <w:sz w:val="20"/>
    </w:rPr>
  </w:style>
  <w:style w:type="character" w:styleId="WW8Num208z0">
    <w:name w:val="WW8Num208z0"/>
    <w:qFormat/>
    <w:rPr>
      <w:rFonts w:ascii="Symbol" w:hAnsi="Symbol" w:cs="Symbol"/>
      <w:color w:val="auto"/>
    </w:rPr>
  </w:style>
  <w:style w:type="character" w:styleId="WW8Num209z0">
    <w:name w:val="WW8Num209z0"/>
    <w:qFormat/>
    <w:rPr>
      <w:rFonts w:ascii="Symbol" w:hAnsi="Symbol" w:cs="Symbol"/>
      <w:color w:val="auto"/>
      <w:sz w:val="28"/>
    </w:rPr>
  </w:style>
  <w:style w:type="character" w:styleId="WW8Num210z0">
    <w:name w:val="WW8Num210z0"/>
    <w:qFormat/>
    <w:rPr>
      <w:rFonts w:ascii="Wingdings" w:hAnsi="Wingdings" w:cs="Wingdings"/>
      <w:color w:val="000000"/>
      <w:sz w:val="16"/>
    </w:rPr>
  </w:style>
  <w:style w:type="character" w:styleId="WW8Num211z0">
    <w:name w:val="WW8Num211z0"/>
    <w:qFormat/>
    <w:rPr/>
  </w:style>
  <w:style w:type="character" w:styleId="WW8Num212z0">
    <w:name w:val="WW8Num212z0"/>
    <w:qFormat/>
    <w:rPr>
      <w:rFonts w:ascii="Symbol" w:hAnsi="Symbol" w:cs="Symbol"/>
      <w:color w:val="auto"/>
    </w:rPr>
  </w:style>
  <w:style w:type="character" w:styleId="WW8Num213z0">
    <w:name w:val="WW8Num213z0"/>
    <w:qFormat/>
    <w:rPr/>
  </w:style>
  <w:style w:type="character" w:styleId="WW8Num214z0">
    <w:name w:val="WW8Num214z0"/>
    <w:qFormat/>
    <w:rPr>
      <w:rFonts w:ascii="Symbol" w:hAnsi="Symbol" w:cs="Symbol"/>
      <w:color w:val="auto"/>
    </w:rPr>
  </w:style>
  <w:style w:type="character" w:styleId="WW8Num215z0">
    <w:name w:val="WW8Num215z0"/>
    <w:qFormat/>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7z1">
    <w:name w:val="WW8Num217z1"/>
    <w:qFormat/>
    <w:rPr>
      <w:rFonts w:ascii="Courier New" w:hAnsi="Courier New" w:cs="Courier New"/>
    </w:rPr>
  </w:style>
  <w:style w:type="character" w:styleId="WW8Num217z2">
    <w:name w:val="WW8Num217z2"/>
    <w:qFormat/>
    <w:rPr>
      <w:rFonts w:ascii="Wingdings" w:hAnsi="Wingdings" w:cs="Wingdings"/>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1z0">
    <w:name w:val="WW8Num221z0"/>
    <w:qFormat/>
    <w:rPr>
      <w:rFonts w:ascii="Symbol" w:hAnsi="Symbol" w:cs="Symbol"/>
      <w:color w:val="auto"/>
      <w:sz w:val="20"/>
    </w:rPr>
  </w:style>
  <w:style w:type="character" w:styleId="WW8Num222z0">
    <w:name w:val="WW8Num222z0"/>
    <w:qFormat/>
    <w:rPr>
      <w:rFonts w:ascii="Symbol" w:hAnsi="Symbol" w:cs="Symbol"/>
      <w:color w:val="auto"/>
      <w:sz w:val="20"/>
    </w:rPr>
  </w:style>
  <w:style w:type="character" w:styleId="WW8Num223z0">
    <w:name w:val="WW8Num223z0"/>
    <w:qFormat/>
    <w:rPr>
      <w:rFonts w:ascii="Symbol" w:hAnsi="Symbol" w:cs="Symbol"/>
    </w:rPr>
  </w:style>
  <w:style w:type="character" w:styleId="WW8Num223z1">
    <w:name w:val="WW8Num223z1"/>
    <w:qFormat/>
    <w:rPr>
      <w:rFonts w:ascii="Courier New" w:hAnsi="Courier New" w:cs="Courier New"/>
    </w:rPr>
  </w:style>
  <w:style w:type="character" w:styleId="WW8Num223z2">
    <w:name w:val="WW8Num223z2"/>
    <w:qFormat/>
    <w:rPr>
      <w:rFonts w:ascii="Wingdings" w:hAnsi="Wingdings" w:cs="Wingdings"/>
    </w:rPr>
  </w:style>
  <w:style w:type="character" w:styleId="WW8Num224z0">
    <w:name w:val="WW8Num224z0"/>
    <w:qFormat/>
    <w:rPr>
      <w:rFonts w:ascii="Symbol" w:hAnsi="Symbol" w:cs="Symbol"/>
      <w:color w:val="auto"/>
      <w:sz w:val="20"/>
    </w:rPr>
  </w:style>
  <w:style w:type="character" w:styleId="WW8Num225z0">
    <w:name w:val="WW8Num225z0"/>
    <w:qFormat/>
    <w:rPr/>
  </w:style>
  <w:style w:type="character" w:styleId="WW8Num226z0">
    <w:name w:val="WW8Num226z0"/>
    <w:qFormat/>
    <w:rPr/>
  </w:style>
  <w:style w:type="character" w:styleId="WW8Num227z0">
    <w:name w:val="WW8Num227z0"/>
    <w:qFormat/>
    <w:rPr>
      <w:b/>
      <w:i w:val="false"/>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30z0">
    <w:name w:val="WW8Num230z0"/>
    <w:qFormat/>
    <w:rPr>
      <w:rFonts w:ascii="Symbol" w:hAnsi="Symbol" w:cs="Symbol"/>
      <w:spacing w:val="0"/>
      <w:position w:val="0"/>
      <w:sz w:val="20"/>
      <w:sz w:val="20"/>
      <w:vertAlign w:val="baseline"/>
    </w:rPr>
  </w:style>
  <w:style w:type="character" w:styleId="WW8Num230z1">
    <w:name w:val="WW8Num230z1"/>
    <w:qFormat/>
    <w:rPr>
      <w:rFonts w:ascii="Courier New" w:hAnsi="Courier New" w:cs="Courier New"/>
    </w:rPr>
  </w:style>
  <w:style w:type="character" w:styleId="WW8Num230z2">
    <w:name w:val="WW8Num230z2"/>
    <w:qFormat/>
    <w:rPr>
      <w:rFonts w:ascii="Wingdings" w:hAnsi="Wingdings" w:cs="Wingdings"/>
    </w:rPr>
  </w:style>
  <w:style w:type="character" w:styleId="WW8Num230z3">
    <w:name w:val="WW8Num230z3"/>
    <w:qFormat/>
    <w:rPr>
      <w:rFonts w:ascii="Symbol" w:hAnsi="Symbol" w:cs="Symbol"/>
    </w:rPr>
  </w:style>
  <w:style w:type="character" w:styleId="WW8Num231z0">
    <w:name w:val="WW8Num231z0"/>
    <w:qFormat/>
    <w:rPr>
      <w:b/>
      <w:i w:val="false"/>
    </w:rPr>
  </w:style>
  <w:style w:type="character" w:styleId="WW8Num232z0">
    <w:name w:val="WW8Num232z0"/>
    <w:qFormat/>
    <w:rPr>
      <w:rFonts w:ascii="Symbol" w:hAnsi="Symbol" w:cs="Symbol"/>
    </w:rPr>
  </w:style>
  <w:style w:type="character" w:styleId="WW8Num233z0">
    <w:name w:val="WW8Num233z0"/>
    <w:qFormat/>
    <w:rPr>
      <w:rFonts w:ascii="Symbol" w:hAnsi="Symbol" w:cs="Symbol"/>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6z1">
    <w:name w:val="WW8Num236z1"/>
    <w:qFormat/>
    <w:rPr>
      <w:rFonts w:ascii="Courier New" w:hAnsi="Courier New" w:cs="Courier New"/>
    </w:rPr>
  </w:style>
  <w:style w:type="character" w:styleId="WW8Num236z5">
    <w:name w:val="WW8Num236z5"/>
    <w:qFormat/>
    <w:rPr>
      <w:rFonts w:ascii="Wingdings" w:hAnsi="Wingdings" w:cs="Wingdings"/>
    </w:rPr>
  </w:style>
  <w:style w:type="character" w:styleId="WW8Num237z0">
    <w:name w:val="WW8Num237z0"/>
    <w:qFormat/>
    <w:rPr>
      <w:b/>
      <w:i w:val="false"/>
    </w:rPr>
  </w:style>
  <w:style w:type="character" w:styleId="WW8Num238z0">
    <w:name w:val="WW8Num238z0"/>
    <w:qFormat/>
    <w:rPr>
      <w:rFonts w:ascii="Symbol" w:hAnsi="Symbol" w:cs="Symbol"/>
    </w:rPr>
  </w:style>
  <w:style w:type="character" w:styleId="WW8Num238z1">
    <w:name w:val="WW8Num238z1"/>
    <w:qFormat/>
    <w:rPr>
      <w:rFonts w:ascii="Courier New" w:hAnsi="Courier New" w:cs="Courier New"/>
    </w:rPr>
  </w:style>
  <w:style w:type="character" w:styleId="WW8Num238z5">
    <w:name w:val="WW8Num238z5"/>
    <w:qFormat/>
    <w:rPr>
      <w:rFonts w:ascii="Wingdings" w:hAnsi="Wingdings" w:cs="Wingdings"/>
    </w:rPr>
  </w:style>
  <w:style w:type="character" w:styleId="WW8Num239z0">
    <w:name w:val="WW8Num239z0"/>
    <w:qFormat/>
    <w:rPr>
      <w:b w:val="false"/>
      <w:i w:val="false"/>
    </w:rPr>
  </w:style>
  <w:style w:type="character" w:styleId="WW8Num240z0">
    <w:name w:val="WW8Num240z0"/>
    <w:qFormat/>
    <w:rPr/>
  </w:style>
  <w:style w:type="character" w:styleId="WW8Num241z0">
    <w:name w:val="WW8Num241z0"/>
    <w:qFormat/>
    <w:rPr>
      <w:rFonts w:ascii="Symbol" w:hAnsi="Symbol" w:cs="Symbol"/>
    </w:rPr>
  </w:style>
  <w:style w:type="character" w:styleId="WW8Num241z1">
    <w:name w:val="WW8Num241z1"/>
    <w:qFormat/>
    <w:rPr>
      <w:rFonts w:ascii="Courier New" w:hAnsi="Courier New" w:cs="Courier New"/>
    </w:rPr>
  </w:style>
  <w:style w:type="character" w:styleId="WW8Num241z2">
    <w:name w:val="WW8Num241z2"/>
    <w:qFormat/>
    <w:rPr>
      <w:rFonts w:ascii="Wingdings" w:hAnsi="Wingdings" w:cs="Wingdings"/>
    </w:rPr>
  </w:style>
  <w:style w:type="character" w:styleId="WW8Num242z0">
    <w:name w:val="WW8Num242z0"/>
    <w:qFormat/>
    <w:rPr>
      <w:rFonts w:ascii="Symbol" w:hAnsi="Symbol" w:cs="Symbol"/>
      <w:sz w:val="20"/>
    </w:rPr>
  </w:style>
  <w:style w:type="character" w:styleId="WW8Num243z0">
    <w:name w:val="WW8Num243z0"/>
    <w:qFormat/>
    <w:rPr>
      <w:rFonts w:ascii="Symbol" w:hAnsi="Symbol" w:cs="Symbol"/>
      <w:color w:val="auto"/>
    </w:rPr>
  </w:style>
  <w:style w:type="character" w:styleId="WW8Num244z0">
    <w:name w:val="WW8Num244z0"/>
    <w:qFormat/>
    <w:rPr/>
  </w:style>
  <w:style w:type="character" w:styleId="WW8Num245z0">
    <w:name w:val="WW8Num245z0"/>
    <w:qFormat/>
    <w:rPr/>
  </w:style>
  <w:style w:type="character" w:styleId="WW8Num248z0">
    <w:name w:val="WW8Num248z0"/>
    <w:qFormat/>
    <w:rPr/>
  </w:style>
  <w:style w:type="character" w:styleId="WW8Num249z0">
    <w:name w:val="WW8Num249z0"/>
    <w:qFormat/>
    <w:rPr>
      <w:rFonts w:ascii="Courier New" w:hAnsi="Courier New" w:cs="Courier New"/>
    </w:rPr>
  </w:style>
  <w:style w:type="character" w:styleId="WW8Num249z2">
    <w:name w:val="WW8Num249z2"/>
    <w:qFormat/>
    <w:rPr>
      <w:rFonts w:ascii="Wingdings" w:hAnsi="Wingdings" w:cs="Wingdings"/>
    </w:rPr>
  </w:style>
  <w:style w:type="character" w:styleId="WW8Num249z3">
    <w:name w:val="WW8Num249z3"/>
    <w:qFormat/>
    <w:rPr>
      <w:rFonts w:ascii="Symbol" w:hAnsi="Symbol" w:cs="Symbol"/>
    </w:rPr>
  </w:style>
  <w:style w:type="character" w:styleId="WW8Num250z0">
    <w:name w:val="WW8Num250z0"/>
    <w:qFormat/>
    <w:rPr>
      <w:rFonts w:ascii="Symbol" w:hAnsi="Symbol" w:cs="Symbol"/>
    </w:rPr>
  </w:style>
  <w:style w:type="character" w:styleId="WW8Num251z0">
    <w:name w:val="WW8Num251z0"/>
    <w:qFormat/>
    <w:rPr>
      <w:rFonts w:ascii="Symbol" w:hAnsi="Symbol" w:cs="Symbol"/>
      <w:spacing w:val="0"/>
      <w:position w:val="0"/>
      <w:sz w:val="20"/>
      <w:sz w:val="20"/>
      <w:vertAlign w:val="baseline"/>
    </w:rPr>
  </w:style>
  <w:style w:type="character" w:styleId="WW8Num251z1">
    <w:name w:val="WW8Num251z1"/>
    <w:qFormat/>
    <w:rPr>
      <w:rFonts w:ascii="Courier New" w:hAnsi="Courier New" w:cs="Courier New"/>
    </w:rPr>
  </w:style>
  <w:style w:type="character" w:styleId="WW8Num251z2">
    <w:name w:val="WW8Num251z2"/>
    <w:qFormat/>
    <w:rPr>
      <w:rFonts w:ascii="Wingdings" w:hAnsi="Wingdings" w:cs="Wingdings"/>
    </w:rPr>
  </w:style>
  <w:style w:type="character" w:styleId="WW8Num251z3">
    <w:name w:val="WW8Num251z3"/>
    <w:qFormat/>
    <w:rPr>
      <w:rFonts w:ascii="Symbol" w:hAnsi="Symbol" w:cs="Symbol"/>
    </w:rPr>
  </w:style>
  <w:style w:type="character" w:styleId="WW8Num252z0">
    <w:name w:val="WW8Num252z0"/>
    <w:qFormat/>
    <w:rPr/>
  </w:style>
  <w:style w:type="character" w:styleId="WW8Num253z0">
    <w:name w:val="WW8Num253z0"/>
    <w:qFormat/>
    <w:rPr>
      <w:rFonts w:ascii="Symbol" w:hAnsi="Symbol" w:cs="Symbol"/>
      <w:sz w:val="24"/>
    </w:rPr>
  </w:style>
  <w:style w:type="character" w:styleId="WW8Num253z1">
    <w:name w:val="WW8Num253z1"/>
    <w:qFormat/>
    <w:rPr>
      <w:rFonts w:ascii="Courier New" w:hAnsi="Courier New" w:cs="Courier New"/>
    </w:rPr>
  </w:style>
  <w:style w:type="character" w:styleId="WW8Num253z2">
    <w:name w:val="WW8Num253z2"/>
    <w:qFormat/>
    <w:rPr>
      <w:rFonts w:ascii="Wingdings" w:hAnsi="Wingdings" w:cs="Wingdings"/>
    </w:rPr>
  </w:style>
  <w:style w:type="character" w:styleId="WW8Num253z3">
    <w:name w:val="WW8Num253z3"/>
    <w:qFormat/>
    <w:rPr>
      <w:rFonts w:ascii="Symbol" w:hAnsi="Symbol" w:cs="Symbol"/>
    </w:rPr>
  </w:style>
  <w:style w:type="character" w:styleId="WW8Num254z0">
    <w:name w:val="WW8Num254z0"/>
    <w:qFormat/>
    <w:rPr>
      <w:rFonts w:ascii="Symbol" w:hAnsi="Symbol" w:cs="Symbol"/>
    </w:rPr>
  </w:style>
  <w:style w:type="character" w:styleId="WW8Num255z0">
    <w:name w:val="WW8Num255z0"/>
    <w:qFormat/>
    <w:rPr>
      <w:rFonts w:ascii="Symbol" w:hAnsi="Symbol" w:cs="Symbol"/>
      <w:color w:val="FF0000"/>
    </w:rPr>
  </w:style>
  <w:style w:type="character" w:styleId="WW8Num256z0">
    <w:name w:val="WW8Num256z0"/>
    <w:qFormat/>
    <w:rPr>
      <w:rFonts w:ascii="Symbol" w:hAnsi="Symbol" w:cs="Symbol"/>
      <w:sz w:val="20"/>
    </w:rPr>
  </w:style>
  <w:style w:type="character" w:styleId="WW8Num257z0">
    <w:name w:val="WW8Num257z0"/>
    <w:qFormat/>
    <w:rPr>
      <w:rFonts w:ascii="Symbol" w:hAnsi="Symbol" w:cs="Symbol"/>
    </w:rPr>
  </w:style>
  <w:style w:type="character" w:styleId="WW8Num258z0">
    <w:name w:val="WW8Num258z0"/>
    <w:qFormat/>
    <w:rPr>
      <w:rFonts w:ascii="Symbol" w:hAnsi="Symbol" w:cs="Symbol"/>
    </w:rPr>
  </w:style>
  <w:style w:type="character" w:styleId="WW8Num258z1">
    <w:name w:val="WW8Num258z1"/>
    <w:qFormat/>
    <w:rPr>
      <w:rFonts w:ascii="Courier New" w:hAnsi="Courier New" w:cs="Courier New"/>
    </w:rPr>
  </w:style>
  <w:style w:type="character" w:styleId="WW8Num258z5">
    <w:name w:val="WW8Num258z5"/>
    <w:qFormat/>
    <w:rPr>
      <w:rFonts w:ascii="Wingdings" w:hAnsi="Wingdings" w:cs="Wingdings"/>
    </w:rPr>
  </w:style>
  <w:style w:type="character" w:styleId="WW8Num259z0">
    <w:name w:val="WW8Num259z0"/>
    <w:qFormat/>
    <w:rPr>
      <w:b/>
      <w:i w:val="false"/>
    </w:rPr>
  </w:style>
  <w:style w:type="character" w:styleId="WW8Num260z0">
    <w:name w:val="WW8Num260z0"/>
    <w:qFormat/>
    <w:rPr>
      <w:rFonts w:ascii="Symbol" w:hAnsi="Symbol" w:cs="Symbol"/>
      <w:sz w:val="20"/>
    </w:rPr>
  </w:style>
  <w:style w:type="character" w:styleId="WW8Num261z0">
    <w:name w:val="WW8Num261z0"/>
    <w:qFormat/>
    <w:rPr/>
  </w:style>
  <w:style w:type="character" w:styleId="WW8Num262z0">
    <w:name w:val="WW8Num262z0"/>
    <w:qFormat/>
    <w:rPr>
      <w:rFonts w:ascii="Wingdings" w:hAnsi="Wingdings" w:cs="Wingdings"/>
      <w:color w:val="FF0000"/>
      <w:sz w:val="16"/>
    </w:rPr>
  </w:style>
  <w:style w:type="character" w:styleId="WW8Num263z0">
    <w:name w:val="WW8Num263z0"/>
    <w:qFormat/>
    <w:rPr>
      <w:rFonts w:ascii="Courier New" w:hAnsi="Courier New" w:cs="Courier New"/>
    </w:rPr>
  </w:style>
  <w:style w:type="character" w:styleId="WW8Num263z2">
    <w:name w:val="WW8Num263z2"/>
    <w:qFormat/>
    <w:rPr>
      <w:rFonts w:ascii="Wingdings" w:hAnsi="Wingdings" w:cs="Wingdings"/>
    </w:rPr>
  </w:style>
  <w:style w:type="character" w:styleId="WW8Num263z3">
    <w:name w:val="WW8Num263z3"/>
    <w:qFormat/>
    <w:rPr>
      <w:rFonts w:ascii="Symbol" w:hAnsi="Symbol" w:cs="Symbol"/>
    </w:rPr>
  </w:style>
  <w:style w:type="character" w:styleId="WW8Num264z0">
    <w:name w:val="WW8Num264z0"/>
    <w:qFormat/>
    <w:rPr>
      <w:rFonts w:ascii="Symbol" w:hAnsi="Symbol" w:cs="Symbol"/>
      <w:color w:val="auto"/>
      <w:sz w:val="20"/>
    </w:rPr>
  </w:style>
  <w:style w:type="character" w:styleId="WW8Num265z0">
    <w:name w:val="WW8Num265z0"/>
    <w:qFormat/>
    <w:rPr>
      <w:rFonts w:ascii="Courier New" w:hAnsi="Courier New" w:cs="Courier New"/>
    </w:rPr>
  </w:style>
  <w:style w:type="character" w:styleId="WW8Num265z2">
    <w:name w:val="WW8Num265z2"/>
    <w:qFormat/>
    <w:rPr>
      <w:rFonts w:ascii="Wingdings" w:hAnsi="Wingdings" w:cs="Wingdings"/>
    </w:rPr>
  </w:style>
  <w:style w:type="character" w:styleId="WW8Num265z3">
    <w:name w:val="WW8Num265z3"/>
    <w:qFormat/>
    <w:rPr>
      <w:rFonts w:ascii="Symbol" w:hAnsi="Symbol" w:cs="Symbol"/>
    </w:rPr>
  </w:style>
  <w:style w:type="character" w:styleId="WW8Num266z0">
    <w:name w:val="WW8Num266z0"/>
    <w:qFormat/>
    <w:rPr>
      <w:rFonts w:ascii="Symbol" w:hAnsi="Symbol" w:cs="Symbol"/>
    </w:rPr>
  </w:style>
  <w:style w:type="character" w:styleId="WW8Num268z0">
    <w:name w:val="WW8Num268z0"/>
    <w:qFormat/>
    <w:rPr/>
  </w:style>
  <w:style w:type="character" w:styleId="WW8Num269z0">
    <w:name w:val="WW8Num269z0"/>
    <w:qFormat/>
    <w:rPr>
      <w:rFonts w:ascii="Symbol" w:hAnsi="Symbol" w:cs="Symbol"/>
    </w:rPr>
  </w:style>
  <w:style w:type="character" w:styleId="WW8Num271z0">
    <w:name w:val="WW8Num271z0"/>
    <w:qFormat/>
    <w:rPr>
      <w:rFonts w:ascii="Symbol" w:hAnsi="Symbol" w:cs="Symbol"/>
    </w:rPr>
  </w:style>
  <w:style w:type="character" w:styleId="WW8Num272z0">
    <w:name w:val="WW8Num272z0"/>
    <w:qFormat/>
    <w:rPr>
      <w:rFonts w:ascii="Symbol" w:hAnsi="Symbol" w:cs="Symbol"/>
    </w:rPr>
  </w:style>
  <w:style w:type="character" w:styleId="WW8Num273z0">
    <w:name w:val="WW8Num273z0"/>
    <w:qFormat/>
    <w:rPr/>
  </w:style>
  <w:style w:type="character" w:styleId="WW8Num274z0">
    <w:name w:val="WW8Num274z0"/>
    <w:qFormat/>
    <w:rPr>
      <w:b/>
      <w:i w:val="false"/>
    </w:rPr>
  </w:style>
  <w:style w:type="character" w:styleId="WW8Num276z0">
    <w:name w:val="WW8Num276z0"/>
    <w:qFormat/>
    <w:rPr>
      <w:b/>
      <w:i w:val="false"/>
    </w:rPr>
  </w:style>
  <w:style w:type="character" w:styleId="WW8Num277z0">
    <w:name w:val="WW8Num277z0"/>
    <w:qFormat/>
    <w:rPr/>
  </w:style>
  <w:style w:type="character" w:styleId="WW8Num278z0">
    <w:name w:val="WW8Num278z0"/>
    <w:qFormat/>
    <w:rPr>
      <w:rFonts w:ascii="Courier New" w:hAnsi="Courier New" w:cs="Courier New"/>
    </w:rPr>
  </w:style>
  <w:style w:type="character" w:styleId="WW8Num278z2">
    <w:name w:val="WW8Num278z2"/>
    <w:qFormat/>
    <w:rPr>
      <w:rFonts w:ascii="Wingdings" w:hAnsi="Wingdings" w:cs="Wingdings"/>
    </w:rPr>
  </w:style>
  <w:style w:type="character" w:styleId="WW8Num278z3">
    <w:name w:val="WW8Num278z3"/>
    <w:qFormat/>
    <w:rPr>
      <w:rFonts w:ascii="Symbol" w:hAnsi="Symbol" w:cs="Symbol"/>
    </w:rPr>
  </w:style>
  <w:style w:type="character" w:styleId="WW8Num279z0">
    <w:name w:val="WW8Num279z0"/>
    <w:qFormat/>
    <w:rPr/>
  </w:style>
  <w:style w:type="character" w:styleId="WW8Num280z0">
    <w:name w:val="WW8Num280z0"/>
    <w:qFormat/>
    <w:rPr>
      <w:rFonts w:ascii="Symbol" w:hAnsi="Symbol" w:cs="Symbol"/>
      <w:color w:val="auto"/>
    </w:rPr>
  </w:style>
  <w:style w:type="character" w:styleId="WW8Num281z0">
    <w:name w:val="WW8Num281z0"/>
    <w:qFormat/>
    <w:rPr>
      <w:rFonts w:ascii="Symbol" w:hAnsi="Symbol" w:cs="Symbol"/>
    </w:rPr>
  </w:style>
  <w:style w:type="character" w:styleId="WW8Num282z0">
    <w:name w:val="WW8Num282z0"/>
    <w:qFormat/>
    <w:rPr>
      <w:rFonts w:ascii="Symbol" w:hAnsi="Symbol" w:cs="Symbol"/>
    </w:rPr>
  </w:style>
  <w:style w:type="character" w:styleId="WW8Num284z0">
    <w:name w:val="WW8Num284z0"/>
    <w:qFormat/>
    <w:rPr>
      <w:rFonts w:ascii="Symbol" w:hAnsi="Symbol" w:cs="Symbol"/>
      <w:spacing w:val="0"/>
      <w:position w:val="0"/>
      <w:sz w:val="20"/>
      <w:sz w:val="20"/>
      <w:vertAlign w:val="baseline"/>
    </w:rPr>
  </w:style>
  <w:style w:type="character" w:styleId="WW8Num284z1">
    <w:name w:val="WW8Num284z1"/>
    <w:qFormat/>
    <w:rPr>
      <w:rFonts w:ascii="Courier New" w:hAnsi="Courier New" w:cs="Courier New"/>
    </w:rPr>
  </w:style>
  <w:style w:type="character" w:styleId="WW8Num284z2">
    <w:name w:val="WW8Num284z2"/>
    <w:qFormat/>
    <w:rPr>
      <w:rFonts w:ascii="Wingdings" w:hAnsi="Wingdings" w:cs="Wingdings"/>
    </w:rPr>
  </w:style>
  <w:style w:type="character" w:styleId="WW8Num284z3">
    <w:name w:val="WW8Num284z3"/>
    <w:qFormat/>
    <w:rPr>
      <w:rFonts w:ascii="Symbol" w:hAnsi="Symbol" w:cs="Symbol"/>
    </w:rPr>
  </w:style>
  <w:style w:type="character" w:styleId="WW8Num285z0">
    <w:name w:val="WW8Num285z0"/>
    <w:qFormat/>
    <w:rPr>
      <w:rFonts w:ascii="Symbol" w:hAnsi="Symbol" w:cs="Symbol"/>
    </w:rPr>
  </w:style>
  <w:style w:type="character" w:styleId="WW8Num286z0">
    <w:name w:val="WW8Num286z0"/>
    <w:qFormat/>
    <w:rPr>
      <w:rFonts w:ascii="Symbol" w:hAnsi="Symbol" w:cs="Symbol"/>
      <w:spacing w:val="0"/>
      <w:position w:val="0"/>
      <w:sz w:val="20"/>
      <w:sz w:val="20"/>
      <w:vertAlign w:val="baseline"/>
    </w:rPr>
  </w:style>
  <w:style w:type="character" w:styleId="WW8Num286z1">
    <w:name w:val="WW8Num286z1"/>
    <w:qFormat/>
    <w:rPr>
      <w:rFonts w:ascii="Courier New" w:hAnsi="Courier New" w:cs="Courier New"/>
    </w:rPr>
  </w:style>
  <w:style w:type="character" w:styleId="WW8Num286z2">
    <w:name w:val="WW8Num286z2"/>
    <w:qFormat/>
    <w:rPr>
      <w:rFonts w:ascii="Wingdings" w:hAnsi="Wingdings" w:cs="Wingdings"/>
    </w:rPr>
  </w:style>
  <w:style w:type="character" w:styleId="WW8Num286z3">
    <w:name w:val="WW8Num286z3"/>
    <w:qFormat/>
    <w:rPr>
      <w:rFonts w:ascii="Symbol" w:hAnsi="Symbol" w:cs="Symbol"/>
    </w:rPr>
  </w:style>
  <w:style w:type="character" w:styleId="WW8Num287z0">
    <w:name w:val="WW8Num287z0"/>
    <w:qFormat/>
    <w:rPr/>
  </w:style>
  <w:style w:type="character" w:styleId="WW8Num288z0">
    <w:name w:val="WW8Num288z0"/>
    <w:qFormat/>
    <w:rPr/>
  </w:style>
  <w:style w:type="character" w:styleId="WW8Num291z0">
    <w:name w:val="WW8Num291z0"/>
    <w:qFormat/>
    <w:rPr>
      <w:rFonts w:ascii="Symbol" w:hAnsi="Symbol" w:cs="Symbol"/>
    </w:rPr>
  </w:style>
  <w:style w:type="character" w:styleId="WW8Num291z1">
    <w:name w:val="WW8Num291z1"/>
    <w:qFormat/>
    <w:rPr>
      <w:rFonts w:ascii="Courier New" w:hAnsi="Courier New" w:cs="Courier New"/>
    </w:rPr>
  </w:style>
  <w:style w:type="character" w:styleId="WW8Num291z2">
    <w:name w:val="WW8Num291z2"/>
    <w:qFormat/>
    <w:rPr>
      <w:rFonts w:ascii="Wingdings" w:hAnsi="Wingdings" w:cs="Wingdings"/>
    </w:rPr>
  </w:style>
  <w:style w:type="character" w:styleId="WW8Num292z0">
    <w:name w:val="WW8Num292z0"/>
    <w:qFormat/>
    <w:rPr>
      <w:rFonts w:ascii="Symbol" w:hAnsi="Symbol" w:cs="Symbol"/>
    </w:rPr>
  </w:style>
  <w:style w:type="character" w:styleId="WW8Num292z1">
    <w:name w:val="WW8Num292z1"/>
    <w:qFormat/>
    <w:rPr>
      <w:rFonts w:ascii="Courier New" w:hAnsi="Courier New" w:cs="Courier New"/>
    </w:rPr>
  </w:style>
  <w:style w:type="character" w:styleId="WW8Num292z2">
    <w:name w:val="WW8Num292z2"/>
    <w:qFormat/>
    <w:rPr>
      <w:rFonts w:ascii="Wingdings" w:hAnsi="Wingdings" w:cs="Wingdings"/>
    </w:rPr>
  </w:style>
  <w:style w:type="character" w:styleId="WW8Num293z0">
    <w:name w:val="WW8Num293z0"/>
    <w:qFormat/>
    <w:rPr>
      <w:rFonts w:ascii="Symbol" w:hAnsi="Symbol" w:cs="Symbol"/>
      <w:color w:val="FF0000"/>
    </w:rPr>
  </w:style>
  <w:style w:type="character" w:styleId="WW8Num294z0">
    <w:name w:val="WW8Num294z0"/>
    <w:qFormat/>
    <w:rPr/>
  </w:style>
  <w:style w:type="character" w:styleId="WW8Num295z0">
    <w:name w:val="WW8Num295z0"/>
    <w:qFormat/>
    <w:rPr/>
  </w:style>
  <w:style w:type="character" w:styleId="WW8Num296z0">
    <w:name w:val="WW8Num296z0"/>
    <w:qFormat/>
    <w:rPr/>
  </w:style>
  <w:style w:type="character" w:styleId="WW8Num297z0">
    <w:name w:val="WW8Num297z0"/>
    <w:qFormat/>
    <w:rPr/>
  </w:style>
  <w:style w:type="character" w:styleId="WW8Num298z0">
    <w:name w:val="WW8Num298z0"/>
    <w:qFormat/>
    <w:rPr>
      <w:rFonts w:ascii="Symbol" w:hAnsi="Symbol" w:cs="Symbol"/>
      <w:color w:val="auto"/>
    </w:rPr>
  </w:style>
  <w:style w:type="character" w:styleId="WW8Num299z0">
    <w:name w:val="WW8Num299z0"/>
    <w:qFormat/>
    <w:rPr>
      <w:b/>
      <w:i w:val="false"/>
    </w:rPr>
  </w:style>
  <w:style w:type="character" w:styleId="WW8Num300z0">
    <w:name w:val="WW8Num300z0"/>
    <w:qFormat/>
    <w:rPr>
      <w:rFonts w:ascii="Wingdings" w:hAnsi="Wingdings" w:cs="Wingdings"/>
    </w:rPr>
  </w:style>
  <w:style w:type="character" w:styleId="WW8Num301z0">
    <w:name w:val="WW8Num301z0"/>
    <w:qFormat/>
    <w:rPr>
      <w:rFonts w:ascii="Symbol" w:hAnsi="Symbol" w:cs="Symbol"/>
    </w:rPr>
  </w:style>
  <w:style w:type="character" w:styleId="WW8Num302z0">
    <w:name w:val="WW8Num302z0"/>
    <w:qFormat/>
    <w:rPr/>
  </w:style>
  <w:style w:type="character" w:styleId="WW8Num303z0">
    <w:name w:val="WW8Num303z0"/>
    <w:qFormat/>
    <w:rPr/>
  </w:style>
  <w:style w:type="character" w:styleId="WW8Num304z0">
    <w:name w:val="WW8Num304z0"/>
    <w:qFormat/>
    <w:rPr>
      <w:b/>
      <w:i w:val="false"/>
    </w:rPr>
  </w:style>
  <w:style w:type="character" w:styleId="WW8Num305z0">
    <w:name w:val="WW8Num305z0"/>
    <w:qFormat/>
    <w:rPr>
      <w:rFonts w:ascii="Symbol" w:hAnsi="Symbol" w:cs="Symbol"/>
    </w:rPr>
  </w:style>
  <w:style w:type="character" w:styleId="WW8Num306z0">
    <w:name w:val="WW8Num306z0"/>
    <w:qFormat/>
    <w:rPr>
      <w:rFonts w:ascii="Symbol" w:hAnsi="Symbol" w:cs="Symbol"/>
      <w:spacing w:val="0"/>
      <w:position w:val="0"/>
      <w:sz w:val="20"/>
      <w:sz w:val="20"/>
      <w:vertAlign w:val="baseline"/>
    </w:rPr>
  </w:style>
  <w:style w:type="character" w:styleId="WW8Num307z0">
    <w:name w:val="WW8Num307z0"/>
    <w:qFormat/>
    <w:rPr>
      <w:rFonts w:ascii="Symbol" w:hAnsi="Symbol" w:cs="Symbol"/>
    </w:rPr>
  </w:style>
  <w:style w:type="character" w:styleId="WW8Num307z1">
    <w:name w:val="WW8Num307z1"/>
    <w:qFormat/>
    <w:rPr>
      <w:rFonts w:ascii="Courier New" w:hAnsi="Courier New" w:cs="Courier New"/>
    </w:rPr>
  </w:style>
  <w:style w:type="character" w:styleId="WW8Num307z2">
    <w:name w:val="WW8Num307z2"/>
    <w:qFormat/>
    <w:rPr>
      <w:rFonts w:ascii="Wingdings" w:hAnsi="Wingdings" w:cs="Wingdings"/>
    </w:rPr>
  </w:style>
  <w:style w:type="character" w:styleId="WW8Num308z0">
    <w:name w:val="WW8Num308z0"/>
    <w:qFormat/>
    <w:rPr>
      <w:rFonts w:ascii="Wingdings" w:hAnsi="Wingdings" w:cs="Wingdings"/>
      <w:color w:val="FF0000"/>
      <w:sz w:val="16"/>
    </w:rPr>
  </w:style>
  <w:style w:type="character" w:styleId="WW8Num309z0">
    <w:name w:val="WW8Num309z0"/>
    <w:qFormat/>
    <w:rPr>
      <w:rFonts w:ascii="Wingdings" w:hAnsi="Wingdings" w:cs="Wingdings"/>
    </w:rPr>
  </w:style>
  <w:style w:type="character" w:styleId="WW8Num310z0">
    <w:name w:val="WW8Num310z0"/>
    <w:qFormat/>
    <w:rPr>
      <w:rFonts w:ascii="Symbol" w:hAnsi="Symbol" w:cs="Symbol"/>
      <w:sz w:val="20"/>
    </w:rPr>
  </w:style>
  <w:style w:type="character" w:styleId="WW8Num311z0">
    <w:name w:val="WW8Num311z0"/>
    <w:qFormat/>
    <w:rPr>
      <w:rFonts w:ascii="Symbol" w:hAnsi="Symbol" w:cs="Symbol"/>
      <w:color w:val="auto"/>
    </w:rPr>
  </w:style>
  <w:style w:type="character" w:styleId="WW8Num312z0">
    <w:name w:val="WW8Num312z0"/>
    <w:qFormat/>
    <w:rPr>
      <w:b/>
      <w:i w:val="false"/>
    </w:rPr>
  </w:style>
  <w:style w:type="character" w:styleId="WW8Num313z0">
    <w:name w:val="WW8Num313z0"/>
    <w:qFormat/>
    <w:rPr>
      <w:rFonts w:ascii="Symbol" w:hAnsi="Symbol" w:cs="Symbol"/>
    </w:rPr>
  </w:style>
  <w:style w:type="character" w:styleId="WW8Num313z1">
    <w:name w:val="WW8Num313z1"/>
    <w:qFormat/>
    <w:rPr>
      <w:rFonts w:ascii="Courier New" w:hAnsi="Courier New" w:cs="Courier New"/>
    </w:rPr>
  </w:style>
  <w:style w:type="character" w:styleId="WW8Num313z5">
    <w:name w:val="WW8Num313z5"/>
    <w:qFormat/>
    <w:rPr>
      <w:rFonts w:ascii="Wingdings" w:hAnsi="Wingdings" w:cs="Wingdings"/>
    </w:rPr>
  </w:style>
  <w:style w:type="character" w:styleId="WW8Num314z0">
    <w:name w:val="WW8Num314z0"/>
    <w:qFormat/>
    <w:rPr>
      <w:rFonts w:ascii="Symbol" w:hAnsi="Symbol" w:cs="Symbol"/>
    </w:rPr>
  </w:style>
  <w:style w:type="character" w:styleId="WW8Num314z1">
    <w:name w:val="WW8Num314z1"/>
    <w:qFormat/>
    <w:rPr>
      <w:rFonts w:ascii="Courier New" w:hAnsi="Courier New" w:cs="Courier New"/>
    </w:rPr>
  </w:style>
  <w:style w:type="character" w:styleId="WW8Num314z2">
    <w:name w:val="WW8Num314z2"/>
    <w:qFormat/>
    <w:rPr>
      <w:rFonts w:ascii="Wingdings" w:hAnsi="Wingdings" w:cs="Wingdings"/>
    </w:rPr>
  </w:style>
  <w:style w:type="character" w:styleId="WW8NumSt286z0">
    <w:name w:val="WW8NumSt286z0"/>
    <w:qFormat/>
    <w:rPr>
      <w:rFonts w:ascii="Wingdings" w:hAnsi="Wingdings" w:cs="Wingdings"/>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Strong">
    <w:name w:val="Strong"/>
    <w:basedOn w:val="DefaultParagraphFont"/>
    <w:qFormat/>
    <w:rPr>
      <w:b/>
      <w:bCs/>
    </w:rPr>
  </w:style>
  <w:style w:type="paragraph" w:styleId="Heading">
    <w:name w:val="Heading"/>
    <w:basedOn w:val="Normal"/>
    <w:next w:val="BodyText"/>
    <w:qFormat/>
    <w:pPr>
      <w:jc w:val="center"/>
    </w:pPr>
    <w:rPr>
      <w:b/>
      <w:sz w:val="36"/>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next w:val="Normal"/>
    <w:qFormat/>
    <w:pPr>
      <w:ind w:hanging="0" w:start="720" w:end="0"/>
      <w:jc w:val="center"/>
    </w:pPr>
    <w:rPr>
      <w:b/>
      <w:color w:val="000080"/>
      <w:sz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sz w:val="32"/>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numPr>
        <w:ilvl w:val="0"/>
        <w:numId w:val="0"/>
      </w:numPr>
      <w:tabs>
        <w:tab w:val="left" w:pos="720" w:leader="none"/>
        <w:tab w:val="left" w:pos="2160" w:leader="none"/>
        <w:tab w:val="left" w:pos="3870" w:leader="none"/>
        <w:tab w:val="right" w:pos="8100" w:leader="none"/>
        <w:tab w:val="right" w:pos="8370" w:leader="none"/>
      </w:tabs>
      <w:ind w:hanging="360" w:start="360" w:end="0"/>
    </w:pPr>
    <w:rPr>
      <w:sz w:val="24"/>
    </w:rPr>
  </w:style>
  <w:style w:type="paragraph" w:styleId="BodyTextIndent2">
    <w:name w:val="Body Text Indent 2"/>
    <w:basedOn w:val="Normal"/>
    <w:qFormat/>
    <w:pPr>
      <w:ind w:hanging="0" w:start="360" w:end="0"/>
    </w:pPr>
    <w:rPr>
      <w:sz w:val="24"/>
    </w:rPr>
  </w:style>
  <w:style w:type="paragraph" w:styleId="BodyTextIndent3">
    <w:name w:val="Body Text Indent 3"/>
    <w:basedOn w:val="Normal"/>
    <w:qFormat/>
    <w:pPr>
      <w:ind w:hanging="0" w:start="720" w:end="0"/>
    </w:pPr>
    <w:rPr>
      <w:sz w:val="24"/>
    </w:rPr>
  </w:style>
  <w:style w:type="paragraph" w:styleId="BodyText2">
    <w:name w:val="Body Text 2"/>
    <w:basedOn w:val="Normal"/>
    <w:qFormat/>
    <w:pPr/>
    <w:rPr>
      <w:sz w:val="22"/>
    </w:rPr>
  </w:style>
  <w:style w:type="paragraph" w:styleId="BodyText3">
    <w:name w:val="Body Text 3"/>
    <w:basedOn w:val="Normal"/>
    <w:qFormat/>
    <w:pPr>
      <w:spacing w:lineRule="atLeast" w:line="240"/>
    </w:pPr>
    <w:rPr>
      <w:color w:val="000000"/>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0" w:start="1800" w:end="720"/>
    </w:pPr>
    <w:rPr>
      <w:sz w:val="22"/>
    </w:rPr>
  </w:style>
  <w:style w:type="paragraph" w:styleId="FootnoteText">
    <w:name w:val="footnote text"/>
    <w:basedOn w:val="Normal"/>
    <w:pPr/>
    <w:rPr/>
  </w:style>
  <w:style w:type="paragraph" w:styleId="NormalWeb">
    <w:name w:val="Normal (Web)"/>
    <w:basedOn w:val="Normal"/>
    <w:qFormat/>
    <w:pPr>
      <w:spacing w:before="100" w:after="100"/>
    </w:pPr>
    <w:rPr>
      <w:sz w:val="24"/>
    </w:rPr>
  </w:style>
  <w:style w:type="paragraph" w:styleId="PlainText">
    <w:name w:val="Plain Text"/>
    <w:basedOn w:val="Normal"/>
    <w:qFormat/>
    <w:pPr/>
    <w:rPr>
      <w:rFonts w:ascii="Courier New" w:hAnsi="Courier New" w:cs="Courier New"/>
    </w:rPr>
  </w:style>
  <w:style w:type="paragraph" w:styleId="mainheading">
    <w:name w:val="mainheading"/>
    <w:basedOn w:val="Normal"/>
    <w:qFormat/>
    <w:pPr>
      <w:spacing w:before="100" w:after="100"/>
    </w:pPr>
    <w:rPr>
      <w:rFonts w:ascii="Arial" w:hAnsi="Arial" w:cs="Arial"/>
      <w:b/>
      <w:color w:val="000000"/>
      <w:sz w:val="24"/>
      <w:u w:val="single"/>
    </w:rPr>
  </w:style>
  <w:style w:type="paragraph" w:styleId="defaulttext">
    <w:name w:val="defaulttext"/>
    <w:basedOn w:val="Normal"/>
    <w:qFormat/>
    <w:pPr>
      <w:spacing w:before="100" w:after="100"/>
    </w:pPr>
    <w:rPr>
      <w:rFonts w:ascii="Arial" w:hAnsi="Arial" w:cs="Arial"/>
      <w:color w:val="000000"/>
      <w:sz w:val="21"/>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rPr>
  </w:style>
  <w:style w:type="paragraph" w:styleId="xl30">
    <w:name w:val="xl30"/>
    <w:basedOn w:val="Normal"/>
    <w:qFormat/>
    <w:pPr>
      <w:spacing w:before="100" w:after="100"/>
      <w:jc w:val="center"/>
    </w:pPr>
    <w:rPr>
      <w:rFonts w:ascii="Arial" w:hAnsi="Arial" w:eastAsia="Arial Unicode MS" w:cs="Arial"/>
      <w:b/>
      <w:bCs/>
      <w:sz w:val="24"/>
      <w:szCs w:val="24"/>
    </w:rPr>
  </w:style>
  <w:style w:type="paragraph" w:styleId="CRNormal">
    <w:name w:val="CR Normal"/>
    <w:basedOn w:val="Normal"/>
    <w:qFormat/>
    <w:pPr>
      <w:spacing w:lineRule="exact" w:line="260"/>
      <w:jc w:val="both"/>
    </w:pPr>
    <w:rPr>
      <w:sz w:val="22"/>
      <w:lang w:val="en-GB"/>
    </w:rPr>
  </w:style>
  <w:style w:type="paragraph" w:styleId="CRHeading1">
    <w:name w:val="CR Heading 1"/>
    <w:qFormat/>
    <w:pPr>
      <w:widowControl/>
      <w:bidi w:val="0"/>
      <w:spacing w:before="120" w:after="60"/>
      <w:jc w:val="both"/>
    </w:pPr>
    <w:rPr>
      <w:rFonts w:ascii="Times New Roman" w:hAnsi="Times New Roman" w:eastAsia="Times New Roman" w:cs="Times New Roman"/>
      <w:b/>
      <w:color w:val="auto"/>
      <w:sz w:val="24"/>
      <w:szCs w:val="20"/>
      <w:lang w:val="en-US" w:eastAsia="en-CA" w:bidi="ar-SA"/>
    </w:rPr>
  </w:style>
  <w:style w:type="paragraph" w:styleId="TableContents">
    <w:name w:val="Table Contents"/>
    <w:basedOn w:val="Normal"/>
    <w:qFormat/>
    <w:pPr>
      <w:widowControl w:val="false"/>
      <w:suppressLineNumbers/>
    </w:pPr>
    <w:rPr/>
  </w:style>
  <w:style w:type="paragraph" w:styleId="TableHeading">
    <w:name w:val="Table Heading"/>
    <w:qFormat/>
    <w:pPr>
      <w:widowControl/>
      <w:bidi w:val="0"/>
      <w:spacing w:lineRule="exact" w:line="260" w:before="0" w:after="120"/>
      <w:jc w:val="both"/>
    </w:pPr>
    <w:rPr>
      <w:rFonts w:ascii="Times New Roman" w:hAnsi="Times New Roman" w:eastAsia="Times New Roman" w:cs="Times New Roman"/>
      <w:b/>
      <w:color w:val="auto"/>
      <w:sz w:val="20"/>
      <w:szCs w:val="20"/>
      <w:lang w:val="en-US" w:eastAsia="en-CA" w:bidi="ar-SA"/>
    </w:rPr>
  </w:style>
  <w:style w:type="paragraph" w:styleId="ListBullet">
    <w:name w:val="List Bullet"/>
    <w:basedOn w:val="Normal"/>
    <w:qFormat/>
    <w:pPr>
      <w:jc w:val="both"/>
    </w:pPr>
    <w:rPr>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GroupTemp</Template>
  <TotalTime>357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2001-09-24T12:41:00Z</dcterms:created>
  <dc:creator>Marissa C. Mariner</dc:creator>
  <dc:description/>
  <dc:language>en-CA</dc:language>
  <cp:lastModifiedBy>raganon</cp:lastModifiedBy>
  <cp:lastPrinted>2001-09-24T16:04:00Z</cp:lastPrinted>
  <dcterms:modified xsi:type="dcterms:W3CDTF">2001-09-24T19:15:00Z</dcterms:modified>
  <cp:revision>18</cp:revision>
  <dc:subject/>
  <dc:title>Duke Energy</dc:title>
</cp:coreProperties>
</file>