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635744506" r:id="rId2"/>
        </w:object>
      </w:r>
      <w:r>
        <w:rPr>
          <w:rFonts w:eastAsia="Garamond" w:cs="Garamond" w:ascii="Garamond" w:hAnsi="Garamond"/>
          <w:emboss/>
          <w:color w:val="000080"/>
          <w:sz w:val="48"/>
        </w:rPr>
        <w:t xml:space="preserve">                               </w:t>
      </w:r>
      <w:r>
        <w:rPr>
          <w:rFonts w:cs="Garamond" w:ascii="Garamond" w:hAnsi="Garamond"/>
          <w:color w:val="000080"/>
          <w:sz w:val="40"/>
        </w:rPr>
        <w:t>Enron Global Markets</w:t>
      </w:r>
    </w:p>
    <w:p>
      <w:pPr>
        <w:pStyle w:val="Subtitle"/>
        <w:ind w:start="5040" w:end="0"/>
        <w:jc w:val="end"/>
        <w:rPr>
          <w:rFonts w:ascii="Garamond" w:hAnsi="Garamond" w:cs="Garamond"/>
          <w:color w:val="000080"/>
          <w:sz w:val="40"/>
        </w:rPr>
      </w:pPr>
      <w:r>
        <w:rPr>
          <w:rFonts w:cs="Garamond" w:ascii="Garamond" w:hAnsi="Garamond"/>
          <w:color w:val="000080"/>
          <w:sz w:val="40"/>
        </w:rPr>
        <w:t>Competitive Analysis</w:t>
      </w:r>
    </w:p>
    <w:p>
      <w:pPr>
        <w:pStyle w:val="Subtitle"/>
        <w:jc w:val="start"/>
        <w:rPr>
          <w:rFonts w:ascii="Garamond" w:hAnsi="Garamond" w:cs="Garamond"/>
          <w:color w:val="000080"/>
          <w:sz w:val="24"/>
        </w:rPr>
      </w:pPr>
      <w:r>
        <w:rPr>
          <w:rFonts w:cs="Garamond" w:ascii="Garamond" w:hAnsi="Garamond"/>
          <w:color w:val="000080"/>
          <w:sz w:val="24"/>
        </w:rPr>
      </w:r>
    </w:p>
    <w:p>
      <w:pPr>
        <w:pStyle w:val="BodyText2"/>
        <w:tabs>
          <w:tab w:val="clear" w:pos="720"/>
          <w:tab w:val="left" w:pos="0" w:leader="none"/>
        </w:tabs>
        <w:jc w:val="center"/>
        <w:rPr>
          <w:rFonts w:ascii="Garamond" w:hAnsi="Garamond" w:cs="Garamond"/>
          <w:b/>
          <w:smallCaps/>
          <w:color w:val="000080"/>
          <w:sz w:val="28"/>
        </w:rPr>
      </w:pPr>
      <w:r>
        <w:rPr>
          <w:rFonts w:cs="Garamond" w:ascii="Garamond" w:hAnsi="Garamond"/>
          <w:b/>
          <w:smallCaps/>
          <w:color w:val="000080"/>
          <w:sz w:val="28"/>
        </w:rPr>
      </w:r>
    </w:p>
    <w:p>
      <w:pPr>
        <w:pStyle w:val="BodyText2"/>
        <w:tabs>
          <w:tab w:val="clear" w:pos="720"/>
          <w:tab w:val="left" w:pos="0" w:leader="none"/>
        </w:tabs>
        <w:jc w:val="center"/>
        <w:rPr>
          <w:b/>
          <w:smallCaps/>
          <w:color w:val="000080"/>
          <w:sz w:val="28"/>
        </w:rPr>
      </w:pPr>
      <w:r>
        <w:rPr>
          <w:b/>
          <w:smallCaps/>
          <w:color w:val="000080"/>
          <w:sz w:val="28"/>
        </w:rPr>
      </w:r>
    </w:p>
    <w:p>
      <w:pPr>
        <w:pStyle w:val="BodyText2"/>
        <w:tabs>
          <w:tab w:val="clear" w:pos="720"/>
          <w:tab w:val="left" w:pos="0" w:leader="none"/>
        </w:tabs>
        <w:jc w:val="center"/>
        <w:rPr>
          <w:b/>
          <w:smallCaps/>
          <w:color w:val="000080"/>
          <w:sz w:val="48"/>
        </w:rPr>
      </w:pPr>
      <w:r>
        <w:rPr>
          <w:b/>
          <w:smallCaps/>
          <w:color w:val="000080"/>
          <w:sz w:val="48"/>
        </w:rPr>
        <w:t>Industry Impact Report</w:t>
      </w:r>
    </w:p>
    <w:p>
      <w:pPr>
        <w:pStyle w:val="BodyText2"/>
        <w:jc w:val="center"/>
        <w:rPr>
          <w:b/>
          <w:smallCaps/>
          <w:color w:val="000080"/>
          <w:sz w:val="28"/>
        </w:rPr>
      </w:pPr>
      <w:r>
        <w:rPr>
          <w:b/>
          <w:smallCaps/>
          <w:color w:val="000080"/>
          <w:sz w:val="28"/>
        </w:rPr>
        <w:t>Reinsurance</w:t>
      </w:r>
    </w:p>
    <w:p>
      <w:pPr>
        <w:pStyle w:val="BodyText2"/>
        <w:pBdr>
          <w:top w:val="single" w:sz="18" w:space="1" w:color="000000"/>
        </w:pBdr>
        <w:jc w:val="center"/>
        <w:rPr>
          <w:b/>
          <w:smallCaps/>
          <w:color w:val="000080"/>
          <w:sz w:val="28"/>
        </w:rPr>
      </w:pPr>
      <w:r>
        <w:rPr>
          <w:b/>
          <w:smallCaps/>
          <w:color w:val="000080"/>
          <w:sz w:val="28"/>
        </w:rPr>
      </w:r>
    </w:p>
    <w:p>
      <w:pPr>
        <w:pStyle w:val="HTMLPreformatted"/>
        <w:rPr>
          <w:rFonts w:ascii="Times New Roman" w:hAnsi="Times New Roman" w:cs="Times New Roman"/>
          <w:b/>
          <w:bCs/>
          <w:color w:val="000080"/>
          <w:sz w:val="22"/>
        </w:rPr>
      </w:pPr>
      <w:r>
        <w:rPr>
          <w:rFonts w:cs="Times New Roman" w:ascii="Times New Roman" w:hAnsi="Times New Roman"/>
          <w:b/>
          <w:bCs/>
          <w:color w:val="000080"/>
          <w:sz w:val="22"/>
        </w:rPr>
        <w:t>Initial Estimates</w:t>
      </w:r>
    </w:p>
    <w:p>
      <w:pPr>
        <w:pStyle w:val="HTMLPreformatted"/>
        <w:jc w:val="both"/>
        <w:rPr/>
      </w:pPr>
      <w:r>
        <w:rPr>
          <w:rFonts w:cs="Times New Roman" w:ascii="Times New Roman" w:hAnsi="Times New Roman"/>
          <w:sz w:val="22"/>
        </w:rPr>
        <w:t>While</w:t>
      </w:r>
      <w:r>
        <w:rPr>
          <w:rFonts w:cs="Times New Roman" w:ascii="Times New Roman" w:hAnsi="Times New Roman"/>
          <w:b/>
          <w:bCs/>
          <w:sz w:val="22"/>
        </w:rPr>
        <w:t xml:space="preserve"> </w:t>
      </w:r>
      <w:r>
        <w:rPr>
          <w:rFonts w:cs="Times New Roman" w:ascii="Times New Roman" w:hAnsi="Times New Roman"/>
          <w:sz w:val="22"/>
        </w:rPr>
        <w:t>the vast majority of insurers and reinsurers publicly affirm their ability to absorb any losses without material damage to their financial positions, industry analysts believe that initial estimates of $20 billion will prove to be insufficient, perhaps by a substantial amount, due to the following reasons:</w:t>
      </w:r>
    </w:p>
    <w:p>
      <w:pPr>
        <w:pStyle w:val="HTMLPreformatted"/>
        <w:numPr>
          <w:ilvl w:val="0"/>
          <w:numId w:val="2"/>
        </w:numPr>
        <w:jc w:val="both"/>
        <w:rPr>
          <w:rFonts w:ascii="Times New Roman" w:hAnsi="Times New Roman" w:cs="Times New Roman"/>
          <w:sz w:val="22"/>
        </w:rPr>
      </w:pPr>
      <w:r>
        <w:rPr>
          <w:rFonts w:cs="Times New Roman" w:ascii="Times New Roman" w:hAnsi="Times New Roman"/>
          <w:sz w:val="22"/>
        </w:rPr>
        <w:t>A trend toward initial estimates growing over time as more information becomes available typically occurs, especially in times of complex and costly disasters.</w:t>
      </w:r>
    </w:p>
    <w:p>
      <w:pPr>
        <w:pStyle w:val="HTMLPreformatted"/>
        <w:numPr>
          <w:ilvl w:val="0"/>
          <w:numId w:val="2"/>
        </w:numPr>
        <w:jc w:val="both"/>
        <w:rPr>
          <w:rFonts w:ascii="Times New Roman" w:hAnsi="Times New Roman" w:cs="Times New Roman"/>
          <w:sz w:val="22"/>
        </w:rPr>
      </w:pPr>
      <w:r>
        <w:rPr>
          <w:rFonts w:cs="Times New Roman" w:ascii="Times New Roman" w:hAnsi="Times New Roman"/>
          <w:sz w:val="22"/>
        </w:rPr>
        <w:t>The complexity of the insured coverage (multiple types, heavily syndicated, heavily layered and heavily reinsured) makes developing estimates on even the most straightforward exposures (e.g., commercial property) a huge challenge.  Other sources of exposure (e.g., business interruption and 3</w:t>
      </w:r>
      <w:r>
        <w:rPr>
          <w:rFonts w:cs="Times New Roman" w:ascii="Times New Roman" w:hAnsi="Times New Roman"/>
          <w:sz w:val="22"/>
          <w:vertAlign w:val="superscript"/>
        </w:rPr>
        <w:t>rd</w:t>
      </w:r>
      <w:r>
        <w:rPr>
          <w:rFonts w:cs="Times New Roman" w:ascii="Times New Roman" w:hAnsi="Times New Roman"/>
          <w:sz w:val="22"/>
        </w:rPr>
        <w:t xml:space="preserve"> party liability) are nearly impossible to estimate accurately at this time.  </w:t>
      </w:r>
    </w:p>
    <w:p>
      <w:pPr>
        <w:pStyle w:val="HTMLPreformatted"/>
        <w:numPr>
          <w:ilvl w:val="0"/>
          <w:numId w:val="2"/>
        </w:numPr>
        <w:jc w:val="both"/>
        <w:rPr>
          <w:rFonts w:ascii="Times New Roman" w:hAnsi="Times New Roman" w:cs="Times New Roman"/>
          <w:sz w:val="22"/>
        </w:rPr>
      </w:pPr>
      <w:r>
        <w:rPr>
          <w:rFonts w:cs="Times New Roman" w:ascii="Times New Roman" w:hAnsi="Times New Roman"/>
          <w:sz w:val="22"/>
        </w:rPr>
        <w:t>Insurers generally track their losses on a net basis, based in the presumption that all ceded reinsurance is collectible.  There will likely be disagreements between insurers and reinsurers about the extent of coverage.  It is also possible that some reinsurers will be unable to honor all their claims, leaving primary insurers to shoulder a heavier load.</w:t>
      </w:r>
    </w:p>
    <w:p>
      <w:pPr>
        <w:pStyle w:val="HTMLPreformatted"/>
        <w:jc w:val="both"/>
        <w:rPr>
          <w:rFonts w:ascii="Times New Roman" w:hAnsi="Times New Roman" w:cs="Times New Roman"/>
          <w:sz w:val="22"/>
        </w:rPr>
      </w:pPr>
      <w:r>
        <w:rPr>
          <w:rFonts w:cs="Times New Roman" w:ascii="Times New Roman" w:hAnsi="Times New Roman"/>
          <w:sz w:val="22"/>
        </w:rPr>
      </w:r>
    </w:p>
    <w:p>
      <w:pPr>
        <w:pStyle w:val="HTMLPreformatted"/>
        <w:jc w:val="both"/>
        <w:rPr>
          <w:rFonts w:ascii="Times New Roman" w:hAnsi="Times New Roman" w:cs="Times New Roman"/>
          <w:sz w:val="22"/>
        </w:rPr>
      </w:pPr>
      <w:r>
        <w:rPr>
          <w:rFonts w:cs="Times New Roman" w:ascii="Times New Roman" w:hAnsi="Times New Roman"/>
          <w:sz w:val="22"/>
        </w:rPr>
        <w:t>Some reinsurers have already released initial estimates, with the strong caution that these may rise as the full extent of damages becomes known.  Partner Re expects to pay $350-450 million in claims, XL Capital anticipates claims of $600-700 million, Ace Ltd. expects to forward $400 million, while CNA Financial estimates claims around $130-230 million—including damages sustained in the Pentagon and western Pennsylvania.  Table 1 of this report summarizes all released initial estimates to date.</w:t>
      </w:r>
    </w:p>
    <w:p>
      <w:pPr>
        <w:pStyle w:val="HTMLPreformatted"/>
        <w:jc w:val="both"/>
        <w:rPr>
          <w:rFonts w:ascii="Times New Roman" w:hAnsi="Times New Roman" w:cs="Times New Roman"/>
          <w:sz w:val="22"/>
        </w:rPr>
      </w:pPr>
      <w:r>
        <w:rPr>
          <w:rFonts w:cs="Times New Roman" w:ascii="Times New Roman" w:hAnsi="Times New Roman"/>
          <w:sz w:val="22"/>
        </w:rPr>
      </w:r>
    </w:p>
    <w:p>
      <w:pPr>
        <w:pStyle w:val="HTMLPreformatted"/>
        <w:jc w:val="both"/>
        <w:rPr>
          <w:rFonts w:ascii="Times New Roman" w:hAnsi="Times New Roman" w:cs="Times New Roman"/>
          <w:b/>
          <w:bCs/>
          <w:color w:val="000080"/>
          <w:sz w:val="22"/>
        </w:rPr>
      </w:pPr>
      <w:r>
        <w:rPr>
          <w:rFonts w:cs="Times New Roman" w:ascii="Times New Roman" w:hAnsi="Times New Roman"/>
          <w:b/>
          <w:bCs/>
          <w:color w:val="000080"/>
          <w:sz w:val="22"/>
        </w:rPr>
        <w:t xml:space="preserve">Industry Implications </w:t>
      </w:r>
    </w:p>
    <w:p>
      <w:pPr>
        <w:pStyle w:val="HTMLPreformatted"/>
        <w:jc w:val="both"/>
        <w:rPr>
          <w:rFonts w:ascii="Times New Roman" w:hAnsi="Times New Roman" w:cs="Times New Roman"/>
          <w:sz w:val="22"/>
        </w:rPr>
      </w:pPr>
      <w:r>
        <w:rPr>
          <w:rFonts w:cs="Times New Roman" w:ascii="Times New Roman" w:hAnsi="Times New Roman"/>
          <w:sz w:val="22"/>
        </w:rPr>
        <w:t>Beyond the immediate impact of this disaster on insurers’ direct costs, industry analysts also note a broader number of implications for the industry:</w:t>
      </w:r>
    </w:p>
    <w:p>
      <w:pPr>
        <w:pStyle w:val="HTMLPreformatted"/>
        <w:numPr>
          <w:ilvl w:val="0"/>
          <w:numId w:val="3"/>
        </w:numPr>
        <w:jc w:val="both"/>
        <w:rPr>
          <w:rFonts w:ascii="Times New Roman" w:hAnsi="Times New Roman" w:cs="Times New Roman"/>
          <w:sz w:val="22"/>
        </w:rPr>
      </w:pPr>
      <w:r>
        <w:rPr>
          <w:rFonts w:cs="Times New Roman" w:ascii="Times New Roman" w:hAnsi="Times New Roman"/>
          <w:sz w:val="22"/>
        </w:rPr>
        <w:t>Continued flight to size and quality of insurance carrier, causing further consolidation of the industry.</w:t>
      </w:r>
    </w:p>
    <w:p>
      <w:pPr>
        <w:pStyle w:val="HTMLPreformatted"/>
        <w:numPr>
          <w:ilvl w:val="0"/>
          <w:numId w:val="3"/>
        </w:numPr>
        <w:jc w:val="both"/>
        <w:rPr>
          <w:rFonts w:ascii="Times New Roman" w:hAnsi="Times New Roman" w:cs="Times New Roman"/>
          <w:sz w:val="22"/>
        </w:rPr>
      </w:pPr>
      <w:r>
        <w:rPr>
          <w:rFonts w:cs="Times New Roman" w:ascii="Times New Roman" w:hAnsi="Times New Roman"/>
          <w:sz w:val="22"/>
        </w:rPr>
        <w:t xml:space="preserve">Acceleration of price increases already underway within commercial insurance and reinsurance.  </w:t>
      </w:r>
    </w:p>
    <w:p>
      <w:pPr>
        <w:pStyle w:val="HTMLPreformatted"/>
        <w:numPr>
          <w:ilvl w:val="0"/>
          <w:numId w:val="3"/>
        </w:numPr>
        <w:jc w:val="both"/>
        <w:rPr>
          <w:rFonts w:ascii="Times New Roman" w:hAnsi="Times New Roman" w:cs="Times New Roman"/>
          <w:sz w:val="22"/>
        </w:rPr>
      </w:pPr>
      <w:r>
        <w:rPr>
          <w:rFonts w:cs="Times New Roman" w:ascii="Times New Roman" w:hAnsi="Times New Roman"/>
          <w:sz w:val="22"/>
        </w:rPr>
        <w:t>Acceleration of restructuring at Lloyd’s, a market that specializes in just the types of coverages (aviation, specialty commercial, catastrophe reinsurance) that will be hardest hit.  Some analysts put Lloyd’s share at $1.5 billion or more, a heavy blow given that many Lloyd’s syndicates have suffered significant losses in recent years.</w:t>
      </w:r>
    </w:p>
    <w:p>
      <w:pPr>
        <w:pStyle w:val="HTMLPreformatted"/>
        <w:rPr>
          <w:rFonts w:ascii="Times New Roman" w:hAnsi="Times New Roman" w:cs="Times New Roman"/>
          <w:sz w:val="22"/>
        </w:rPr>
      </w:pPr>
      <w:r>
        <w:rPr>
          <w:rFonts w:cs="Times New Roman" w:ascii="Times New Roman" w:hAnsi="Times New Roman"/>
          <w:sz w:val="22"/>
        </w:rPr>
      </w:r>
    </w:p>
    <w:p>
      <w:pPr>
        <w:pStyle w:val="HTMLPreformatted"/>
        <w:jc w:val="both"/>
        <w:rPr>
          <w:rFonts w:ascii="Times New Roman" w:hAnsi="Times New Roman" w:cs="Times New Roman"/>
          <w:sz w:val="22"/>
        </w:rPr>
      </w:pPr>
      <w:r>
        <w:rPr>
          <w:rFonts w:cs="Times New Roman" w:ascii="Times New Roman" w:hAnsi="Times New Roman"/>
          <w:sz w:val="22"/>
        </w:rPr>
        <w:t>Reliable sources note that there may be an attempt to reach a global solution for general liability—for example, a $10-15 billion pool where everyone would get a share.  Although unlikely, given the Supreme Court’s earlier denial of such a proposal during asbestos litigation in the early 80s, this is once again being discussed among industry players.  There may also be a shift toward government funding for terrorism insurance backstopped by state treasuries (similar to flood insurance), capping future terrorist attack exposure.</w:t>
      </w:r>
    </w:p>
    <w:p>
      <w:pPr>
        <w:pStyle w:val="xl30"/>
        <w:spacing w:before="0" w:after="0"/>
        <w:rPr>
          <w:rFonts w:ascii="Times New Roman" w:hAnsi="Times New Roman" w:eastAsia="Times New Roman" w:cs="Times New Roman"/>
          <w:sz w:val="22"/>
        </w:rPr>
      </w:pPr>
      <w:r>
        <w:rPr>
          <w:rFonts w:eastAsia="Times New Roman" w:cs="Times New Roman" w:ascii="Times New Roman" w:hAnsi="Times New Roman"/>
          <w:sz w:val="22"/>
        </w:rPr>
      </w:r>
    </w:p>
    <w:p>
      <w:pPr>
        <w:pStyle w:val="xl30"/>
        <w:spacing w:before="0" w:after="0"/>
        <w:rPr>
          <w:rFonts w:ascii="Times New Roman" w:hAnsi="Times New Roman" w:eastAsia="Times New Roman" w:cs="Times New Roman"/>
          <w:color w:val="000080"/>
        </w:rPr>
      </w:pPr>
      <w:r>
        <w:rPr>
          <w:rFonts w:eastAsia="Times New Roman" w:cs="Times New Roman" w:ascii="Times New Roman" w:hAnsi="Times New Roman"/>
          <w:color w:val="000080"/>
        </w:rPr>
        <w:t xml:space="preserve">Table 1: Initial Claims Estimates </w:t>
      </w:r>
    </w:p>
    <w:p>
      <w:pPr>
        <w:pStyle w:val="xl30"/>
        <w:spacing w:before="0" w:after="0"/>
        <w:rPr>
          <w:rFonts w:ascii="Times New Roman" w:hAnsi="Times New Roman" w:eastAsia="Times New Roman" w:cs="Times New Roman"/>
          <w:color w:val="000080"/>
        </w:rPr>
      </w:pPr>
      <w:r>
        <w:rPr>
          <w:rFonts w:eastAsia="Times New Roman" w:cs="Times New Roman" w:ascii="Times New Roman" w:hAnsi="Times New Roman"/>
          <w:color w:val="000080"/>
        </w:rPr>
        <w:t>(to be updated upon release of expected revisions)</w:t>
      </w:r>
    </w:p>
    <w:p>
      <w:pPr>
        <w:pStyle w:val="Normal"/>
        <w:jc w:val="center"/>
        <w:rPr>
          <w:rFonts w:ascii="Times New Roman" w:hAnsi="Times New Roman" w:eastAsia="Times New Roman" w:cs="Times New Roman"/>
          <w:b/>
          <w:bCs/>
          <w:color w:val="000080"/>
        </w:rPr>
      </w:pPr>
      <w:r>
        <w:rPr>
          <w:rFonts w:eastAsia="Times New Roman" w:cs="Times New Roman"/>
          <w:b/>
          <w:bCs/>
          <w:color w:val="000080"/>
        </w:rPr>
      </w:r>
    </w:p>
    <w:tbl>
      <w:tblPr>
        <w:tblW w:w="8565" w:type="dxa"/>
        <w:jc w:val="center"/>
        <w:tblInd w:w="0" w:type="dxa"/>
        <w:tblLayout w:type="fixed"/>
        <w:tblCellMar>
          <w:top w:w="15" w:type="dxa"/>
          <w:start w:w="15" w:type="dxa"/>
          <w:bottom w:w="0" w:type="dxa"/>
          <w:end w:w="15" w:type="dxa"/>
        </w:tblCellMar>
      </w:tblPr>
      <w:tblGrid>
        <w:gridCol w:w="4860"/>
        <w:gridCol w:w="1223"/>
        <w:gridCol w:w="1260"/>
        <w:gridCol w:w="1222"/>
      </w:tblGrid>
      <w:tr>
        <w:trPr>
          <w:trHeight w:val="315" w:hRule="atLeast"/>
        </w:trPr>
        <w:tc>
          <w:tcPr>
            <w:tcW w:w="4860" w:type="dxa"/>
            <w:tcBorders>
              <w:top w:val="single" w:sz="4" w:space="0" w:color="000000"/>
              <w:start w:val="single" w:sz="4" w:space="0" w:color="000000"/>
            </w:tcBorders>
            <w:vAlign w:val="bottom"/>
          </w:tcPr>
          <w:p>
            <w:pPr>
              <w:pStyle w:val="Normal"/>
              <w:jc w:val="center"/>
              <w:rPr>
                <w:rFonts w:eastAsia="Arial Unicode MS"/>
                <w:b/>
                <w:bCs/>
                <w:sz w:val="22"/>
              </w:rPr>
            </w:pPr>
            <w:r>
              <w:rPr>
                <w:b/>
                <w:bCs/>
                <w:sz w:val="22"/>
              </w:rPr>
              <w:t>Company</w:t>
            </w:r>
          </w:p>
        </w:tc>
        <w:tc>
          <w:tcPr>
            <w:tcW w:w="3705" w:type="dxa"/>
            <w:gridSpan w:val="3"/>
            <w:tcBorders>
              <w:top w:val="single" w:sz="4" w:space="0" w:color="000000"/>
              <w:end w:val="single" w:sz="4" w:space="0" w:color="000000"/>
            </w:tcBorders>
            <w:vAlign w:val="bottom"/>
          </w:tcPr>
          <w:p>
            <w:pPr>
              <w:pStyle w:val="Normal"/>
              <w:jc w:val="center"/>
              <w:rPr>
                <w:rFonts w:eastAsia="Arial Unicode MS"/>
                <w:b/>
                <w:bCs/>
                <w:sz w:val="22"/>
              </w:rPr>
            </w:pPr>
            <w:r>
              <w:rPr>
                <w:b/>
                <w:bCs/>
                <w:sz w:val="22"/>
              </w:rPr>
              <w:t>Exposure Estimates (in millions US$)</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w:t>
            </w:r>
          </w:p>
        </w:tc>
        <w:tc>
          <w:tcPr>
            <w:tcW w:w="1223" w:type="dxa"/>
            <w:tcBorders>
              <w:bottom w:val="single" w:sz="4" w:space="0" w:color="000000"/>
              <w:end w:val="single" w:sz="4" w:space="0" w:color="000000"/>
            </w:tcBorders>
            <w:vAlign w:val="bottom"/>
          </w:tcPr>
          <w:p>
            <w:pPr>
              <w:pStyle w:val="Normal"/>
              <w:jc w:val="center"/>
              <w:rPr>
                <w:rFonts w:eastAsia="Arial Unicode MS"/>
              </w:rPr>
            </w:pPr>
            <w:r>
              <w:rPr/>
              <w:t>9/13/2001</w:t>
            </w:r>
          </w:p>
        </w:tc>
        <w:tc>
          <w:tcPr>
            <w:tcW w:w="1260" w:type="dxa"/>
            <w:tcBorders>
              <w:bottom w:val="single" w:sz="4" w:space="0" w:color="000000"/>
              <w:end w:val="single" w:sz="4" w:space="0" w:color="000000"/>
            </w:tcBorders>
            <w:vAlign w:val="bottom"/>
          </w:tcPr>
          <w:p>
            <w:pPr>
              <w:pStyle w:val="Normal"/>
              <w:jc w:val="center"/>
              <w:rPr>
                <w:rFonts w:eastAsia="Arial Unicode MS"/>
              </w:rPr>
            </w:pPr>
            <w:r>
              <w:rPr/>
              <w:t>9/14/2001</w:t>
            </w:r>
          </w:p>
        </w:tc>
        <w:tc>
          <w:tcPr>
            <w:tcW w:w="1222" w:type="dxa"/>
            <w:tcBorders>
              <w:bottom w:val="single" w:sz="4" w:space="0" w:color="000000"/>
              <w:end w:val="single" w:sz="4" w:space="0" w:color="000000"/>
            </w:tcBorders>
            <w:vAlign w:val="bottom"/>
          </w:tcPr>
          <w:p>
            <w:pPr>
              <w:pStyle w:val="Normal"/>
              <w:jc w:val="center"/>
              <w:rPr>
                <w:rFonts w:eastAsia="Arial Unicode MS"/>
              </w:rPr>
            </w:pPr>
            <w:r>
              <w:rPr/>
              <w:t>9/17/2001</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Property Insurance</w:t>
            </w:r>
          </w:p>
        </w:tc>
        <w:tc>
          <w:tcPr>
            <w:tcW w:w="1223" w:type="dxa"/>
            <w:tcBorders>
              <w:bottom w:val="single" w:sz="4" w:space="0" w:color="000000"/>
              <w:end w:val="single" w:sz="4" w:space="0" w:color="000000"/>
            </w:tcBorders>
            <w:vAlign w:val="bottom"/>
          </w:tcPr>
          <w:p>
            <w:pPr>
              <w:pStyle w:val="Normal"/>
              <w:rPr>
                <w:rFonts w:eastAsia="Arial Unicode MS"/>
              </w:rPr>
            </w:pPr>
            <w:r>
              <w:rPr/>
              <w:t> </w:t>
            </w:r>
          </w:p>
        </w:tc>
        <w:tc>
          <w:tcPr>
            <w:tcW w:w="1260" w:type="dxa"/>
            <w:tcBorders>
              <w:bottom w:val="single" w:sz="4" w:space="0" w:color="000000"/>
              <w:end w:val="single" w:sz="4" w:space="0" w:color="000000"/>
            </w:tcBorders>
            <w:vAlign w:val="bottom"/>
          </w:tcPr>
          <w:p>
            <w:pPr>
              <w:pStyle w:val="Normal"/>
              <w:rPr>
                <w:rFonts w:eastAsia="Arial Unicode MS"/>
              </w:rPr>
            </w:pPr>
            <w:r>
              <w:rPr/>
              <w:t> </w:t>
            </w:r>
          </w:p>
        </w:tc>
        <w:tc>
          <w:tcPr>
            <w:tcW w:w="1222" w:type="dxa"/>
            <w:tcBorders>
              <w:bottom w:val="single" w:sz="4" w:space="0" w:color="000000"/>
              <w:end w:val="single" w:sz="4" w:space="0" w:color="000000"/>
            </w:tcBorders>
            <w:vAlign w:val="bottom"/>
          </w:tcPr>
          <w:p>
            <w:pPr>
              <w:pStyle w:val="Normal"/>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Travelers Property and Casualty Co.</w:t>
            </w:r>
          </w:p>
        </w:tc>
        <w:tc>
          <w:tcPr>
            <w:tcW w:w="1223" w:type="dxa"/>
            <w:tcBorders>
              <w:bottom w:val="single" w:sz="4" w:space="0" w:color="000000"/>
              <w:end w:val="single" w:sz="4" w:space="0" w:color="000000"/>
            </w:tcBorders>
            <w:vAlign w:val="bottom"/>
          </w:tcPr>
          <w:p>
            <w:pPr>
              <w:pStyle w:val="Normal"/>
              <w:rPr>
                <w:rFonts w:eastAsia="Arial Unicode MS"/>
              </w:rPr>
            </w:pPr>
            <w:r>
              <w:rPr/>
              <w:t> </w:t>
            </w:r>
          </w:p>
        </w:tc>
        <w:tc>
          <w:tcPr>
            <w:tcW w:w="1260" w:type="dxa"/>
            <w:tcBorders>
              <w:bottom w:val="single" w:sz="4" w:space="0" w:color="000000"/>
              <w:end w:val="single" w:sz="4" w:space="0" w:color="000000"/>
            </w:tcBorders>
            <w:vAlign w:val="bottom"/>
          </w:tcPr>
          <w:p>
            <w:pPr>
              <w:pStyle w:val="Normal"/>
              <w:rPr>
                <w:rFonts w:eastAsia="Arial Unicode MS"/>
              </w:rPr>
            </w:pPr>
            <w:r>
              <w:rPr/>
              <w:t> </w:t>
            </w:r>
          </w:p>
        </w:tc>
        <w:tc>
          <w:tcPr>
            <w:tcW w:w="1222" w:type="dxa"/>
            <w:tcBorders>
              <w:bottom w:val="single" w:sz="4" w:space="0" w:color="000000"/>
              <w:end w:val="single" w:sz="4" w:space="0" w:color="000000"/>
            </w:tcBorders>
            <w:vAlign w:val="bottom"/>
          </w:tcPr>
          <w:p>
            <w:pPr>
              <w:pStyle w:val="Normal"/>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American International Group (AIG)</w:t>
            </w:r>
          </w:p>
        </w:tc>
        <w:tc>
          <w:tcPr>
            <w:tcW w:w="1223" w:type="dxa"/>
            <w:tcBorders>
              <w:bottom w:val="single" w:sz="4" w:space="0" w:color="000000"/>
              <w:end w:val="single" w:sz="4" w:space="0" w:color="000000"/>
            </w:tcBorders>
            <w:vAlign w:val="bottom"/>
          </w:tcPr>
          <w:p>
            <w:pPr>
              <w:pStyle w:val="Normal"/>
              <w:jc w:val="end"/>
              <w:rPr>
                <w:rFonts w:eastAsia="Arial Unicode MS"/>
              </w:rPr>
            </w:pPr>
            <w:r>
              <w:rPr/>
              <w:t>500 pretax</w:t>
            </w:r>
          </w:p>
        </w:tc>
        <w:tc>
          <w:tcPr>
            <w:tcW w:w="1260" w:type="dxa"/>
            <w:tcBorders>
              <w:bottom w:val="single" w:sz="4" w:space="0" w:color="000000"/>
              <w:end w:val="single" w:sz="4" w:space="0" w:color="000000"/>
            </w:tcBorders>
            <w:vAlign w:val="bottom"/>
          </w:tcPr>
          <w:p>
            <w:pPr>
              <w:pStyle w:val="Normal"/>
              <w:jc w:val="end"/>
              <w:rPr>
                <w:rFonts w:eastAsia="Arial Unicode MS"/>
              </w:rPr>
            </w:pPr>
            <w:r>
              <w:rPr/>
              <w:t>500</w:t>
            </w:r>
          </w:p>
        </w:tc>
        <w:tc>
          <w:tcPr>
            <w:tcW w:w="1222" w:type="dxa"/>
            <w:tcBorders>
              <w:bottom w:val="single" w:sz="4" w:space="0" w:color="000000"/>
              <w:end w:val="single" w:sz="4" w:space="0" w:color="000000"/>
            </w:tcBorders>
            <w:vAlign w:val="bottom"/>
          </w:tcPr>
          <w:p>
            <w:pPr>
              <w:pStyle w:val="Normal"/>
              <w:jc w:val="end"/>
              <w:rPr>
                <w:rFonts w:eastAsia="Arial Unicode MS"/>
              </w:rPr>
            </w:pPr>
            <w:r>
              <w:rPr/>
              <w:t>500 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Chubb</w:t>
            </w:r>
          </w:p>
        </w:tc>
        <w:tc>
          <w:tcPr>
            <w:tcW w:w="1223" w:type="dxa"/>
            <w:tcBorders>
              <w:bottom w:val="single" w:sz="4" w:space="0" w:color="000000"/>
              <w:end w:val="single" w:sz="4" w:space="0" w:color="000000"/>
            </w:tcBorders>
            <w:vAlign w:val="bottom"/>
          </w:tcPr>
          <w:p>
            <w:pPr>
              <w:pStyle w:val="Normal"/>
              <w:jc w:val="end"/>
              <w:rPr>
                <w:rFonts w:eastAsia="Arial Unicode MS"/>
              </w:rPr>
            </w:pPr>
            <w:r>
              <w:rPr/>
              <w:t>100-200</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FootnoteText"/>
              <w:rPr>
                <w:rFonts w:eastAsia="Arial Unicode MS"/>
              </w:rPr>
            </w:pPr>
            <w:r>
              <w:rPr/>
              <w:t xml:space="preserve">     </w:t>
            </w:r>
            <w:r>
              <w:rPr/>
              <w:t>Allianz AG</w:t>
            </w:r>
          </w:p>
        </w:tc>
        <w:tc>
          <w:tcPr>
            <w:tcW w:w="1223" w:type="dxa"/>
            <w:tcBorders>
              <w:bottom w:val="single" w:sz="4" w:space="0" w:color="000000"/>
              <w:end w:val="single" w:sz="4" w:space="0" w:color="000000"/>
            </w:tcBorders>
            <w:vAlign w:val="bottom"/>
          </w:tcPr>
          <w:p>
            <w:pPr>
              <w:pStyle w:val="Normal"/>
              <w:jc w:val="end"/>
              <w:rPr>
                <w:rFonts w:eastAsia="Arial Unicode MS"/>
              </w:rPr>
            </w:pPr>
            <w:r>
              <w:rPr/>
              <w:t>630</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637 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Hartford Financial Services Inc (HFSI)</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XL Capital Ltd.</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600-700</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Hartford Financial Services 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HCC Insurance Holdings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GMAC Commercial Mortgage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80</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St. Pauls Cos.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Partner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350-400</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OneBeacon Ins. 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175</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Citigroup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500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Underwriters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Amlin Plc (for Lloyds)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BRIT Insurance (for Lloyds)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Hiscox Plc (for Lloyds)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St. Pauls Cos. (for Lloyds)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Chartwell Managing Agent (owned by TGL for Lloyds)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Reinsurers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Enterprise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Interpolis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Max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Stockton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Element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General Re (owned by Berkshire Hathaway)</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1bn</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Lloyds (all syndicates)</w:t>
            </w:r>
          </w:p>
        </w:tc>
        <w:tc>
          <w:tcPr>
            <w:tcW w:w="1223" w:type="dxa"/>
            <w:tcBorders>
              <w:bottom w:val="single" w:sz="4" w:space="0" w:color="000000"/>
              <w:end w:val="single" w:sz="4" w:space="0" w:color="000000"/>
            </w:tcBorders>
            <w:vAlign w:val="bottom"/>
          </w:tcPr>
          <w:p>
            <w:pPr>
              <w:pStyle w:val="Normal"/>
              <w:jc w:val="end"/>
              <w:rPr>
                <w:rFonts w:eastAsia="Arial Unicode MS"/>
              </w:rPr>
            </w:pPr>
            <w:r>
              <w:rPr/>
              <w:t>multi-bn</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1.5 bn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Swiss Reinsurance Co.</w:t>
            </w:r>
          </w:p>
        </w:tc>
        <w:tc>
          <w:tcPr>
            <w:tcW w:w="1223" w:type="dxa"/>
            <w:tcBorders>
              <w:bottom w:val="single" w:sz="4" w:space="0" w:color="000000"/>
              <w:end w:val="single" w:sz="4" w:space="0" w:color="000000"/>
            </w:tcBorders>
            <w:vAlign w:val="bottom"/>
          </w:tcPr>
          <w:p>
            <w:pPr>
              <w:pStyle w:val="Normal"/>
              <w:jc w:val="end"/>
              <w:rPr>
                <w:rFonts w:eastAsia="Arial Unicode MS"/>
              </w:rPr>
            </w:pPr>
            <w:r>
              <w:rPr/>
              <w:t>730-1bn</w:t>
            </w:r>
          </w:p>
        </w:tc>
        <w:tc>
          <w:tcPr>
            <w:tcW w:w="1260" w:type="dxa"/>
            <w:tcBorders>
              <w:bottom w:val="single" w:sz="4" w:space="0" w:color="000000"/>
              <w:end w:val="single" w:sz="4" w:space="0" w:color="000000"/>
            </w:tcBorders>
            <w:vAlign w:val="bottom"/>
          </w:tcPr>
          <w:p>
            <w:pPr>
              <w:pStyle w:val="Normal"/>
              <w:jc w:val="end"/>
              <w:rPr>
                <w:rFonts w:eastAsia="Arial Unicode MS"/>
              </w:rPr>
            </w:pPr>
            <w:r>
              <w:rPr/>
              <w:t>1 bn</w:t>
            </w:r>
          </w:p>
        </w:tc>
        <w:tc>
          <w:tcPr>
            <w:tcW w:w="1222" w:type="dxa"/>
            <w:tcBorders>
              <w:bottom w:val="single" w:sz="4" w:space="0" w:color="000000"/>
              <w:end w:val="single" w:sz="4" w:space="0" w:color="000000"/>
            </w:tcBorders>
            <w:vAlign w:val="bottom"/>
          </w:tcPr>
          <w:p>
            <w:pPr>
              <w:pStyle w:val="Normal"/>
              <w:jc w:val="end"/>
              <w:rPr>
                <w:rFonts w:eastAsia="Arial Unicode MS"/>
              </w:rPr>
            </w:pPr>
            <w:r>
              <w:rPr/>
              <w:t>750 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Converium (formerly Zurich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400 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American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Hannover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Berkshire Hathaway</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2 bn</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Munich Re Group (parent American Re)</w:t>
            </w:r>
          </w:p>
        </w:tc>
        <w:tc>
          <w:tcPr>
            <w:tcW w:w="1223" w:type="dxa"/>
            <w:tcBorders>
              <w:bottom w:val="single" w:sz="4" w:space="0" w:color="000000"/>
              <w:end w:val="single" w:sz="4" w:space="0" w:color="000000"/>
            </w:tcBorders>
            <w:vAlign w:val="bottom"/>
          </w:tcPr>
          <w:p>
            <w:pPr>
              <w:pStyle w:val="Normal"/>
              <w:jc w:val="end"/>
              <w:rPr>
                <w:rFonts w:eastAsia="Arial Unicode MS"/>
              </w:rPr>
            </w:pPr>
            <w:r>
              <w:rPr/>
              <w:t>906</w:t>
            </w:r>
          </w:p>
        </w:tc>
        <w:tc>
          <w:tcPr>
            <w:tcW w:w="1260" w:type="dxa"/>
            <w:tcBorders>
              <w:bottom w:val="single" w:sz="4" w:space="0" w:color="000000"/>
              <w:end w:val="single" w:sz="4" w:space="0" w:color="000000"/>
            </w:tcBorders>
            <w:vAlign w:val="bottom"/>
          </w:tcPr>
          <w:p>
            <w:pPr>
              <w:pStyle w:val="Normal"/>
              <w:jc w:val="end"/>
              <w:rPr>
                <w:rFonts w:eastAsia="Arial Unicode MS"/>
              </w:rPr>
            </w:pPr>
            <w:r>
              <w:rPr/>
              <w:t>910+</w:t>
            </w:r>
          </w:p>
        </w:tc>
        <w:tc>
          <w:tcPr>
            <w:tcW w:w="1222" w:type="dxa"/>
            <w:tcBorders>
              <w:bottom w:val="single" w:sz="4" w:space="0" w:color="000000"/>
              <w:end w:val="single" w:sz="4" w:space="0" w:color="000000"/>
            </w:tcBorders>
            <w:vAlign w:val="bottom"/>
          </w:tcPr>
          <w:p>
            <w:pPr>
              <w:pStyle w:val="Normal"/>
              <w:jc w:val="end"/>
              <w:rPr>
                <w:rFonts w:eastAsia="Arial Unicode MS"/>
              </w:rPr>
            </w:pPr>
            <w:r>
              <w:rPr/>
              <w:t>900 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XL Capital Ltd.</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600-700</w:t>
            </w:r>
          </w:p>
        </w:tc>
        <w:tc>
          <w:tcPr>
            <w:tcW w:w="1222" w:type="dxa"/>
            <w:tcBorders>
              <w:bottom w:val="single" w:sz="4" w:space="0" w:color="000000"/>
              <w:end w:val="single" w:sz="4" w:space="0" w:color="000000"/>
            </w:tcBorders>
            <w:vAlign w:val="bottom"/>
          </w:tcPr>
          <w:p>
            <w:pPr>
              <w:pStyle w:val="Normal"/>
              <w:jc w:val="end"/>
              <w:rPr>
                <w:rFonts w:eastAsia="Arial Unicode MS"/>
              </w:rPr>
            </w:pPr>
            <w:r>
              <w:rPr/>
              <w:t>650 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Allianz AG</w:t>
            </w:r>
          </w:p>
        </w:tc>
        <w:tc>
          <w:tcPr>
            <w:tcW w:w="1223" w:type="dxa"/>
            <w:tcBorders>
              <w:bottom w:val="single" w:sz="4" w:space="0" w:color="000000"/>
              <w:end w:val="single" w:sz="4" w:space="0" w:color="000000"/>
            </w:tcBorders>
            <w:vAlign w:val="bottom"/>
          </w:tcPr>
          <w:p>
            <w:pPr>
              <w:pStyle w:val="Normal"/>
              <w:jc w:val="end"/>
              <w:rPr>
                <w:rFonts w:eastAsia="Arial Unicode MS"/>
              </w:rPr>
            </w:pPr>
            <w:r>
              <w:rPr/>
              <w:t>630</w:t>
            </w:r>
          </w:p>
        </w:tc>
        <w:tc>
          <w:tcPr>
            <w:tcW w:w="1260" w:type="dxa"/>
            <w:tcBorders>
              <w:bottom w:val="single" w:sz="4" w:space="0" w:color="000000"/>
              <w:end w:val="single" w:sz="4" w:space="0" w:color="000000"/>
            </w:tcBorders>
            <w:vAlign w:val="bottom"/>
          </w:tcPr>
          <w:p>
            <w:pPr>
              <w:pStyle w:val="Normal"/>
              <w:jc w:val="end"/>
              <w:rPr>
                <w:rFonts w:eastAsia="Arial Unicode MS"/>
              </w:rPr>
            </w:pPr>
            <w:r>
              <w:rPr/>
              <w:t>635</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Employers Re (owned by Berkshire Hathaway)</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1bn</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St. Pauls Cos.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Partner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350-400</w:t>
            </w:r>
          </w:p>
        </w:tc>
        <w:tc>
          <w:tcPr>
            <w:tcW w:w="1222" w:type="dxa"/>
            <w:tcBorders>
              <w:bottom w:val="single" w:sz="4" w:space="0" w:color="000000"/>
              <w:end w:val="single" w:sz="4" w:space="0" w:color="000000"/>
            </w:tcBorders>
            <w:vAlign w:val="bottom"/>
          </w:tcPr>
          <w:p>
            <w:pPr>
              <w:pStyle w:val="Normal"/>
              <w:jc w:val="end"/>
              <w:rPr>
                <w:rFonts w:eastAsia="Arial Unicode MS"/>
              </w:rPr>
            </w:pPr>
            <w:r>
              <w:rPr/>
              <w:t>375 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Trenwick Group Ltd. (TGL)</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50-75</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La Salle Re Ltd. (owned by TGL)</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IPC Holdings (under AIG)</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75</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Everest Re Group Ltd.</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75</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Workers Compensation</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HCC Insurance Holdings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Citigroup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500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Health and Accident Insurance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HCC Insurance Holdings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Partner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350-400</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Business Interruption Insurance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XL Capital Ltd.</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600-700</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Citigroup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500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General Commercial Insurance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American International Group (AIG)</w:t>
            </w:r>
          </w:p>
        </w:tc>
        <w:tc>
          <w:tcPr>
            <w:tcW w:w="1223" w:type="dxa"/>
            <w:tcBorders>
              <w:bottom w:val="single" w:sz="4" w:space="0" w:color="000000"/>
              <w:end w:val="single" w:sz="4" w:space="0" w:color="000000"/>
            </w:tcBorders>
            <w:vAlign w:val="bottom"/>
          </w:tcPr>
          <w:p>
            <w:pPr>
              <w:pStyle w:val="Normal"/>
              <w:jc w:val="end"/>
              <w:rPr>
                <w:rFonts w:eastAsia="Arial Unicode MS"/>
              </w:rPr>
            </w:pPr>
            <w:r>
              <w:rPr/>
              <w:t>500 pretax</w:t>
            </w:r>
          </w:p>
        </w:tc>
        <w:tc>
          <w:tcPr>
            <w:tcW w:w="1260" w:type="dxa"/>
            <w:tcBorders>
              <w:bottom w:val="single" w:sz="4" w:space="0" w:color="000000"/>
              <w:end w:val="single" w:sz="4" w:space="0" w:color="000000"/>
            </w:tcBorders>
            <w:vAlign w:val="bottom"/>
          </w:tcPr>
          <w:p>
            <w:pPr>
              <w:pStyle w:val="Normal"/>
              <w:jc w:val="end"/>
              <w:rPr>
                <w:rFonts w:eastAsia="Arial Unicode MS"/>
              </w:rPr>
            </w:pPr>
            <w:r>
              <w:rPr/>
              <w:t>500</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CNA Financial Corp.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130-230 net</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Life Insurance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Hartford Life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Equitable Life (owned by AXA)</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New York Life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MassMutual</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Northwestern Mutual</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MetLife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250-300</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ING 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Aegon</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Fortis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Manulife Financial Corp.</w:t>
            </w:r>
          </w:p>
        </w:tc>
        <w:tc>
          <w:tcPr>
            <w:tcW w:w="1223" w:type="dxa"/>
            <w:tcBorders>
              <w:bottom w:val="single" w:sz="4" w:space="0" w:color="000000"/>
              <w:end w:val="single" w:sz="4" w:space="0" w:color="000000"/>
            </w:tcBorders>
            <w:vAlign w:val="bottom"/>
          </w:tcPr>
          <w:p>
            <w:pPr>
              <w:pStyle w:val="Normal"/>
              <w:jc w:val="end"/>
              <w:rPr>
                <w:rFonts w:eastAsia="Arial Unicode MS"/>
              </w:rPr>
            </w:pPr>
            <w:r>
              <w:rPr/>
              <w:t>65</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Lincoln National Corp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AXA</w:t>
            </w:r>
          </w:p>
        </w:tc>
        <w:tc>
          <w:tcPr>
            <w:tcW w:w="1223" w:type="dxa"/>
            <w:tcBorders>
              <w:bottom w:val="single" w:sz="4" w:space="0" w:color="000000"/>
              <w:end w:val="single" w:sz="4" w:space="0" w:color="000000"/>
            </w:tcBorders>
            <w:vAlign w:val="bottom"/>
          </w:tcPr>
          <w:p>
            <w:pPr>
              <w:pStyle w:val="Normal"/>
              <w:jc w:val="end"/>
              <w:rPr>
                <w:rFonts w:eastAsia="Arial Unicode MS"/>
              </w:rPr>
            </w:pPr>
            <w:r>
              <w:rPr/>
              <w:t>300-400</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Prudential Financial</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Citigroup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500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Aviation Insurance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Marsh</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Aeon</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CGNU Plc</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Lloyds (United and American AA)</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XL Capital Ltd.</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600-700</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Partner Re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350-400</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Chartwell Managing Agent (owned by TGL)</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Not Classified Yet</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Commercial Risk</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Ace Limited</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400</w:t>
            </w:r>
          </w:p>
        </w:tc>
        <w:tc>
          <w:tcPr>
            <w:tcW w:w="1222" w:type="dxa"/>
            <w:tcBorders>
              <w:bottom w:val="single" w:sz="4" w:space="0" w:color="000000"/>
              <w:end w:val="single" w:sz="4" w:space="0" w:color="000000"/>
            </w:tcBorders>
            <w:vAlign w:val="bottom"/>
          </w:tcPr>
          <w:p>
            <w:pPr>
              <w:pStyle w:val="Normal"/>
              <w:jc w:val="end"/>
              <w:rPr>
                <w:rFonts w:eastAsia="Arial Unicode MS"/>
              </w:rPr>
            </w:pPr>
            <w:r>
              <w:rPr/>
              <w:t>400 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Lloyds (Catlin Syndicate)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Ace Global Markets</w:t>
            </w:r>
          </w:p>
        </w:tc>
        <w:tc>
          <w:tcPr>
            <w:tcW w:w="1223" w:type="dxa"/>
            <w:tcBorders>
              <w:bottom w:val="single" w:sz="4" w:space="0" w:color="000000"/>
              <w:end w:val="single" w:sz="4" w:space="0" w:color="000000"/>
            </w:tcBorders>
            <w:vAlign w:val="bottom"/>
          </w:tcPr>
          <w:p>
            <w:pPr>
              <w:pStyle w:val="Normal"/>
              <w:jc w:val="end"/>
              <w:rPr>
                <w:rFonts w:eastAsia="Arial Unicode MS"/>
              </w:rPr>
            </w:pPr>
            <w:r>
              <w:rPr/>
              <w:t>400</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PXRE Group Ltd.</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30-35</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SCOR</w:t>
            </w:r>
          </w:p>
        </w:tc>
        <w:tc>
          <w:tcPr>
            <w:tcW w:w="1223" w:type="dxa"/>
            <w:tcBorders>
              <w:bottom w:val="single" w:sz="4" w:space="0" w:color="000000"/>
              <w:end w:val="single" w:sz="4" w:space="0" w:color="000000"/>
            </w:tcBorders>
            <w:vAlign w:val="bottom"/>
          </w:tcPr>
          <w:p>
            <w:pPr>
              <w:pStyle w:val="Normal"/>
              <w:jc w:val="end"/>
              <w:rPr>
                <w:rFonts w:eastAsia="Arial Unicode MS"/>
              </w:rPr>
            </w:pPr>
            <w:r>
              <w:rPr/>
              <w:t>150-200</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Gerling</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Cantor Fitzgerald</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 xml:space="preserve">     </w:t>
            </w:r>
            <w:r>
              <w:rPr/>
              <w:t>Zurich Financial</w:t>
            </w:r>
          </w:p>
        </w:tc>
        <w:tc>
          <w:tcPr>
            <w:tcW w:w="1223" w:type="dxa"/>
            <w:tcBorders>
              <w:bottom w:val="single" w:sz="4" w:space="0" w:color="000000"/>
              <w:end w:val="single" w:sz="4" w:space="0" w:color="000000"/>
            </w:tcBorders>
            <w:vAlign w:val="bottom"/>
          </w:tcPr>
          <w:p>
            <w:pPr>
              <w:pStyle w:val="Normal"/>
              <w:jc w:val="end"/>
              <w:rPr>
                <w:rFonts w:eastAsia="Arial Unicode MS"/>
              </w:rPr>
            </w:pPr>
            <w:r>
              <w:rPr/>
              <w:t>under 400</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bl>
    <w:p>
      <w:pPr>
        <w:pStyle w:val="Normal"/>
        <w:rPr/>
      </w:pPr>
      <w:r>
        <w:rPr/>
      </w:r>
    </w:p>
    <w:sectPr>
      <w:headerReference w:type="default" r:id="rId4"/>
      <w:footerReference w:type="default" r:id="rId5"/>
      <w:type w:val="nextPage"/>
      <w:pgSz w:w="12240" w:h="15840"/>
      <w:pgMar w:left="1440" w:right="1440" w:gutter="0" w:header="432" w:top="1440" w:footer="43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fldChar w:fldCharType="begin"/>
    </w:r>
    <w:r>
      <w:rPr/>
      <w:instrText xml:space="preserve"> DATE \@"dddd', 'MMMM\ dd', 'yyyy" </w:instrText>
    </w:r>
    <w:r>
      <w:rPr/>
      <w:fldChar w:fldCharType="separate"/>
    </w:r>
    <w:r>
      <w:rPr/>
      <w:t>Sunday, September 28, 2025</w:t>
    </w:r>
    <w:r>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ind w:end="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8"/>
      </w:rPr>
    </w:pPr>
    <w:r>
      <w:rPr>
        <w:b/>
        <w:color w:val="FF0000"/>
        <w:sz w:val="28"/>
      </w:rPr>
      <w:t>Confidential</w:t>
    </w:r>
  </w:p>
  <w:p>
    <w:pPr>
      <w:pStyle w:val="Header"/>
      <w:jc w:val="center"/>
      <w:rPr>
        <w:color w:val="FF0000"/>
        <w:sz w:val="28"/>
      </w:rPr>
    </w:pPr>
    <w:r>
      <w:rPr>
        <w:color w:val="FF0000"/>
        <w:sz w:val="28"/>
      </w:rPr>
      <w:t>No Further Dissemination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outlineLvl w:val="5"/>
    </w:pPr>
    <w:rPr>
      <w:b/>
      <w:i/>
      <w:sz w:val="24"/>
    </w:rPr>
  </w:style>
  <w:style w:type="paragraph" w:styleId="Heading7">
    <w:name w:val="heading 7"/>
    <w:basedOn w:val="Normal"/>
    <w:next w:val="Normal"/>
    <w:qFormat/>
    <w:pPr>
      <w:keepNext w:val="true"/>
      <w:numPr>
        <w:ilvl w:val="6"/>
        <w:numId w:val="1"/>
      </w:numPr>
      <w:outlineLvl w:val="6"/>
    </w:pPr>
    <w:rPr>
      <w:sz w:val="24"/>
      <w:u w:val="single"/>
    </w:rPr>
  </w:style>
  <w:style w:type="paragraph" w:styleId="Heading8">
    <w:name w:val="heading 8"/>
    <w:basedOn w:val="Normal"/>
    <w:next w:val="Normal"/>
    <w:qFormat/>
    <w:pPr>
      <w:keepNext w:val="true"/>
      <w:numPr>
        <w:ilvl w:val="7"/>
        <w:numId w:val="1"/>
      </w:numPr>
      <w:outlineLvl w:val="7"/>
    </w:pPr>
    <w:rPr>
      <w:i/>
      <w:sz w:val="24"/>
    </w:rPr>
  </w:style>
  <w:style w:type="paragraph" w:styleId="Heading9">
    <w:name w:val="heading 9"/>
    <w:basedOn w:val="Normal"/>
    <w:next w:val="Normal"/>
    <w:qFormat/>
    <w:pPr>
      <w:keepNext w:val="true"/>
      <w:numPr>
        <w:ilvl w:val="8"/>
        <w:numId w:val="1"/>
      </w:numPr>
      <w:outlineLvl w:val="8"/>
    </w:pPr>
    <w:rPr>
      <w:rFonts w:ascii="Garamond" w:hAnsi="Garamond" w:cs="Garamond"/>
      <w:sz w:val="24"/>
    </w:rPr>
  </w:style>
  <w:style w:type="character" w:styleId="WW8Num2z0">
    <w:name w:val="WW8Num2z0"/>
    <w:qFormat/>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5z0">
    <w:name w:val="WW8Num5z0"/>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b/>
      <w:i w:val="false"/>
    </w:rPr>
  </w:style>
  <w:style w:type="character" w:styleId="WW8Num9z0">
    <w:name w:val="WW8Num9z0"/>
    <w:qFormat/>
    <w:rPr>
      <w:b/>
      <w:i w:val="fals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b w:val="false"/>
      <w:i w:val="false"/>
    </w:rPr>
  </w:style>
  <w:style w:type="character" w:styleId="WW8Num14z0">
    <w:name w:val="WW8Num14z0"/>
    <w:qFormat/>
    <w:rPr>
      <w:rFonts w:ascii="Symbol" w:hAnsi="Symbol" w:cs="Symbol"/>
      <w:spacing w:val="0"/>
      <w:position w:val="0"/>
      <w:sz w:val="20"/>
      <w:sz w:val="20"/>
      <w:vertAlign w:val="baseline"/>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b/>
      <w:i w:val="false"/>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Wingdings" w:hAnsi="Wingdings" w:cs="Wingdings"/>
      <w:sz w:val="16"/>
    </w:rPr>
  </w:style>
  <w:style w:type="character" w:styleId="WW8Num21z0">
    <w:name w:val="WW8Num21z0"/>
    <w:qFormat/>
    <w:rPr/>
  </w:style>
  <w:style w:type="character" w:styleId="WW8Num22z0">
    <w:name w:val="WW8Num22z0"/>
    <w:qFormat/>
    <w:rPr/>
  </w:style>
  <w:style w:type="character" w:styleId="WW8Num24z0">
    <w:name w:val="WW8Num24z0"/>
    <w:qFormat/>
    <w:rPr>
      <w:b/>
      <w:i w:val="false"/>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sz w:val="28"/>
    </w:rPr>
  </w:style>
  <w:style w:type="character" w:styleId="WW8Num27z0">
    <w:name w:val="WW8Num27z0"/>
    <w:qFormat/>
    <w:rPr>
      <w:rFonts w:ascii="Symbol" w:hAnsi="Symbol" w:cs="Symbol"/>
    </w:rPr>
  </w:style>
  <w:style w:type="character" w:styleId="WW8Num28z0">
    <w:name w:val="WW8Num28z0"/>
    <w:qFormat/>
    <w:rPr>
      <w:rFonts w:ascii="Symbol" w:hAnsi="Symbol" w:cs="Symbol"/>
      <w:sz w:val="24"/>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8z4">
    <w:name w:val="WW8Num28z4"/>
    <w:qFormat/>
    <w:rPr>
      <w:rFonts w:ascii="Courier New" w:hAnsi="Courier New" w:cs="Courier New"/>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3z0">
    <w:name w:val="WW8Num33z0"/>
    <w:qFormat/>
    <w:rPr>
      <w:b/>
    </w:rPr>
  </w:style>
  <w:style w:type="character" w:styleId="WW8Num34z0">
    <w:name w:val="WW8Num34z0"/>
    <w:qFormat/>
    <w:rPr/>
  </w:style>
  <w:style w:type="character" w:styleId="WW8Num35z0">
    <w:name w:val="WW8Num35z0"/>
    <w:qFormat/>
    <w:rPr>
      <w:b/>
      <w:i w:val="false"/>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5">
    <w:name w:val="WW8Num36z5"/>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5">
    <w:name w:val="WW8Num37z5"/>
    <w:qFormat/>
    <w:rPr>
      <w:rFonts w:ascii="Wingdings" w:hAnsi="Wingdings" w:cs="Wingdings"/>
    </w:rPr>
  </w:style>
  <w:style w:type="character" w:styleId="WW8Num38z0">
    <w:name w:val="WW8Num38z0"/>
    <w:qFormat/>
    <w:rPr>
      <w:b w:val="false"/>
      <w:i w:val="false"/>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color w:val="auto"/>
      <w:sz w:val="20"/>
    </w:rPr>
  </w:style>
  <w:style w:type="character" w:styleId="WW8Num42z0">
    <w:name w:val="WW8Num42z0"/>
    <w:qFormat/>
    <w:rPr>
      <w:b/>
      <w:i w:val="false"/>
    </w:rPr>
  </w:style>
  <w:style w:type="character" w:styleId="WW8Num44z0">
    <w:name w:val="WW8Num44z0"/>
    <w:qFormat/>
    <w:rPr>
      <w:b/>
      <w:i w:val="false"/>
    </w:rPr>
  </w:style>
  <w:style w:type="character" w:styleId="WW8Num46z0">
    <w:name w:val="WW8Num46z0"/>
    <w:qFormat/>
    <w:rPr>
      <w:rFonts w:ascii="Symbol" w:hAnsi="Symbol" w:cs="Symbol"/>
      <w:spacing w:val="0"/>
      <w:position w:val="0"/>
      <w:sz w:val="20"/>
      <w:sz w:val="20"/>
      <w:vertAlign w:val="baseline"/>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b/>
    </w:rPr>
  </w:style>
  <w:style w:type="character" w:styleId="WW8Num48z0">
    <w:name w:val="WW8Num48z0"/>
    <w:qFormat/>
    <w:rPr>
      <w:rFonts w:ascii="Symbol" w:hAnsi="Symbol" w:cs="Symbol"/>
      <w:spacing w:val="0"/>
      <w:position w:val="0"/>
      <w:sz w:val="20"/>
      <w:sz w:val="20"/>
      <w:vertAlign w:val="baseline"/>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color w:val="00000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b/>
      <w:i w:val="false"/>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spacing w:val="0"/>
      <w:position w:val="0"/>
      <w:sz w:val="20"/>
      <w:sz w:val="20"/>
      <w:vertAlign w:val="baseline"/>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style>
  <w:style w:type="character" w:styleId="WW8Num54z0">
    <w:name w:val="WW8Num54z0"/>
    <w:qFormat/>
    <w:rPr/>
  </w:style>
  <w:style w:type="character" w:styleId="WW8Num55z0">
    <w:name w:val="WW8Num55z0"/>
    <w:qFormat/>
    <w:rPr>
      <w:rFonts w:ascii="Symbol" w:hAnsi="Symbol" w:cs="Symbol"/>
    </w:rPr>
  </w:style>
  <w:style w:type="character" w:styleId="WW8Num58z0">
    <w:name w:val="WW8Num58z0"/>
    <w:qFormat/>
    <w:rPr>
      <w:rFonts w:ascii="Symbol" w:hAnsi="Symbol" w:cs="Symbol"/>
      <w:sz w:val="20"/>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5">
    <w:name w:val="WW8Num59z5"/>
    <w:qFormat/>
    <w:rPr>
      <w:rFonts w:ascii="Wingdings" w:hAnsi="Wingdings" w:cs="Wingdings"/>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5">
    <w:name w:val="WW8Num60z5"/>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color w:val="auto"/>
      <w:sz w:val="20"/>
    </w:rPr>
  </w:style>
  <w:style w:type="character" w:styleId="WW8Num64z0">
    <w:name w:val="WW8Num64z0"/>
    <w:qFormat/>
    <w:rPr>
      <w:b w:val="false"/>
      <w:i w:val="false"/>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Symbol"/>
      <w:spacing w:val="0"/>
      <w:position w:val="0"/>
      <w:sz w:val="20"/>
      <w:sz w:val="20"/>
      <w:vertAlign w:val="baseline"/>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5">
    <w:name w:val="WW8Num71z5"/>
    <w:qFormat/>
    <w:rPr>
      <w:rFonts w:ascii="Wingdings" w:hAnsi="Wingdings" w:cs="Wingdings"/>
    </w:rPr>
  </w:style>
  <w:style w:type="character" w:styleId="WW8Num72z0">
    <w:name w:val="WW8Num72z0"/>
    <w:qFormat/>
    <w:rPr>
      <w:rFonts w:ascii="Symbol" w:hAnsi="Symbol" w:cs="Symbol"/>
      <w:sz w:val="24"/>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2z4">
    <w:name w:val="WW8Num72z4"/>
    <w:qFormat/>
    <w:rPr>
      <w:rFonts w:ascii="Courier New" w:hAnsi="Courier New" w:cs="Courier New"/>
    </w:rPr>
  </w:style>
  <w:style w:type="character" w:styleId="WW8Num73z0">
    <w:name w:val="WW8Num73z0"/>
    <w:qFormat/>
    <w:rPr/>
  </w:style>
  <w:style w:type="character" w:styleId="WW8Num74z0">
    <w:name w:val="WW8Num74z0"/>
    <w:qFormat/>
    <w:rPr>
      <w:rFonts w:ascii="Symbol" w:hAnsi="Symbol" w:cs="Symbol"/>
      <w:color w:val="auto"/>
    </w:rPr>
  </w:style>
  <w:style w:type="character" w:styleId="WW8Num75z0">
    <w:name w:val="WW8Num75z0"/>
    <w:qFormat/>
    <w:rPr>
      <w:b w:val="false"/>
      <w:i w:val="false"/>
    </w:rPr>
  </w:style>
  <w:style w:type="character" w:styleId="WW8Num76z0">
    <w:name w:val="WW8Num76z0"/>
    <w:qFormat/>
    <w:rPr>
      <w:b/>
      <w:i w:val="false"/>
    </w:rPr>
  </w:style>
  <w:style w:type="character" w:styleId="WW8Num77z0">
    <w:name w:val="WW8Num77z0"/>
    <w:qFormat/>
    <w:rPr>
      <w:rFonts w:ascii="Symbol" w:hAnsi="Symbol" w:cs="Symbol"/>
      <w:spacing w:val="0"/>
      <w:position w:val="0"/>
      <w:sz w:val="20"/>
      <w:sz w:val="20"/>
      <w:vertAlign w:val="baseline"/>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Symbol" w:hAnsi="Symbol" w:cs="Symbol"/>
      <w:color w:val="auto"/>
      <w:sz w:val="28"/>
    </w:rPr>
  </w:style>
  <w:style w:type="character" w:styleId="WW8Num80z0">
    <w:name w:val="WW8Num80z0"/>
    <w:qFormat/>
    <w:rPr>
      <w:rFonts w:ascii="Symbol" w:hAnsi="Symbol" w:cs="Symbol"/>
      <w:color w:val="FF0000"/>
    </w:rPr>
  </w:style>
  <w:style w:type="character" w:styleId="WW8Num81z0">
    <w:name w:val="WW8Num81z0"/>
    <w:qFormat/>
    <w:rPr>
      <w:rFonts w:ascii="Symbol" w:hAnsi="Symbol" w:cs="Symbol"/>
    </w:rPr>
  </w:style>
  <w:style w:type="character" w:styleId="WW8Num82z0">
    <w:name w:val="WW8Num82z0"/>
    <w:qFormat/>
    <w:rPr>
      <w:rFonts w:ascii="Symbol" w:hAnsi="Symbol" w:cs="Symbol"/>
      <w:sz w:val="20"/>
    </w:rPr>
  </w:style>
  <w:style w:type="character" w:styleId="WW8Num83z0">
    <w:name w:val="WW8Num83z0"/>
    <w:qFormat/>
    <w:rPr>
      <w:rFonts w:ascii="Symbol" w:hAnsi="Symbol" w:cs="Symbol"/>
      <w:color w:val="FF0000"/>
    </w:rPr>
  </w:style>
  <w:style w:type="character" w:styleId="WW8Num85z0">
    <w:name w:val="WW8Num85z0"/>
    <w:qFormat/>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spacing w:val="0"/>
      <w:position w:val="0"/>
      <w:sz w:val="20"/>
      <w:sz w:val="20"/>
      <w:vertAlign w:val="baseline"/>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sz w:val="20"/>
    </w:rPr>
  </w:style>
  <w:style w:type="character" w:styleId="WW8Num93z0">
    <w:name w:val="WW8Num93z0"/>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style>
  <w:style w:type="character" w:styleId="WW8Num95z0">
    <w:name w:val="WW8Num95z0"/>
    <w:qFormat/>
    <w:rPr>
      <w:rFonts w:ascii="Symbol" w:hAnsi="Symbol" w:cs="Symbol"/>
      <w:color w:val="FF0000"/>
    </w:rPr>
  </w:style>
  <w:style w:type="character" w:styleId="WW8Num96z0">
    <w:name w:val="WW8Num96z0"/>
    <w:qFormat/>
    <w:rPr>
      <w:rFonts w:ascii="Symbol" w:hAnsi="Symbol" w:cs="Symbol"/>
    </w:rPr>
  </w:style>
  <w:style w:type="character" w:styleId="WW8Num97z0">
    <w:name w:val="WW8Num97z0"/>
    <w:qFormat/>
    <w:rPr>
      <w:rFonts w:ascii="Symbol" w:hAnsi="Symbol" w:cs="Symbol"/>
      <w:sz w:val="24"/>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7z4">
    <w:name w:val="WW8Num97z4"/>
    <w:qFormat/>
    <w:rPr>
      <w:rFonts w:ascii="Courier New" w:hAnsi="Courier New" w:cs="Courier New"/>
    </w:rPr>
  </w:style>
  <w:style w:type="character" w:styleId="WW8Num98z0">
    <w:name w:val="WW8Num98z0"/>
    <w:qFormat/>
    <w:rPr>
      <w:rFonts w:ascii="Symbol" w:hAnsi="Symbol" w:cs="Symbol"/>
      <w:sz w:val="20"/>
    </w:rPr>
  </w:style>
  <w:style w:type="character" w:styleId="WW8Num98z1">
    <w:name w:val="WW8Num98z1"/>
    <w:qFormat/>
    <w:rPr>
      <w:rFonts w:ascii="Courier New" w:hAnsi="Courier New" w:cs="Courier New"/>
      <w:sz w:val="20"/>
    </w:rPr>
  </w:style>
  <w:style w:type="character" w:styleId="WW8Num98z2">
    <w:name w:val="WW8Num98z2"/>
    <w:qFormat/>
    <w:rPr>
      <w:rFonts w:ascii="Wingdings" w:hAnsi="Wingdings" w:cs="Wingdings"/>
      <w:sz w:val="20"/>
    </w:rPr>
  </w:style>
  <w:style w:type="character" w:styleId="WW8Num99z0">
    <w:name w:val="WW8Num99z0"/>
    <w:qFormat/>
    <w:rPr>
      <w:b w:val="false"/>
      <w:i w:val="false"/>
    </w:rPr>
  </w:style>
  <w:style w:type="character" w:styleId="WW8Num100z0">
    <w:name w:val="WW8Num100z0"/>
    <w:qFormat/>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5">
    <w:name w:val="WW8Num101z5"/>
    <w:qFormat/>
    <w:rPr>
      <w:rFonts w:ascii="Wingdings" w:hAnsi="Wingdings" w:cs="Wingdings"/>
    </w:rPr>
  </w:style>
  <w:style w:type="character" w:styleId="WW8Num102z0">
    <w:name w:val="WW8Num102z0"/>
    <w:qFormat/>
    <w:rPr>
      <w:b/>
    </w:rPr>
  </w:style>
  <w:style w:type="character" w:styleId="WW8Num103z0">
    <w:name w:val="WW8Num103z0"/>
    <w:qFormat/>
    <w:rPr>
      <w:b/>
      <w:i w:val="false"/>
    </w:rPr>
  </w:style>
  <w:style w:type="character" w:styleId="WW8Num104z0">
    <w:name w:val="WW8Num104z0"/>
    <w:qFormat/>
    <w:rPr/>
  </w:style>
  <w:style w:type="character" w:styleId="WW8Num105z0">
    <w:name w:val="WW8Num105z0"/>
    <w:qFormat/>
    <w:rPr>
      <w:b/>
      <w:i w:val="false"/>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auto"/>
    </w:rPr>
  </w:style>
  <w:style w:type="character" w:styleId="WW8Num108z0">
    <w:name w:val="WW8Num108z0"/>
    <w:qFormat/>
    <w:rPr>
      <w:rFonts w:ascii="Symbol" w:hAnsi="Symbol" w:cs="Symbol"/>
      <w:sz w:val="20"/>
    </w:rPr>
  </w:style>
  <w:style w:type="character" w:styleId="WW8Num109z0">
    <w:name w:val="WW8Num109z0"/>
    <w:qFormat/>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b w:val="false"/>
      <w:i w:val="false"/>
    </w:rPr>
  </w:style>
  <w:style w:type="character" w:styleId="WW8Num114z0">
    <w:name w:val="WW8Num114z0"/>
    <w:qFormat/>
    <w:rPr>
      <w:rFonts w:ascii="Symbol" w:hAnsi="Symbol" w:cs="Symbol"/>
    </w:rPr>
  </w:style>
  <w:style w:type="character" w:styleId="WW8Num115z0">
    <w:name w:val="WW8Num115z0"/>
    <w:qFormat/>
    <w:rPr>
      <w:rFonts w:ascii="Symbol" w:hAnsi="Symbol" w:cs="Symbol"/>
      <w:color w:val="auto"/>
    </w:rPr>
  </w:style>
  <w:style w:type="character" w:styleId="WW8Num116z0">
    <w:name w:val="WW8Num116z0"/>
    <w:qFormat/>
    <w:rPr>
      <w:rFonts w:ascii="Symbol" w:hAnsi="Symbol" w:cs="Symbol"/>
      <w:sz w:val="24"/>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rFonts w:ascii="Symbol" w:hAnsi="Symbol" w:cs="Symbol"/>
      <w:color w:val="FF0000"/>
    </w:rPr>
  </w:style>
  <w:style w:type="character" w:styleId="WW8Num118z0">
    <w:name w:val="WW8Num118z0"/>
    <w:qFormat/>
    <w:rPr>
      <w:rFonts w:ascii="Symbol" w:hAnsi="Symbol" w:cs="Symbol"/>
      <w:spacing w:val="0"/>
      <w:position w:val="0"/>
      <w:sz w:val="20"/>
      <w:sz w:val="20"/>
      <w:vertAlign w:val="baseline"/>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b/>
      <w:i w:val="false"/>
    </w:rPr>
  </w:style>
  <w:style w:type="character" w:styleId="WW8Num120z0">
    <w:name w:val="WW8Num120z0"/>
    <w:qFormat/>
    <w:rPr/>
  </w:style>
  <w:style w:type="character" w:styleId="WW8Num121z0">
    <w:name w:val="WW8Num121z0"/>
    <w:qFormat/>
    <w:rPr>
      <w:b/>
      <w:i w:val="false"/>
    </w:rPr>
  </w:style>
  <w:style w:type="character" w:styleId="WW8Num122z0">
    <w:name w:val="WW8Num122z0"/>
    <w:qFormat/>
    <w:rPr>
      <w:rFonts w:ascii="Wingdings" w:hAnsi="Wingdings" w:cs="Wingdings"/>
      <w:sz w:val="16"/>
    </w:rPr>
  </w:style>
  <w:style w:type="character" w:styleId="WW8Num123z0">
    <w:name w:val="WW8Num123z0"/>
    <w:qFormat/>
    <w:rPr/>
  </w:style>
  <w:style w:type="character" w:styleId="WW8Num124z0">
    <w:name w:val="WW8Num124z0"/>
    <w:qFormat/>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5">
    <w:name w:val="WW8Num125z5"/>
    <w:qFormat/>
    <w:rPr>
      <w:rFonts w:ascii="Wingdings" w:hAnsi="Wingdings" w:cs="Wingdings"/>
    </w:rPr>
  </w:style>
  <w:style w:type="character" w:styleId="WW8Num126z0">
    <w:name w:val="WW8Num126z0"/>
    <w:qFormat/>
    <w:rPr>
      <w:rFonts w:ascii="Symbol" w:hAnsi="Symbol" w:cs="Symbol"/>
      <w:sz w:val="20"/>
    </w:rPr>
  </w:style>
  <w:style w:type="character" w:styleId="WW8Num127z0">
    <w:name w:val="WW8Num127z0"/>
    <w:qFormat/>
    <w:rPr>
      <w:rFonts w:ascii="Symbol" w:hAnsi="Symbol" w:cs="Symbol"/>
    </w:rPr>
  </w:style>
  <w:style w:type="character" w:styleId="WW8Num128z0">
    <w:name w:val="WW8Num128z0"/>
    <w:qFormat/>
    <w:rPr>
      <w:b/>
      <w:i w:val="false"/>
    </w:rPr>
  </w:style>
  <w:style w:type="character" w:styleId="WW8Num129z0">
    <w:name w:val="WW8Num129z0"/>
    <w:qFormat/>
    <w:rPr>
      <w:rFonts w:ascii="Wingdings" w:hAnsi="Wingdings" w:cs="Wingdings"/>
    </w:rPr>
  </w:style>
  <w:style w:type="character" w:styleId="WW8Num130z0">
    <w:name w:val="WW8Num130z0"/>
    <w:qFormat/>
    <w:rPr>
      <w:rFonts w:ascii="Symbol" w:hAnsi="Symbol" w:cs="Symbol"/>
      <w:sz w:val="20"/>
    </w:rPr>
  </w:style>
  <w:style w:type="character" w:styleId="WW8Num132z0">
    <w:name w:val="WW8Num132z0"/>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5">
    <w:name w:val="WW8Num133z5"/>
    <w:qFormat/>
    <w:rPr>
      <w:rFonts w:ascii="Wingdings" w:hAnsi="Wingdings" w:cs="Wingdings"/>
    </w:rPr>
  </w:style>
  <w:style w:type="character" w:styleId="WW8Num134z0">
    <w:name w:val="WW8Num134z0"/>
    <w:qFormat/>
    <w:rPr>
      <w:rFonts w:ascii="Wingdings" w:hAnsi="Wingdings" w:cs="Wingdings"/>
      <w:sz w:val="16"/>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b w:val="false"/>
      <w:color w:val="auto"/>
    </w:rPr>
  </w:style>
  <w:style w:type="character" w:styleId="WW8Num143z0">
    <w:name w:val="WW8Num143z0"/>
    <w:qFormat/>
    <w:rPr>
      <w:b/>
      <w:i w:val="false"/>
    </w:rPr>
  </w:style>
  <w:style w:type="character" w:styleId="WW8Num144z0">
    <w:name w:val="WW8Num144z0"/>
    <w:qFormat/>
    <w:rPr>
      <w:b w:val="false"/>
      <w:i w:val="false"/>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style>
  <w:style w:type="character" w:styleId="WW8Num148z0">
    <w:name w:val="WW8Num148z0"/>
    <w:qFormat/>
    <w:rPr>
      <w:rFonts w:ascii="Symbol" w:hAnsi="Symbol" w:cs="Symbol"/>
      <w:color w:val="auto"/>
    </w:rPr>
  </w:style>
  <w:style w:type="character" w:styleId="WW8Num149z0">
    <w:name w:val="WW8Num149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spacing w:val="0"/>
      <w:position w:val="0"/>
      <w:sz w:val="20"/>
      <w:sz w:val="20"/>
      <w:vertAlign w:val="baseline"/>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b w:val="false"/>
      <w:i w:val="false"/>
    </w:rPr>
  </w:style>
  <w:style w:type="character" w:styleId="WW8Num155z0">
    <w:name w:val="WW8Num155z0"/>
    <w:qFormat/>
    <w:rPr>
      <w:rFonts w:ascii="Symbol" w:hAnsi="Symbol" w:cs="Symbol"/>
    </w:rPr>
  </w:style>
  <w:style w:type="character" w:styleId="WW8Num156z0">
    <w:name w:val="WW8Num156z0"/>
    <w:qFormat/>
    <w:rPr>
      <w:b/>
      <w:i w:val="false"/>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b/>
      <w:i w:val="false"/>
    </w:rPr>
  </w:style>
  <w:style w:type="character" w:styleId="WW8Num159z0">
    <w:name w:val="WW8Num159z0"/>
    <w:qFormat/>
    <w:rPr>
      <w:rFonts w:ascii="Symbol" w:hAnsi="Symbol" w:cs="Symbol"/>
      <w:color w:val="auto"/>
    </w:rPr>
  </w:style>
  <w:style w:type="character" w:styleId="WW8Num160z0">
    <w:name w:val="WW8Num160z0"/>
    <w:qFormat/>
    <w:rPr>
      <w:rFonts w:ascii="Symbol" w:hAnsi="Symbol" w:cs="Symbol"/>
      <w:spacing w:val="0"/>
      <w:position w:val="0"/>
      <w:sz w:val="20"/>
      <w:sz w:val="20"/>
      <w:vertAlign w:val="baseline"/>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b/>
    </w:rPr>
  </w:style>
  <w:style w:type="character" w:styleId="WW8Num166z0">
    <w:name w:val="WW8Num166z0"/>
    <w:qFormat/>
    <w:rPr>
      <w:rFonts w:ascii="Symbol" w:hAnsi="Symbol" w:cs="Symbol"/>
    </w:rPr>
  </w:style>
  <w:style w:type="character" w:styleId="WW8Num167z0">
    <w:name w:val="WW8Num167z0"/>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5">
    <w:name w:val="WW8Num168z5"/>
    <w:qFormat/>
    <w:rPr>
      <w:rFonts w:ascii="Wingdings" w:hAnsi="Wingdings" w:cs="Wingdings"/>
    </w:rPr>
  </w:style>
  <w:style w:type="character" w:styleId="WW8Num169z0">
    <w:name w:val="WW8Num169z0"/>
    <w:qFormat/>
    <w:rPr/>
  </w:style>
  <w:style w:type="character" w:styleId="WW8Num170z0">
    <w:name w:val="WW8Num170z0"/>
    <w:qFormat/>
    <w:rPr>
      <w:b/>
      <w:i w:val="false"/>
    </w:rPr>
  </w:style>
  <w:style w:type="character" w:styleId="WW8Num171z0">
    <w:name w:val="WW8Num171z0"/>
    <w:qFormat/>
    <w:rPr/>
  </w:style>
  <w:style w:type="character" w:styleId="WW8Num172z0">
    <w:name w:val="WW8Num172z0"/>
    <w:qFormat/>
    <w:rPr>
      <w:rFonts w:ascii="Symbol" w:hAnsi="Symbol" w:cs="Symbol"/>
      <w:spacing w:val="0"/>
      <w:position w:val="0"/>
      <w:sz w:val="20"/>
      <w:sz w:val="20"/>
      <w:vertAlign w:val="baseline"/>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2z3">
    <w:name w:val="WW8Num172z3"/>
    <w:qFormat/>
    <w:rPr>
      <w:rFonts w:ascii="Symbol" w:hAnsi="Symbol" w:cs="Symbol"/>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Symbol" w:hAnsi="Symbol" w:cs="Symbol"/>
      <w:color w:val="auto"/>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rFonts w:ascii="Symbol" w:hAnsi="Symbol" w:cs="Symbol"/>
      <w:color w:val="auto"/>
      <w:sz w:val="28"/>
    </w:rPr>
  </w:style>
  <w:style w:type="character" w:styleId="WW8Num178z0">
    <w:name w:val="WW8Num178z0"/>
    <w:qFormat/>
    <w:rPr>
      <w:rFonts w:ascii="Wingdings" w:hAnsi="Wingdings" w:cs="Wingdings"/>
      <w:color w:val="FF0000"/>
      <w:sz w:val="16"/>
    </w:rPr>
  </w:style>
  <w:style w:type="character" w:styleId="WW8Num179z0">
    <w:name w:val="WW8Num179z0"/>
    <w:qFormat/>
    <w:rPr>
      <w:rFonts w:ascii="Symbol" w:hAnsi="Symbol" w:cs="Symbol"/>
      <w:spacing w:val="0"/>
      <w:position w:val="0"/>
      <w:sz w:val="20"/>
      <w:sz w:val="20"/>
      <w:vertAlign w:val="baseline"/>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79z3">
    <w:name w:val="WW8Num179z3"/>
    <w:qFormat/>
    <w:rPr>
      <w:rFonts w:ascii="Symbol" w:hAnsi="Symbol" w:cs="Symbol"/>
    </w:rPr>
  </w:style>
  <w:style w:type="character" w:styleId="WW8Num180z0">
    <w:name w:val="WW8Num180z0"/>
    <w:qFormat/>
    <w:rPr>
      <w:rFonts w:ascii="Symbol" w:hAnsi="Symbol" w:cs="Symbol"/>
      <w:color w:val="auto"/>
      <w:sz w:val="28"/>
    </w:rPr>
  </w:style>
  <w:style w:type="character" w:styleId="WW8Num181z0">
    <w:name w:val="WW8Num181z0"/>
    <w:qFormat/>
    <w:rPr>
      <w:rFonts w:ascii="Symbol" w:hAnsi="Symbol" w:cs="Symbol"/>
    </w:rPr>
  </w:style>
  <w:style w:type="character" w:styleId="WW8Num182z0">
    <w:name w:val="WW8Num182z0"/>
    <w:qFormat/>
    <w:rPr>
      <w:b/>
      <w:i w:val="false"/>
    </w:rPr>
  </w:style>
  <w:style w:type="character" w:styleId="WW8Num183z0">
    <w:name w:val="WW8Num183z0"/>
    <w:qFormat/>
    <w:rPr>
      <w:rFonts w:ascii="Wingdings" w:hAnsi="Wingdings" w:cs="Wingdings"/>
      <w:sz w:val="16"/>
    </w:rPr>
  </w:style>
  <w:style w:type="character" w:styleId="WW8Num184z0">
    <w:name w:val="WW8Num184z0"/>
    <w:qFormat/>
    <w:rPr>
      <w:b/>
      <w:i w:val="false"/>
    </w:rPr>
  </w:style>
  <w:style w:type="character" w:styleId="WW8Num185z0">
    <w:name w:val="WW8Num185z0"/>
    <w:qFormat/>
    <w:rPr>
      <w:rFonts w:ascii="Symbol" w:hAnsi="Symbol" w:cs="Symbol"/>
      <w:color w:val="auto"/>
      <w:sz w:val="20"/>
    </w:rPr>
  </w:style>
  <w:style w:type="character" w:styleId="WW8Num186z0">
    <w:name w:val="WW8Num186z0"/>
    <w:qFormat/>
    <w:rPr/>
  </w:style>
  <w:style w:type="character" w:styleId="WW8Num187z0">
    <w:name w:val="WW8Num187z0"/>
    <w:qFormat/>
    <w:rPr>
      <w:b w:val="false"/>
      <w:i w:val="false"/>
    </w:rPr>
  </w:style>
  <w:style w:type="character" w:styleId="WW8Num188z0">
    <w:name w:val="WW8Num188z0"/>
    <w:qFormat/>
    <w:rPr/>
  </w:style>
  <w:style w:type="character" w:styleId="WW8Num189z0">
    <w:name w:val="WW8Num189z0"/>
    <w:qFormat/>
    <w:rPr>
      <w:rFonts w:ascii="Symbol" w:hAnsi="Symbol" w:cs="Symbol"/>
      <w:color w:val="FF0000"/>
    </w:rPr>
  </w:style>
  <w:style w:type="character" w:styleId="WW8Num190z0">
    <w:name w:val="WW8Num190z0"/>
    <w:qFormat/>
    <w:rPr>
      <w:rFonts w:ascii="Symbol" w:hAnsi="Symbol" w:cs="Symbol"/>
      <w:color w:val="auto"/>
      <w:sz w:val="28"/>
    </w:rPr>
  </w:style>
  <w:style w:type="character" w:styleId="WW8Num191z0">
    <w:name w:val="WW8Num191z0"/>
    <w:qFormat/>
    <w:rPr/>
  </w:style>
  <w:style w:type="character" w:styleId="WW8Num192z0">
    <w:name w:val="WW8Num192z0"/>
    <w:qFormat/>
    <w:rPr>
      <w:rFonts w:ascii="Symbol" w:hAnsi="Symbol" w:cs="Symbol"/>
      <w:sz w:val="20"/>
    </w:rPr>
  </w:style>
  <w:style w:type="character" w:styleId="WW8Num193z0">
    <w:name w:val="WW8Num193z0"/>
    <w:qFormat/>
    <w:rPr>
      <w:rFonts w:ascii="Symbol" w:hAnsi="Symbol" w:cs="Symbol"/>
    </w:rPr>
  </w:style>
  <w:style w:type="character" w:styleId="WW8Num193z1">
    <w:name w:val="WW8Num193z1"/>
    <w:qFormat/>
    <w:rPr>
      <w:rFonts w:ascii="Courier New" w:hAnsi="Courier New" w:cs="Courier New"/>
    </w:rPr>
  </w:style>
  <w:style w:type="character" w:styleId="WW8Num193z5">
    <w:name w:val="WW8Num193z5"/>
    <w:qFormat/>
    <w:rPr>
      <w:rFonts w:ascii="Wingdings" w:hAnsi="Wingdings" w:cs="Wingdings"/>
    </w:rPr>
  </w:style>
  <w:style w:type="character" w:styleId="WW8Num194z0">
    <w:name w:val="WW8Num194z0"/>
    <w:qFormat/>
    <w:rPr>
      <w:rFonts w:ascii="Symbol" w:hAnsi="Symbol" w:cs="Symbo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5z0">
    <w:name w:val="WW8Num195z0"/>
    <w:qFormat/>
    <w:rPr>
      <w:b/>
      <w:i/>
    </w:rPr>
  </w:style>
  <w:style w:type="character" w:styleId="WW8Num196z0">
    <w:name w:val="WW8Num196z0"/>
    <w:qFormat/>
    <w:rPr>
      <w:rFonts w:ascii="Wingdings" w:hAnsi="Wingdings" w:cs="Wingdings"/>
      <w:sz w:val="16"/>
    </w:rPr>
  </w:style>
  <w:style w:type="character" w:styleId="WW8Num197z0">
    <w:name w:val="WW8Num197z0"/>
    <w:qFormat/>
    <w:rPr>
      <w:rFonts w:ascii="Symbol" w:hAnsi="Symbol" w:cs="Symbol"/>
      <w:spacing w:val="0"/>
      <w:position w:val="0"/>
      <w:sz w:val="20"/>
      <w:sz w:val="20"/>
      <w:vertAlign w:val="baseline"/>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7z3">
    <w:name w:val="WW8Num197z3"/>
    <w:qFormat/>
    <w:rPr>
      <w:rFonts w:ascii="Symbol" w:hAnsi="Symbol" w:cs="Symbol"/>
    </w:rPr>
  </w:style>
  <w:style w:type="character" w:styleId="WW8Num198z0">
    <w:name w:val="WW8Num198z0"/>
    <w:qFormat/>
    <w:rPr>
      <w:b/>
      <w:i w:val="false"/>
    </w:rPr>
  </w:style>
  <w:style w:type="character" w:styleId="WW8Num199z0">
    <w:name w:val="WW8Num199z0"/>
    <w:qFormat/>
    <w:rPr>
      <w:rFonts w:ascii="Symbol" w:hAnsi="Symbol" w:cs="Symbol"/>
    </w:rPr>
  </w:style>
  <w:style w:type="character" w:styleId="WW8Num200z0">
    <w:name w:val="WW8Num200z0"/>
    <w:qFormat/>
    <w:rPr>
      <w:b/>
      <w:i w:val="false"/>
    </w:rPr>
  </w:style>
  <w:style w:type="character" w:styleId="WW8Num201z0">
    <w:name w:val="WW8Num201z0"/>
    <w:qFormat/>
    <w:rPr>
      <w:rFonts w:ascii="Symbol" w:hAnsi="Symbol" w:cs="Symbol"/>
      <w:color w:val="auto"/>
      <w:sz w:val="20"/>
    </w:rPr>
  </w:style>
  <w:style w:type="character" w:styleId="WW8Num202z0">
    <w:name w:val="WW8Num202z0"/>
    <w:qFormat/>
    <w:rPr>
      <w:rFonts w:ascii="Symbol" w:hAnsi="Symbol" w:cs="Symbol"/>
      <w:color w:val="auto"/>
      <w:sz w:val="20"/>
    </w:rPr>
  </w:style>
  <w:style w:type="character" w:styleId="WW8Num203z0">
    <w:name w:val="WW8Num203z0"/>
    <w:qFormat/>
    <w:rPr>
      <w:rFonts w:ascii="Symbol" w:hAnsi="Symbol" w:cs="Symbol"/>
      <w:color w:val="auto"/>
    </w:rPr>
  </w:style>
  <w:style w:type="character" w:styleId="WW8Num204z0">
    <w:name w:val="WW8Num204z0"/>
    <w:qFormat/>
    <w:rPr>
      <w:rFonts w:ascii="Symbol" w:hAnsi="Symbol" w:cs="Symbol"/>
      <w:color w:val="auto"/>
      <w:sz w:val="28"/>
    </w:rPr>
  </w:style>
  <w:style w:type="character" w:styleId="WW8Num205z0">
    <w:name w:val="WW8Num205z0"/>
    <w:qFormat/>
    <w:rPr>
      <w:rFonts w:ascii="Wingdings" w:hAnsi="Wingdings" w:cs="Wingdings"/>
      <w:color w:val="000000"/>
      <w:sz w:val="16"/>
    </w:rPr>
  </w:style>
  <w:style w:type="character" w:styleId="WW8Num206z0">
    <w:name w:val="WW8Num206z0"/>
    <w:qFormat/>
    <w:rPr/>
  </w:style>
  <w:style w:type="character" w:styleId="WW8Num207z0">
    <w:name w:val="WW8Num207z0"/>
    <w:qFormat/>
    <w:rPr>
      <w:rFonts w:ascii="Symbol" w:hAnsi="Symbol" w:cs="Symbol"/>
      <w:color w:val="auto"/>
    </w:rPr>
  </w:style>
  <w:style w:type="character" w:styleId="WW8Num208z0">
    <w:name w:val="WW8Num208z0"/>
    <w:qFormat/>
    <w:rPr/>
  </w:style>
  <w:style w:type="character" w:styleId="WW8Num209z0">
    <w:name w:val="WW8Num209z0"/>
    <w:qFormat/>
    <w:rPr>
      <w:rFonts w:ascii="Symbol" w:hAnsi="Symbol" w:cs="Symbol"/>
      <w:color w:val="auto"/>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6z0">
    <w:name w:val="WW8Num216z0"/>
    <w:qFormat/>
    <w:rPr>
      <w:rFonts w:ascii="Symbol" w:hAnsi="Symbol" w:cs="Symbol"/>
      <w:color w:val="auto"/>
      <w:sz w:val="20"/>
    </w:rPr>
  </w:style>
  <w:style w:type="character" w:styleId="WW8Num217z0">
    <w:name w:val="WW8Num217z0"/>
    <w:qFormat/>
    <w:rPr>
      <w:rFonts w:ascii="Symbol" w:hAnsi="Symbol" w:cs="Symbol"/>
      <w:color w:val="auto"/>
      <w:sz w:val="20"/>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auto"/>
      <w:sz w:val="20"/>
    </w:rPr>
  </w:style>
  <w:style w:type="character" w:styleId="WW8Num220z0">
    <w:name w:val="WW8Num220z0"/>
    <w:qFormat/>
    <w:rPr/>
  </w:style>
  <w:style w:type="character" w:styleId="WW8Num221z0">
    <w:name w:val="WW8Num221z0"/>
    <w:qFormat/>
    <w:rPr/>
  </w:style>
  <w:style w:type="character" w:styleId="WW8Num222z0">
    <w:name w:val="WW8Num222z0"/>
    <w:qFormat/>
    <w:rPr>
      <w:b/>
      <w:i w:val="false"/>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spacing w:val="0"/>
      <w:position w:val="0"/>
      <w:sz w:val="20"/>
      <w:sz w:val="20"/>
      <w:vertAlign w:val="baseline"/>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5z3">
    <w:name w:val="WW8Num225z3"/>
    <w:qFormat/>
    <w:rPr>
      <w:rFonts w:ascii="Symbol" w:hAnsi="Symbol" w:cs="Symbol"/>
    </w:rPr>
  </w:style>
  <w:style w:type="character" w:styleId="WW8Num226z0">
    <w:name w:val="WW8Num226z0"/>
    <w:qFormat/>
    <w:rPr>
      <w:b/>
      <w:i w:val="false"/>
    </w:rPr>
  </w:style>
  <w:style w:type="character" w:styleId="WW8Num227z0">
    <w:name w:val="WW8Num227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0z1">
    <w:name w:val="WW8Num230z1"/>
    <w:qFormat/>
    <w:rPr>
      <w:rFonts w:ascii="Courier New" w:hAnsi="Courier New" w:cs="Courier New"/>
    </w:rPr>
  </w:style>
  <w:style w:type="character" w:styleId="WW8Num230z5">
    <w:name w:val="WW8Num230z5"/>
    <w:qFormat/>
    <w:rPr>
      <w:rFonts w:ascii="Wingdings" w:hAnsi="Wingdings" w:cs="Wingdings"/>
    </w:rPr>
  </w:style>
  <w:style w:type="character" w:styleId="WW8Num231z0">
    <w:name w:val="WW8Num231z0"/>
    <w:qFormat/>
    <w:rPr>
      <w:b/>
      <w:i w:val="false"/>
    </w:rPr>
  </w:style>
  <w:style w:type="character" w:styleId="WW8Num232z0">
    <w:name w:val="WW8Num232z0"/>
    <w:qFormat/>
    <w:rPr>
      <w:rFonts w:ascii="Symbol" w:hAnsi="Symbol" w:cs="Symbol"/>
    </w:rPr>
  </w:style>
  <w:style w:type="character" w:styleId="WW8Num232z1">
    <w:name w:val="WW8Num232z1"/>
    <w:qFormat/>
    <w:rPr>
      <w:rFonts w:ascii="Courier New" w:hAnsi="Courier New" w:cs="Courier New"/>
    </w:rPr>
  </w:style>
  <w:style w:type="character" w:styleId="WW8Num232z5">
    <w:name w:val="WW8Num232z5"/>
    <w:qFormat/>
    <w:rPr>
      <w:rFonts w:ascii="Wingdings" w:hAnsi="Wingdings" w:cs="Wingdings"/>
    </w:rPr>
  </w:style>
  <w:style w:type="character" w:styleId="WW8Num233z0">
    <w:name w:val="WW8Num233z0"/>
    <w:qFormat/>
    <w:rPr>
      <w:b w:val="false"/>
      <w:i w:val="false"/>
    </w:rPr>
  </w:style>
  <w:style w:type="character" w:styleId="WW8Num234z0">
    <w:name w:val="WW8Num234z0"/>
    <w:qFormat/>
    <w:rPr/>
  </w:style>
  <w:style w:type="character" w:styleId="WW8Num235z0">
    <w:name w:val="WW8Num235z0"/>
    <w:qFormat/>
    <w:rPr>
      <w:rFonts w:ascii="Symbol" w:hAnsi="Symbol" w:cs="Symbol"/>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6z0">
    <w:name w:val="WW8Num236z0"/>
    <w:qFormat/>
    <w:rPr>
      <w:rFonts w:ascii="Symbol" w:hAnsi="Symbol" w:cs="Symbol"/>
      <w:sz w:val="20"/>
    </w:rPr>
  </w:style>
  <w:style w:type="character" w:styleId="WW8Num237z0">
    <w:name w:val="WW8Num237z0"/>
    <w:qFormat/>
    <w:rPr>
      <w:rFonts w:ascii="Symbol" w:hAnsi="Symbol" w:cs="Symbol"/>
      <w:color w:val="auto"/>
    </w:rPr>
  </w:style>
  <w:style w:type="character" w:styleId="WW8Num238z0">
    <w:name w:val="WW8Num238z0"/>
    <w:qFormat/>
    <w:rPr/>
  </w:style>
  <w:style w:type="character" w:styleId="WW8Num239z0">
    <w:name w:val="WW8Num239z0"/>
    <w:qFormat/>
    <w:rPr/>
  </w:style>
  <w:style w:type="character" w:styleId="WW8Num242z0">
    <w:name w:val="WW8Num242z0"/>
    <w:qFormat/>
    <w:rPr/>
  </w:style>
  <w:style w:type="character" w:styleId="WW8Num243z0">
    <w:name w:val="WW8Num243z0"/>
    <w:qFormat/>
    <w:rPr>
      <w:rFonts w:ascii="Courier New" w:hAnsi="Courier New" w:cs="Courier New"/>
    </w:rPr>
  </w:style>
  <w:style w:type="character" w:styleId="WW8Num243z2">
    <w:name w:val="WW8Num243z2"/>
    <w:qFormat/>
    <w:rPr>
      <w:rFonts w:ascii="Wingdings" w:hAnsi="Wingdings" w:cs="Wingdings"/>
    </w:rPr>
  </w:style>
  <w:style w:type="character" w:styleId="WW8Num243z3">
    <w:name w:val="WW8Num243z3"/>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spacing w:val="0"/>
      <w:position w:val="0"/>
      <w:sz w:val="20"/>
      <w:sz w:val="20"/>
      <w:vertAlign w:val="baseline"/>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style>
  <w:style w:type="character" w:styleId="WW8Num247z0">
    <w:name w:val="WW8Num247z0"/>
    <w:qFormat/>
    <w:rPr>
      <w:rFonts w:ascii="Symbol" w:hAnsi="Symbol" w:cs="Symbol"/>
      <w:sz w:val="24"/>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color w:val="FF0000"/>
    </w:rPr>
  </w:style>
  <w:style w:type="character" w:styleId="WW8Num250z0">
    <w:name w:val="WW8Num250z0"/>
    <w:qFormat/>
    <w:rPr>
      <w:rFonts w:ascii="Symbol" w:hAnsi="Symbol" w:cs="Symbol"/>
      <w:sz w:val="20"/>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2z1">
    <w:name w:val="WW8Num252z1"/>
    <w:qFormat/>
    <w:rPr>
      <w:rFonts w:ascii="Courier New" w:hAnsi="Courier New" w:cs="Courier New"/>
    </w:rPr>
  </w:style>
  <w:style w:type="character" w:styleId="WW8Num252z5">
    <w:name w:val="WW8Num252z5"/>
    <w:qFormat/>
    <w:rPr>
      <w:rFonts w:ascii="Wingdings" w:hAnsi="Wingdings" w:cs="Wingdings"/>
    </w:rPr>
  </w:style>
  <w:style w:type="character" w:styleId="WW8Num253z0">
    <w:name w:val="WW8Num253z0"/>
    <w:qFormat/>
    <w:rPr>
      <w:b/>
      <w:i w:val="false"/>
    </w:rPr>
  </w:style>
  <w:style w:type="character" w:styleId="WW8Num254z0">
    <w:name w:val="WW8Num254z0"/>
    <w:qFormat/>
    <w:rPr>
      <w:rFonts w:ascii="Symbol" w:hAnsi="Symbol" w:cs="Symbol"/>
      <w:sz w:val="20"/>
    </w:rPr>
  </w:style>
  <w:style w:type="character" w:styleId="WW8Num255z0">
    <w:name w:val="WW8Num255z0"/>
    <w:qFormat/>
    <w:rPr/>
  </w:style>
  <w:style w:type="character" w:styleId="WW8Num256z0">
    <w:name w:val="WW8Num256z0"/>
    <w:qFormat/>
    <w:rPr>
      <w:rFonts w:ascii="Wingdings" w:hAnsi="Wingdings" w:cs="Wingdings"/>
      <w:color w:val="FF0000"/>
      <w:sz w:val="16"/>
    </w:rPr>
  </w:style>
  <w:style w:type="character" w:styleId="WW8Num257z0">
    <w:name w:val="WW8Num257z0"/>
    <w:qFormat/>
    <w:rPr>
      <w:rFonts w:ascii="Courier New" w:hAnsi="Courier New" w:cs="Courier New"/>
    </w:rPr>
  </w:style>
  <w:style w:type="character" w:styleId="WW8Num257z2">
    <w:name w:val="WW8Num257z2"/>
    <w:qFormat/>
    <w:rPr>
      <w:rFonts w:ascii="Wingdings" w:hAnsi="Wingdings" w:cs="Wingdings"/>
    </w:rPr>
  </w:style>
  <w:style w:type="character" w:styleId="WW8Num257z3">
    <w:name w:val="WW8Num257z3"/>
    <w:qFormat/>
    <w:rPr>
      <w:rFonts w:ascii="Symbol" w:hAnsi="Symbol" w:cs="Symbol"/>
    </w:rPr>
  </w:style>
  <w:style w:type="character" w:styleId="WW8Num258z0">
    <w:name w:val="WW8Num258z0"/>
    <w:qFormat/>
    <w:rPr>
      <w:rFonts w:ascii="Symbol" w:hAnsi="Symbol" w:cs="Symbol"/>
      <w:color w:val="auto"/>
      <w:sz w:val="20"/>
    </w:rPr>
  </w:style>
  <w:style w:type="character" w:styleId="WW8Num259z0">
    <w:name w:val="WW8Num259z0"/>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rPr>
  </w:style>
  <w:style w:type="character" w:styleId="WW8Num262z0">
    <w:name w:val="WW8Num262z0"/>
    <w:qFormat/>
    <w:rPr/>
  </w:style>
  <w:style w:type="character" w:styleId="WW8Num263z0">
    <w:name w:val="WW8Num263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style>
  <w:style w:type="character" w:styleId="WW8Num267z0">
    <w:name w:val="WW8Num267z0"/>
    <w:qFormat/>
    <w:rPr>
      <w:b/>
      <w:i w:val="false"/>
    </w:rPr>
  </w:style>
  <w:style w:type="character" w:styleId="WW8Num269z0">
    <w:name w:val="WW8Num269z0"/>
    <w:qFormat/>
    <w:rPr>
      <w:b/>
      <w:i w:val="false"/>
    </w:rPr>
  </w:style>
  <w:style w:type="character" w:styleId="WW8Num270z0">
    <w:name w:val="WW8Num270z0"/>
    <w:qFormat/>
    <w:rPr/>
  </w:style>
  <w:style w:type="character" w:styleId="WW8Num271z0">
    <w:name w:val="WW8Num271z0"/>
    <w:qFormat/>
    <w:rPr>
      <w:rFonts w:ascii="Courier New" w:hAnsi="Courier New" w:cs="Courier New"/>
    </w:rPr>
  </w:style>
  <w:style w:type="character" w:styleId="WW8Num271z2">
    <w:name w:val="WW8Num271z2"/>
    <w:qFormat/>
    <w:rPr>
      <w:rFonts w:ascii="Wingdings" w:hAnsi="Wingdings" w:cs="Wingdings"/>
    </w:rPr>
  </w:style>
  <w:style w:type="character" w:styleId="WW8Num271z3">
    <w:name w:val="WW8Num271z3"/>
    <w:qFormat/>
    <w:rPr>
      <w:rFonts w:ascii="Symbol" w:hAnsi="Symbol" w:cs="Symbol"/>
    </w:rPr>
  </w:style>
  <w:style w:type="character" w:styleId="WW8Num272z0">
    <w:name w:val="WW8Num272z0"/>
    <w:qFormat/>
    <w:rPr/>
  </w:style>
  <w:style w:type="character" w:styleId="WW8Num273z0">
    <w:name w:val="WW8Num273z0"/>
    <w:qFormat/>
    <w:rPr>
      <w:rFonts w:ascii="Symbol" w:hAnsi="Symbol" w:cs="Symbol"/>
      <w:color w:val="auto"/>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7z0">
    <w:name w:val="WW8Num277z0"/>
    <w:qFormat/>
    <w:rPr>
      <w:rFonts w:ascii="Symbol" w:hAnsi="Symbol" w:cs="Symbol"/>
      <w:spacing w:val="0"/>
      <w:position w:val="0"/>
      <w:sz w:val="20"/>
      <w:sz w:val="20"/>
      <w:vertAlign w:val="baseline"/>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spacing w:val="0"/>
      <w:position w:val="0"/>
      <w:sz w:val="20"/>
      <w:sz w:val="20"/>
      <w:vertAlign w:val="baseline"/>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style>
  <w:style w:type="character" w:styleId="WW8Num281z0">
    <w:name w:val="WW8Num281z0"/>
    <w:qFormat/>
    <w:rPr/>
  </w:style>
  <w:style w:type="character" w:styleId="WW8Num284z0">
    <w:name w:val="WW8Num284z0"/>
    <w:qFormat/>
    <w:rPr>
      <w:rFonts w:ascii="Symbol" w:hAnsi="Symbol" w:cs="Symbol"/>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5z0">
    <w:name w:val="WW8Num285z0"/>
    <w:qFormat/>
    <w:rPr>
      <w:rFonts w:ascii="Symbol" w:hAnsi="Symbol" w:cs="Symbol"/>
      <w:color w:val="FF0000"/>
    </w:rPr>
  </w:style>
  <w:style w:type="character" w:styleId="WW8Num286z0">
    <w:name w:val="WW8Num286z0"/>
    <w:qFormat/>
    <w:rPr/>
  </w:style>
  <w:style w:type="character" w:styleId="WW8Num287z0">
    <w:name w:val="WW8Num287z0"/>
    <w:qFormat/>
    <w:rPr/>
  </w:style>
  <w:style w:type="character" w:styleId="WW8Num288z0">
    <w:name w:val="WW8Num288z0"/>
    <w:qFormat/>
    <w:rPr/>
  </w:style>
  <w:style w:type="character" w:styleId="WW8Num289z0">
    <w:name w:val="WW8Num289z0"/>
    <w:qFormat/>
    <w:rPr/>
  </w:style>
  <w:style w:type="character" w:styleId="WW8Num290z0">
    <w:name w:val="WW8Num290z0"/>
    <w:qFormat/>
    <w:rPr>
      <w:rFonts w:ascii="Symbol" w:hAnsi="Symbol" w:cs="Symbol"/>
      <w:color w:val="auto"/>
    </w:rPr>
  </w:style>
  <w:style w:type="character" w:styleId="WW8Num291z0">
    <w:name w:val="WW8Num291z0"/>
    <w:qFormat/>
    <w:rPr>
      <w:b/>
      <w:i w:val="false"/>
    </w:rPr>
  </w:style>
  <w:style w:type="character" w:styleId="WW8Num292z0">
    <w:name w:val="WW8Num292z0"/>
    <w:qFormat/>
    <w:rPr>
      <w:rFonts w:ascii="Wingdings" w:hAnsi="Wingdings" w:cs="Wingdings"/>
    </w:rPr>
  </w:style>
  <w:style w:type="character" w:styleId="WW8Num293z0">
    <w:name w:val="WW8Num293z0"/>
    <w:qFormat/>
    <w:rPr>
      <w:rFonts w:ascii="Symbol" w:hAnsi="Symbol" w:cs="Symbol"/>
    </w:rPr>
  </w:style>
  <w:style w:type="character" w:styleId="WW8Num294z0">
    <w:name w:val="WW8Num294z0"/>
    <w:qFormat/>
    <w:rPr/>
  </w:style>
  <w:style w:type="character" w:styleId="WW8Num295z0">
    <w:name w:val="WW8Num295z0"/>
    <w:qFormat/>
    <w:rPr/>
  </w:style>
  <w:style w:type="character" w:styleId="WW8Num296z0">
    <w:name w:val="WW8Num296z0"/>
    <w:qFormat/>
    <w:rPr>
      <w:b/>
      <w:i w:val="false"/>
    </w:rPr>
  </w:style>
  <w:style w:type="character" w:styleId="WW8Num297z0">
    <w:name w:val="WW8Num297z0"/>
    <w:qFormat/>
    <w:rPr>
      <w:rFonts w:ascii="Symbol" w:hAnsi="Symbol" w:cs="Symbol"/>
    </w:rPr>
  </w:style>
  <w:style w:type="character" w:styleId="WW8Num298z0">
    <w:name w:val="WW8Num298z0"/>
    <w:qFormat/>
    <w:rPr>
      <w:rFonts w:ascii="Symbol" w:hAnsi="Symbol" w:cs="Symbol"/>
      <w:spacing w:val="0"/>
      <w:position w:val="0"/>
      <w:sz w:val="20"/>
      <w:sz w:val="20"/>
      <w:vertAlign w:val="baseline"/>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0z0">
    <w:name w:val="WW8Num300z0"/>
    <w:qFormat/>
    <w:rPr>
      <w:rFonts w:ascii="Wingdings" w:hAnsi="Wingdings" w:cs="Wingdings"/>
      <w:color w:val="FF0000"/>
      <w:sz w:val="16"/>
    </w:rPr>
  </w:style>
  <w:style w:type="character" w:styleId="WW8Num301z0">
    <w:name w:val="WW8Num301z0"/>
    <w:qFormat/>
    <w:rPr>
      <w:rFonts w:ascii="Wingdings" w:hAnsi="Wingdings" w:cs="Wingdings"/>
    </w:rPr>
  </w:style>
  <w:style w:type="character" w:styleId="WW8Num302z0">
    <w:name w:val="WW8Num302z0"/>
    <w:qFormat/>
    <w:rPr>
      <w:rFonts w:ascii="Symbol" w:hAnsi="Symbol" w:cs="Symbol"/>
      <w:sz w:val="20"/>
    </w:rPr>
  </w:style>
  <w:style w:type="character" w:styleId="WW8Num303z0">
    <w:name w:val="WW8Num303z0"/>
    <w:qFormat/>
    <w:rPr>
      <w:rFonts w:ascii="Symbol" w:hAnsi="Symbol" w:cs="Symbol"/>
      <w:color w:val="auto"/>
    </w:rPr>
  </w:style>
  <w:style w:type="character" w:styleId="WW8Num304z0">
    <w:name w:val="WW8Num304z0"/>
    <w:qFormat/>
    <w:rPr>
      <w:b/>
      <w:i w:val="false"/>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5">
    <w:name w:val="WW8Num305z5"/>
    <w:qFormat/>
    <w:rPr>
      <w:rFonts w:ascii="Wingdings" w:hAnsi="Wingdings" w:cs="Wingdings"/>
    </w:rPr>
  </w:style>
  <w:style w:type="character" w:styleId="WW8Num306z0">
    <w:name w:val="WW8Num306z0"/>
    <w:qFormat/>
    <w:rPr>
      <w:rFonts w:ascii="Symbol" w:hAnsi="Symbol" w:cs="Symbol"/>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St286z0">
    <w:name w:val="WW8NumSt286z0"/>
    <w:qFormat/>
    <w:rPr>
      <w:rFonts w:ascii="Wingdings" w:hAnsi="Wingdings" w:cs="Wingdings"/>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bCs/>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ind w:hanging="0" w:start="720" w:end="0"/>
      <w:jc w:val="center"/>
    </w:pPr>
    <w:rPr>
      <w:b/>
      <w:color w:val="000080"/>
      <w:sz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1800" w:end="720"/>
    </w:pPr>
    <w:rPr>
      <w:sz w:val="22"/>
    </w:rPr>
  </w:style>
  <w:style w:type="paragraph" w:styleId="FootnoteText">
    <w:name w:val="footnote text"/>
    <w:basedOn w:val="Normal"/>
    <w:pPr/>
    <w:rPr/>
  </w:style>
  <w:style w:type="paragraph" w:styleId="NormalWeb">
    <w:name w:val="Normal (Web)"/>
    <w:basedOn w:val="Normal"/>
    <w:qFormat/>
    <w:pPr>
      <w:spacing w:before="100" w:after="100"/>
    </w:pPr>
    <w:rPr>
      <w:sz w:val="24"/>
    </w:rPr>
  </w:style>
  <w:style w:type="paragraph" w:styleId="PlainText">
    <w:name w:val="Plain Text"/>
    <w:basedOn w:val="Normal"/>
    <w:qFormat/>
    <w:pPr/>
    <w:rPr>
      <w:rFonts w:ascii="Courier New" w:hAnsi="Courier New" w:cs="Courier New"/>
    </w:rPr>
  </w:style>
  <w:style w:type="paragraph" w:styleId="mainheading">
    <w:name w:val="mainheading"/>
    <w:basedOn w:val="Normal"/>
    <w:qFormat/>
    <w:pPr>
      <w:spacing w:before="100" w:after="100"/>
    </w:pPr>
    <w:rPr>
      <w:rFonts w:ascii="Arial" w:hAnsi="Arial" w:cs="Arial"/>
      <w:b/>
      <w:color w:val="000000"/>
      <w:sz w:val="24"/>
      <w:u w:val="single"/>
    </w:rPr>
  </w:style>
  <w:style w:type="paragraph" w:styleId="defaulttext">
    <w:name w:val="defaulttext"/>
    <w:basedOn w:val="Normal"/>
    <w:qFormat/>
    <w:pPr>
      <w:spacing w:before="100" w:after="100"/>
    </w:pPr>
    <w:rPr>
      <w:rFonts w:ascii="Arial" w:hAnsi="Arial" w:cs="Arial"/>
      <w:color w:val="000000"/>
      <w:sz w:val="21"/>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paragraph" w:styleId="xl30">
    <w:name w:val="xl30"/>
    <w:basedOn w:val="Normal"/>
    <w:qFormat/>
    <w:pPr>
      <w:spacing w:before="100" w:after="100"/>
      <w:jc w:val="center"/>
    </w:pPr>
    <w:rPr>
      <w:rFonts w:ascii="Arial" w:hAnsi="Arial" w:eastAsia="Arial Unicode MS" w:cs="Arial"/>
      <w:b/>
      <w:b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GroupTemp</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2001-09-18T13:26:00Z</dcterms:created>
  <dc:creator>Marissa C. Mariner</dc:creator>
  <dc:description/>
  <dc:language>en-CA</dc:language>
  <cp:lastModifiedBy>raganon</cp:lastModifiedBy>
  <cp:lastPrinted>2001-08-31T14:24:00Z</cp:lastPrinted>
  <dcterms:modified xsi:type="dcterms:W3CDTF">2001-09-18T13:40:00Z</dcterms:modified>
  <cp:revision>8</cp:revision>
  <dc:subject/>
  <dc:title>Duke Energy</dc:title>
</cp:coreProperties>
</file>