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 xml:space="preserve">In rejecting its original proposal to allow opportunity cost support for prices over the price cap, the Commission has committed numerous errors.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r>
    </w:p>
    <w:p>
      <w:pPr>
        <w:pStyle w:val="Normal"/>
        <w:keepLines/>
        <w:spacing w:lineRule="atLeast" w:line="240"/>
        <w:ind w:firstLine="720" w:end="0"/>
        <w:rPr/>
      </w:pPr>
      <w:r>
        <w:rPr>
          <w:sz w:val="24"/>
        </w:rPr>
        <w:t xml:space="preserve">First, this rejection is in direct contradiction to its finding that it is </w:t>
      </w:r>
      <w:r>
        <w:rPr>
          <w:i/>
          <w:sz w:val="24"/>
        </w:rPr>
        <w:t>not</w:t>
      </w:r>
      <w:r>
        <w:rPr>
          <w:sz w:val="24"/>
        </w:rPr>
        <w:t xml:space="preserve"> implementing cost of service regulation. [Cite p. 52.]  The Commission rejected the notion of using cost of service regulation as the remedy for the California market because  . . . . ..  [cite]  However, the Commission is doing exactly that by not allowing marketers (even though they may not have significant amounts of generation) to use opportunity costs to support bids over the price cap.  Specifically, under the December 15 order such marketers may only report purchase price and so-called “other costs.”  Given that the vast majority of EPMI and EES’s sales into California are as a marketer rather than a generator</w:t>
      </w:r>
      <w:r>
        <w:rPr>
          <w:rStyle w:val="FootnoteCharacters"/>
          <w:rStyle w:val="FootnoteReference"/>
          <w:sz w:val="24"/>
        </w:rPr>
        <w:footnoteReference w:id="2"/>
      </w:r>
      <w:r>
        <w:rPr>
          <w:sz w:val="24"/>
        </w:rPr>
        <w:t xml:space="preserve">, this decision errs by subjecting them to </w:t>
      </w:r>
      <w:r>
        <w:rPr>
          <w:i/>
          <w:sz w:val="24"/>
        </w:rPr>
        <w:t>actual</w:t>
      </w:r>
      <w:r>
        <w:rPr>
          <w:sz w:val="24"/>
        </w:rPr>
        <w:t xml:space="preserve"> cost-of-service regulation for sales into California, in spite of their market-based rate authority.  </w:t>
      </w:r>
    </w:p>
    <w:p>
      <w:pPr>
        <w:pStyle w:val="Normal"/>
        <w:keepLines/>
        <w:spacing w:lineRule="atLeast" w:line="240"/>
        <w:ind w:firstLine="720" w:end="0"/>
        <w:rPr>
          <w:sz w:val="24"/>
        </w:rPr>
      </w:pPr>
      <w:r>
        <w:rPr>
          <w:sz w:val="24"/>
        </w:rPr>
      </w:r>
    </w:p>
    <w:p>
      <w:pPr>
        <w:pStyle w:val="Normal"/>
        <w:keepLines/>
        <w:spacing w:lineRule="atLeast" w:line="240"/>
        <w:ind w:firstLine="720" w:end="0"/>
        <w:rPr/>
      </w:pPr>
      <w:r>
        <w:rPr>
          <w:sz w:val="24"/>
        </w:rPr>
        <w:t>Second, the Commission’s decision undermines its intent to enhance liquidity and reliability in the California markets by dis-incenting marketers (because they will be at substantial risk of being under-compensated) from participating in the market.  The following example shows this impact</w:t>
      </w:r>
      <w:r>
        <w:rPr>
          <w:color w:val="000000"/>
          <w:sz w:val="24"/>
          <w:lang w:eastAsia="en-US"/>
        </w:rPr>
        <w:t xml:space="preserve">. </w:t>
      </w:r>
    </w:p>
    <w:p>
      <w:pPr>
        <w:pStyle w:val="Normal"/>
        <w:keepLines/>
        <w:spacing w:lineRule="atLeast" w:line="240"/>
        <w:rPr>
          <w:color w:val="000000"/>
          <w:sz w:val="24"/>
          <w:lang w:eastAsia="en-US"/>
        </w:rPr>
      </w:pPr>
      <w:r>
        <w:rPr>
          <w:color w:val="000000"/>
          <w:sz w:val="24"/>
          <w:lang w:eastAsia="en-US"/>
        </w:rPr>
      </w:r>
    </w:p>
    <w:p>
      <w:pPr>
        <w:pStyle w:val="Normal"/>
        <w:keepLines/>
        <w:spacing w:lineRule="atLeast" w:line="240"/>
        <w:ind w:firstLine="720" w:end="0"/>
        <w:rPr/>
      </w:pPr>
      <w:r>
        <w:rPr>
          <w:color w:val="000000"/>
          <w:sz w:val="24"/>
          <w:lang w:eastAsia="en-US"/>
        </w:rPr>
        <w:t xml:space="preserve">A trader holds power at California Oregon Border (COB) that can be delivered either northern California or the Pacific Northwest.  Prices at Mid-Columbia (Mid-C) are trading at $250.  The trader purchased the power in an earlier month at $200.  The trader will have no interest in selling the power to California for less than $250, less the difference between incremental transmission costs (COB to Mid-C).  Given that there is no standard on what is a “reasonable” mark up or profit, the trader will actually </w:t>
      </w:r>
      <w:r>
        <w:rPr>
          <w:i/>
          <w:color w:val="000000"/>
          <w:sz w:val="24"/>
          <w:lang w:eastAsia="en-US"/>
        </w:rPr>
        <w:t>prefer</w:t>
      </w:r>
      <w:r>
        <w:rPr>
          <w:color w:val="000000"/>
          <w:sz w:val="24"/>
          <w:lang w:eastAsia="en-US"/>
        </w:rPr>
        <w:t xml:space="preserve"> to sell to the northwest unless it can get a price higher than $250 in California.  Refund risk adds a real cost to the transaction.  (This is a risk separate from credit concerns that have also clouded the market).</w:t>
      </w:r>
    </w:p>
    <w:p>
      <w:pPr>
        <w:pStyle w:val="Normal"/>
        <w:keepLines/>
        <w:spacing w:lineRule="atLeast" w:line="240"/>
        <w:rPr>
          <w:color w:val="000000"/>
          <w:sz w:val="24"/>
          <w:lang w:eastAsia="en-US"/>
        </w:rPr>
      </w:pPr>
      <w:r>
        <w:rPr>
          <w:color w:val="000000"/>
          <w:sz w:val="24"/>
          <w:lang w:eastAsia="en-US"/>
        </w:rPr>
      </w:r>
    </w:p>
    <w:p>
      <w:pPr>
        <w:pStyle w:val="Normal"/>
        <w:keepLines/>
        <w:spacing w:lineRule="atLeast" w:line="240"/>
        <w:ind w:firstLine="720" w:end="0"/>
        <w:rPr>
          <w:rFonts w:ascii="Helv;Arial" w:hAnsi="Helv;Arial" w:cs="Helv;Arial"/>
          <w:color w:val="000000"/>
          <w:lang w:eastAsia="en-US"/>
        </w:rPr>
      </w:pPr>
      <w:r>
        <w:rPr>
          <w:color w:val="000000"/>
          <w:sz w:val="24"/>
          <w:lang w:eastAsia="en-US"/>
        </w:rPr>
        <w:t>This example is not hypothetical.  In fact, the FERC’s soft cap and absence of opportunity costs standard have directly produced the recent reliance on DOE emergency orders and the continued emergency alerts in California while no similar emergencies have been pronounced in the Pacific Northwest.</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Helv;Arial" w:hAnsi="Helv;Arial" w:cs="Helv;Arial"/>
          <w:color w:val="000000"/>
          <w:sz w:val="24"/>
          <w:lang w:eastAsia="en-US"/>
        </w:rPr>
      </w:pPr>
      <w:r>
        <w:rPr>
          <w:rFonts w:cs="Helv;Arial" w:ascii="Helv;Arial" w:hAnsi="Helv;Arial"/>
          <w:color w:val="000000"/>
          <w:sz w:val="24"/>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6"/>
        </w:rPr>
      </w:pPr>
      <w:r>
        <w:rPr>
          <w:sz w:val="24"/>
        </w:rPr>
        <w:t>Third, the basis for the Commission’s finding is simply factually wrong.  The Commission’s decision rests on the incorrect assumption that a seller's opportunity to sell power outside of California in real time does not exist because the major cash markets in the west (Palo Verde, California-Oregon Border and Mid-Columbia) close one hour before the California PX Day-Ahead market and this market in turn closes before the ISO ancillary service markets.   Rather, every major utility and marketer outside of California has a real time desk because it has to balance its load and generation in real time.  Accordingly, although the Dow Jones markets may have closed, there are still plenty of opportunities to buy and sell power real time outside of California and the prices there are loosely based on the Dow Jones index prices plus real time fundamentals considerations.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6"/>
        </w:rPr>
      </w:pPr>
      <w:r>
        <w:rPr>
          <w:sz w:val="26"/>
        </w:rPr>
      </w:r>
    </w:p>
    <w:p>
      <w:pPr>
        <w:pStyle w:val="BodyTextIndent3"/>
        <w:rPr/>
      </w:pPr>
      <w:r>
        <w:rPr/>
        <w:t>Fourth, the Commission’s finding incorrectly assumes that the opportunity cost concept introduces unworkable complexities to the ISO real-time imbalance market.  Rather o</w:t>
      </w:r>
      <w:r>
        <w:rPr>
          <w:color w:val="000000"/>
          <w:lang w:eastAsia="en-US"/>
        </w:rPr>
        <w:t>pportunity costs are a necessary benchmark for determining whether prices are excessive.</w:t>
      </w:r>
    </w:p>
    <w:p>
      <w:pPr>
        <w:pStyle w:val="Normal"/>
        <w:keepLines/>
        <w:spacing w:lineRule="atLeast" w:line="240"/>
        <w:ind w:start="360" w:end="0"/>
        <w:rPr>
          <w:color w:val="000000"/>
          <w:sz w:val="24"/>
          <w:lang w:eastAsia="en-US"/>
        </w:rPr>
      </w:pPr>
      <w:r>
        <w:rPr>
          <w:color w:val="000000"/>
          <w:sz w:val="24"/>
          <w:lang w:eastAsia="en-US"/>
        </w:rPr>
      </w:r>
    </w:p>
    <w:p>
      <w:pPr>
        <w:pStyle w:val="Normal"/>
        <w:keepLines/>
        <w:spacing w:lineRule="atLeast" w:line="240"/>
        <w:ind w:firstLine="720" w:end="0"/>
        <w:rPr/>
      </w:pPr>
      <w:r>
        <w:rPr>
          <w:sz w:val="24"/>
        </w:rPr>
        <w:t>Finally, although determining opportunity costs may be difficult, they are by no means impossible to determine, the Commission has found that it would allow such costs in determining how to price transmission reassignment, and o</w:t>
      </w:r>
      <w:r>
        <w:rPr>
          <w:sz w:val="24"/>
          <w:lang w:val="en-AU"/>
        </w:rPr>
        <w:t>pportunity costs must be considered in an analysis of market bids and prices. As noted in the Staff Report, generating capacity was scarce throughout the West this past summer, and on many peak days, prices at Mid-Columbia or Four Corners were as high or higher than market prices in California.  Opportunity costs are also an important factor for energy-limited units, who must select the limited number of hours when they can run, and will rightfully seek to do so in highest value hours.  Because of the Commissions’s proposal to go to a “pay as bid” scheme and require documentation of costs, the ability to measure opportunity cost will become critical.</w:t>
      </w:r>
      <w:r>
        <w:rPr>
          <w:rStyle w:val="FootnoteCharacters"/>
          <w:rStyle w:val="FootnoteReference"/>
          <w:sz w:val="24"/>
          <w:lang w:val="en-AU"/>
        </w:rPr>
        <w:footnoteReference w:id="3"/>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Symbol">
    <w:altName w:val="Times New Roman"/>
    <w:charset w:val="0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altName w:val="Times New Roman"/>
    <w:charset w:val="00" w:characterSet="windows-1252"/>
    <w:family w:val="roman"/>
    <w:pitch w:val="variable"/>
  </w:font>
  <w:font w:name="Helv">
    <w:altName w:val="Arial"/>
    <w:charset w:val="00" w:characterSet="windows-1252"/>
    <w:family w:val="swiss"/>
    <w:pitch w:val="variable"/>
  </w:font>
  <w:font w:name="Courier New">
    <w:charset w:val="00" w:characterSet="windows-1252"/>
    <w:family w:val="modern"/>
    <w:pitch w:val="fixed"/>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fact EPMI owns only __ MW of generation that it could sell into California as compared to the thousands of MWs that it has at times marketed there.</w:t>
      </w:r>
    </w:p>
  </w:footnote>
  <w:footnote w:id="3">
    <w:p>
      <w:pPr>
        <w:pStyle w:val="Normal"/>
        <w:keepLines/>
        <w:spacing w:lineRule="atLeast" w:line="240"/>
        <w:ind w:firstLine="720" w:end="0"/>
        <w:rPr/>
      </w:pPr>
      <w:r>
        <w:rPr>
          <w:rStyle w:val="FootnoteCharacters"/>
        </w:rPr>
        <w:footnoteRef/>
      </w:r>
      <w:r>
        <w:rPr/>
        <w:t xml:space="preserve"> </w:t>
      </w:r>
      <w:r>
        <w:rPr>
          <w:sz w:val="24"/>
          <w:lang w:val="en-AU"/>
        </w:rPr>
        <w:t>A further discussion on how opportunity costs work is contained in the Affidavit of Alan Comnes filed  . . . . .</w:t>
      </w:r>
    </w:p>
    <w:p>
      <w:pPr>
        <w:pStyle w:val="FootnoteText"/>
        <w:rPr>
          <w:sz w:val="24"/>
          <w:lang w:val="en-AU"/>
        </w:rPr>
      </w:pPr>
      <w:r>
        <w:rPr>
          <w:sz w:val="24"/>
          <w:lang w:val="en-AU"/>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7">
    <w:name w:val="heading 7"/>
    <w:basedOn w:val="Normal"/>
    <w:next w:val="Normal"/>
    <w:qFormat/>
    <w:pPr>
      <w:keepNext w:val="true"/>
      <w:numPr>
        <w:ilvl w:val="6"/>
        <w:numId w:val="1"/>
      </w:numPr>
      <w:ind w:firstLine="540" w:start="720" w:end="0"/>
      <w:outlineLvl w:val="6"/>
    </w:pPr>
    <w:rPr>
      <w:sz w:val="24"/>
      <w:u w:val="single"/>
    </w:rPr>
  </w:style>
  <w:style w:type="character" w:styleId="WW8Num2z0">
    <w:name w:val="WW8Num2z0"/>
    <w:qFormat/>
    <w:rPr>
      <w:rFonts w:ascii="Symbol;Times New Roman" w:hAnsi="Symbol;Times New Roman" w:cs="Symbol;Times New Roman"/>
    </w:rPr>
  </w:style>
  <w:style w:type="character" w:styleId="WW8Num3z0">
    <w:name w:val="WW8Num3z0"/>
    <w:qFormat/>
    <w:rPr>
      <w:rFonts w:ascii="Symbol;Times New Roman" w:hAnsi="Symbol;Times New Roman" w:cs="Symbol;Times New Roman"/>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Times New Roman" w:hAnsi="Symbol;Times New Roman" w:cs="Symbol;Times New Roman"/>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rFonts w:ascii="Symbol;Times New Roman" w:hAnsi="Symbol;Times New Roman" w:cs="Symbol;Times New Roma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1">
    <w:name w:val="List Bullet1"/>
    <w:basedOn w:val="Normal"/>
    <w:qFormat/>
    <w:pPr>
      <w:numPr>
        <w:ilvl w:val="0"/>
        <w:numId w:val="2"/>
      </w:numPr>
      <w:suppressAutoHyphens w:val="true"/>
      <w:spacing w:before="0" w:after="240"/>
      <w:jc w:val="both"/>
    </w:pPr>
    <w:rPr>
      <w:rFonts w:ascii="Book Antiqua;Times New Roman" w:hAnsi="Book Antiqua;Times New Roman" w:cs="Book Antiqua;Times New Roman"/>
      <w:sz w:val="22"/>
    </w:rPr>
  </w:style>
  <w:style w:type="paragraph" w:styleId="FootnoteText">
    <w:name w:val="footnote text"/>
    <w:basedOn w:val="Normal"/>
    <w:pPr/>
    <w:rPr/>
  </w:style>
  <w:style w:type="paragraph" w:styleId="BodyTextIndent2">
    <w:name w:val="Body Text Indent 2"/>
    <w:basedOn w:val="Normal"/>
    <w:qFormat/>
    <w:pPr>
      <w:ind w:hanging="0" w:start="720" w:end="0"/>
    </w:pPr>
    <w:rPr>
      <w:sz w:val="24"/>
    </w:rPr>
  </w:style>
  <w:style w:type="paragraph" w:styleId="BodyTextIndent">
    <w:name w:val="Body Text Indent"/>
    <w:basedOn w:val="Normal"/>
    <w:pPr>
      <w:ind w:hanging="720" w:start="720" w:end="0"/>
    </w:pPr>
    <w:rPr>
      <w:sz w:val="24"/>
    </w:rPr>
  </w:style>
  <w:style w:type="paragraph" w:styleId="BodyTextIndent3">
    <w:name w:val="Body Text Inden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2001-01-10T20:34:00Z</dcterms:created>
  <dc:creator>G. Alan Comnes</dc:creator>
  <dc:description/>
  <dc:language>en-CA</dc:language>
  <cp:lastModifiedBy>mhain</cp:lastModifiedBy>
  <dcterms:modified xsi:type="dcterms:W3CDTF">2001-01-10T21:02:00Z</dcterms:modified>
  <cp:revision>5</cp:revision>
  <dc:subject/>
  <dc:title>Outline on Opportunity Costs</dc:title>
</cp:coreProperties>
</file>