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2/1/00</w:t>
      </w:r>
    </w:p>
    <w:p>
      <w:pPr>
        <w:pStyle w:val="Heading"/>
        <w:rPr/>
      </w:pPr>
      <w:r>
        <w:rPr/>
      </w:r>
    </w:p>
    <w:p>
      <w:pPr>
        <w:pStyle w:val="Heading"/>
        <w:rPr/>
      </w:pPr>
      <w:r>
        <w:rPr/>
        <w:t>UNITED STATES OF AMERICA</w:t>
      </w:r>
    </w:p>
    <w:p>
      <w:pPr>
        <w:pStyle w:val="Normal"/>
        <w:jc w:val="center"/>
        <w:rPr>
          <w:sz w:val="24"/>
        </w:rPr>
      </w:pPr>
      <w:r>
        <w:rPr>
          <w:sz w:val="24"/>
        </w:rPr>
        <w:t>BEFORE THE</w:t>
      </w:r>
    </w:p>
    <w:p>
      <w:pPr>
        <w:pStyle w:val="Normal"/>
        <w:jc w:val="center"/>
        <w:rPr>
          <w:sz w:val="24"/>
        </w:rPr>
      </w:pPr>
      <w:r>
        <w:rPr>
          <w:sz w:val="24"/>
        </w:rPr>
        <w:t>FEDERAL ENERGY REGULATORY COMMISSION</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tab/>
        <w:tab/>
        <w:t>)</w:t>
        <w:tab/>
        <w:t xml:space="preserve">Docket No. CP99-522-000 </w:t>
      </w:r>
    </w:p>
    <w:p>
      <w:pPr>
        <w:pStyle w:val="Normal"/>
        <w:jc w:val="both"/>
        <w:rPr>
          <w:sz w:val="24"/>
        </w:rPr>
      </w:pPr>
      <w:r>
        <w:rPr>
          <w:sz w:val="24"/>
        </w:rPr>
      </w:r>
    </w:p>
    <w:p>
      <w:pPr>
        <w:pStyle w:val="Normal"/>
        <w:tabs>
          <w:tab w:val="clear" w:pos="720"/>
          <w:tab w:val="center" w:pos="4680" w:leader="none"/>
        </w:tabs>
        <w:suppressAutoHyphens w:val="true"/>
        <w:jc w:val="center"/>
        <w:rPr>
          <w:spacing w:val="-3"/>
          <w:sz w:val="24"/>
        </w:rPr>
      </w:pPr>
      <w:r>
        <w:rPr>
          <w:spacing w:val="-3"/>
          <w:sz w:val="24"/>
        </w:rPr>
      </w:r>
    </w:p>
    <w:p>
      <w:pPr>
        <w:pStyle w:val="Normal"/>
        <w:tabs>
          <w:tab w:val="clear" w:pos="720"/>
          <w:tab w:val="center" w:pos="4680" w:leader="none"/>
        </w:tabs>
        <w:suppressAutoHyphens w:val="true"/>
        <w:jc w:val="center"/>
        <w:rPr>
          <w:b/>
          <w:spacing w:val="-3"/>
          <w:sz w:val="24"/>
        </w:rPr>
      </w:pPr>
      <w:r>
        <w:rPr>
          <w:b/>
          <w:spacing w:val="-3"/>
          <w:sz w:val="24"/>
        </w:rPr>
        <w:t xml:space="preserve">REQUEST FOR REHEARING </w:t>
      </w:r>
    </w:p>
    <w:p>
      <w:pPr>
        <w:pStyle w:val="Normal"/>
        <w:tabs>
          <w:tab w:val="clear" w:pos="720"/>
          <w:tab w:val="center" w:pos="4680" w:leader="none"/>
        </w:tabs>
        <w:suppressAutoHyphens w:val="true"/>
        <w:jc w:val="center"/>
        <w:rPr>
          <w:b/>
          <w:spacing w:val="-3"/>
          <w:sz w:val="24"/>
        </w:rPr>
      </w:pPr>
      <w:r>
        <w:rPr>
          <w:b/>
          <w:spacing w:val="-3"/>
          <w:sz w:val="24"/>
        </w:rPr>
      </w:r>
    </w:p>
    <w:p>
      <w:pPr>
        <w:pStyle w:val="BodyText"/>
        <w:spacing w:lineRule="auto" w:line="360"/>
        <w:jc w:val="both"/>
        <w:rPr/>
      </w:pPr>
      <w:r>
        <w:rPr>
          <w:spacing w:val="-3"/>
        </w:rPr>
        <w:tab/>
        <w:t xml:space="preserve">Transwestern Pipeline Company ("Transwestern"), pursuant to Section 19 of the Natural Gas Act ("NGA"), 15 U.S.C. § 717r, and Rule 713 of the Federal Energy Regulatory Commission's ("Commission") Rules of Practice and Procedure, 18 C.F.R. § 385.713, hereby respectfully requests rehearing of the Commission's </w:t>
      </w:r>
      <w:r>
        <w:rPr/>
        <w:t>January 13, 2000 Order Issuing Certificate (January 13 Order).  In support thereof, Transwestern states as follows:</w:t>
      </w:r>
    </w:p>
    <w:p>
      <w:pPr>
        <w:pStyle w:val="Normal"/>
        <w:rPr>
          <w:sz w:val="24"/>
        </w:rPr>
      </w:pPr>
      <w:r>
        <w:rPr>
          <w:sz w:val="24"/>
        </w:rPr>
      </w:r>
    </w:p>
    <w:p>
      <w:pPr>
        <w:pStyle w:val="Normal"/>
        <w:jc w:val="center"/>
        <w:rPr>
          <w:b/>
          <w:sz w:val="24"/>
        </w:rPr>
      </w:pPr>
      <w:r>
        <w:rPr>
          <w:b/>
          <w:sz w:val="24"/>
        </w:rPr>
        <w:t>I.</w:t>
      </w:r>
    </w:p>
    <w:p>
      <w:pPr>
        <w:pStyle w:val="Normal"/>
        <w:tabs>
          <w:tab w:val="clear" w:pos="720"/>
          <w:tab w:val="left" w:pos="-720" w:leader="none"/>
        </w:tabs>
        <w:suppressAutoHyphens w:val="true"/>
        <w:spacing w:lineRule="auto" w:line="480"/>
        <w:jc w:val="center"/>
        <w:rPr>
          <w:spacing w:val="-3"/>
          <w:sz w:val="24"/>
        </w:rPr>
      </w:pPr>
      <w:r>
        <w:rPr>
          <w:b/>
          <w:spacing w:val="-3"/>
          <w:sz w:val="24"/>
        </w:rPr>
        <w:t>SPECIFICATION OF ERROR</w:t>
      </w:r>
    </w:p>
    <w:p>
      <w:pPr>
        <w:pStyle w:val="BodyText2"/>
        <w:spacing w:lineRule="auto" w:line="360"/>
        <w:rPr/>
      </w:pPr>
      <w:r>
        <w:rPr/>
        <w:tab/>
        <w:t>On May 13, 1999, Transwestern filed an application under Section 7(c) of the Natural Gas Act for its Gallup Expansion.  In the January 13 Order, the Commission issued a certificate of public convenience and necessity authorizing Transwestern to construct and operate the proposed facilities. The order contains a condition requiring that Transwestern file the discounted rates for its Gallup Expansion within 15 days of the date of the order. Although Transwestern has already filed the discounted rates subject to a request for confidentiality, the Commission stated that the rates should now be made publicly available.  On January 19, 2000, Transwestern filed a Motion for Extension of Time to comply with the condition, and Transwestern has not yet filed the rates as directed by the Commission.</w:t>
      </w:r>
    </w:p>
    <w:p>
      <w:pPr>
        <w:pStyle w:val="BodyText2"/>
        <w:spacing w:lineRule="auto" w:line="360"/>
        <w:rPr/>
      </w:pPr>
      <w:r>
        <w:rPr/>
        <w:tab/>
        <w:t>The Commission erred in requiring that the discounted rates be made publicly available within 15 days of the date of the order.  Transwestern has already complied with the 157.14(a)(11)(v) requirement that the certificate applicant indicate the rates to be charged.  When the rates were filed, Transwestern requested confidential treatment of the information pursuant to the Commission's procedures for confidential treatment.   Transwestern will include the discounted rates in its discount report at the time required by 284.7(b)(6).  Requiring Transwestern to publicly file its discounted rates for the Gallup Expansion before the time discount reports are due is not necessary and would cause undue competitive harm to Transwestern.</w:t>
      </w:r>
    </w:p>
    <w:p>
      <w:pPr>
        <w:pStyle w:val="BodyText2"/>
        <w:jc w:val="center"/>
        <w:rPr>
          <w:b/>
        </w:rPr>
      </w:pPr>
      <w:r>
        <w:rPr>
          <w:b/>
        </w:rPr>
        <w:t>II.</w:t>
      </w:r>
    </w:p>
    <w:p>
      <w:pPr>
        <w:pStyle w:val="BodyText2"/>
        <w:jc w:val="center"/>
        <w:rPr>
          <w:b/>
        </w:rPr>
      </w:pPr>
      <w:r>
        <w:rPr>
          <w:b/>
        </w:rPr>
        <w:t>ARGUMENT</w:t>
      </w:r>
    </w:p>
    <w:p>
      <w:pPr>
        <w:pStyle w:val="BodyText2"/>
        <w:spacing w:lineRule="auto" w:line="360"/>
        <w:rPr>
          <w:b/>
        </w:rPr>
      </w:pPr>
      <w:r>
        <w:rPr>
          <w:b/>
        </w:rPr>
      </w:r>
    </w:p>
    <w:p>
      <w:pPr>
        <w:pStyle w:val="BodyText2"/>
        <w:spacing w:lineRule="auto" w:line="360"/>
        <w:rPr/>
      </w:pPr>
      <w:r>
        <w:rPr/>
        <w:tab/>
        <w:t>Under established Commission procedure, notwithstanding Transwestern's request for confidential treatment of the discounted rates, the parties to this proceeding may obtain the rates for purposes of this proceeding by simply notifying Transwestern and signing a confidentiality agreement. Thus, the Commission and the parties have had access to sufficient information to make the determinations necessary for the issuance of a certificate. All interested parties (i.e., all of the expansion shippers) have access to the rates, and no valid purpose would be served by now requiring public disclosure. The fact that the expansion capacity is not fully subscribed is irrelevant to a determination of whether Transwestern must now publicly disclose its rates.  As required by Part 284 of the Commission's regulations, after the Gallup facilities are in place and the transportation agreements become effective, Transwestern will publish the rates in a discount report 15 days prior to the billing date.  The Commission has not given adequate reason for requiring public disclosure prior to that time.</w:t>
      </w:r>
    </w:p>
    <w:p>
      <w:pPr>
        <w:pStyle w:val="BodyText2"/>
        <w:spacing w:lineRule="auto" w:line="360"/>
        <w:rPr/>
      </w:pPr>
      <w:r>
        <w:rPr/>
        <w:tab/>
        <w:t>A determination of whether information required to by filed with the Commission may be protected from disclosure involves a balancing of the need for the information against the potential harm that would result from public disclosure.</w:t>
      </w:r>
      <w:r>
        <w:rPr>
          <w:rStyle w:val="FootnoteCharacters"/>
          <w:rStyle w:val="FootnoteReference"/>
        </w:rPr>
        <w:footnoteReference w:id="2"/>
      </w:r>
      <w:r>
        <w:rPr/>
        <w:t xml:space="preserve">  Here, Transwestern has indicated a willingness to provide information on a limited basis so that the necessary determinations can be made in this proceeding.  Undue competitive harm would result from any more extensive disclosure of discount information at this time. Transwestern does not ordinarily publish its discounted transportation rates until required to do so under Part 284 of the Commission's rules.  Requiring Transwestern to publicly disclose its rates before the usual time for making a discount report would allow Transwestern's competitors, including shippers that compete with Transwestern (such as marketing companies or releasing shippers), greater access to pricing information than they would ordinarily have, and therefore would put Transwestern at a competitive disadvantage. </w:t>
      </w:r>
      <w:r>
        <w:rPr>
          <w:b/>
        </w:rPr>
        <w:t xml:space="preserve">[It would be best to back up this statement…Provide examples??]  </w:t>
      </w:r>
      <w:r>
        <w:rPr/>
        <w:t>The need for the requested information has already been met through less than full disclosure of the rates, and there is no need to subject Transwestern to potential competitive harm by requiring public disclosure.</w:t>
      </w:r>
      <w:r>
        <w:rPr>
          <w:rStyle w:val="FootnoteCharacters"/>
        </w:rPr>
        <w:t xml:space="preserve"> </w:t>
      </w:r>
      <w:r>
        <w:rPr>
          <w:rStyle w:val="FootnoteCharacters"/>
          <w:rStyle w:val="FootnoteReference"/>
        </w:rPr>
        <w:footnoteReference w:id="3"/>
      </w:r>
    </w:p>
    <w:p>
      <w:pPr>
        <w:pStyle w:val="Normal"/>
        <w:tabs>
          <w:tab w:val="clear" w:pos="720"/>
          <w:tab w:val="left" w:pos="-720" w:leader="none"/>
        </w:tabs>
        <w:suppressAutoHyphens w:val="true"/>
        <w:spacing w:lineRule="auto" w:line="480"/>
        <w:jc w:val="center"/>
        <w:rPr>
          <w:spacing w:val="-3"/>
          <w:sz w:val="24"/>
        </w:rPr>
      </w:pPr>
      <w:r>
        <w:rPr>
          <w:b/>
        </w:rPr>
        <w:tab/>
      </w:r>
      <w:r>
        <w:rPr>
          <w:b/>
          <w:spacing w:val="-3"/>
          <w:sz w:val="24"/>
        </w:rPr>
        <w:t>CONCLUSION</w:t>
      </w:r>
    </w:p>
    <w:p>
      <w:pPr>
        <w:pStyle w:val="BodyText2"/>
        <w:tabs>
          <w:tab w:val="clear" w:pos="720"/>
          <w:tab w:val="left" w:pos="-720" w:leader="none"/>
        </w:tabs>
        <w:suppressAutoHyphens w:val="true"/>
        <w:spacing w:lineRule="auto" w:line="360"/>
        <w:rPr>
          <w:spacing w:val="-3"/>
        </w:rPr>
      </w:pPr>
      <w:r>
        <w:rPr>
          <w:spacing w:val="-3"/>
        </w:rPr>
        <w:tab/>
        <w:t>Transwestern has provided the Commission and the parties with sufficient access to the Gallup Expansion rates to allow the necessary determinations to be made in this proceeding. The Commission should therefore grant rehearing of its January 13, 2000 order and not require Transwestern to publicly disclose its Gallup Expansion rates until the time for filing discount reports pursuant to Part 284 of the Commission's rules.</w:t>
      </w:r>
    </w:p>
    <w:p>
      <w:pPr>
        <w:pStyle w:val="Normal"/>
        <w:tabs>
          <w:tab w:val="clear" w:pos="720"/>
          <w:tab w:val="left" w:pos="-720" w:leader="none"/>
        </w:tabs>
        <w:suppressAutoHyphens w:val="true"/>
        <w:jc w:val="both"/>
        <w:rPr>
          <w:spacing w:val="-3"/>
          <w:sz w:val="24"/>
        </w:rPr>
      </w:pPr>
      <w:r>
        <w:rPr>
          <w:spacing w:val="-3"/>
          <w:sz w:val="24"/>
        </w:rPr>
        <w:tab/>
        <w:tab/>
        <w:tab/>
        <w:tab/>
        <w:tab/>
        <w:tab/>
        <w:t>Respectfully submitted,</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tab/>
        <w:tab/>
        <w:tab/>
        <w:tab/>
        <w:tab/>
        <w:tab/>
        <w:t>TRANSWESTERN PIPELINE COMPANY</w:t>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r>
    </w:p>
    <w:p>
      <w:pPr>
        <w:pStyle w:val="Normal"/>
        <w:tabs>
          <w:tab w:val="clear" w:pos="720"/>
          <w:tab w:val="left" w:pos="-720" w:leader="none"/>
        </w:tabs>
        <w:suppressAutoHyphens w:val="true"/>
        <w:jc w:val="both"/>
        <w:rPr>
          <w:spacing w:val="-3"/>
          <w:sz w:val="24"/>
        </w:rPr>
      </w:pPr>
      <w:r>
        <w:rPr>
          <w:spacing w:val="-3"/>
          <w:sz w:val="24"/>
        </w:rPr>
        <w:tab/>
        <w:tab/>
        <w:tab/>
        <w:tab/>
        <w:tab/>
        <w:tab/>
        <w:t>____________________________________</w:t>
      </w:r>
    </w:p>
    <w:p>
      <w:pPr>
        <w:pStyle w:val="Normal"/>
        <w:tabs>
          <w:tab w:val="clear" w:pos="720"/>
          <w:tab w:val="left" w:pos="-720" w:leader="none"/>
        </w:tabs>
        <w:suppressAutoHyphens w:val="true"/>
        <w:jc w:val="both"/>
        <w:rPr>
          <w:spacing w:val="-3"/>
          <w:sz w:val="24"/>
        </w:rPr>
      </w:pPr>
      <w:r>
        <w:rPr>
          <w:spacing w:val="-3"/>
          <w:sz w:val="24"/>
        </w:rPr>
        <w:tab/>
        <w:tab/>
        <w:tab/>
        <w:tab/>
        <w:tab/>
        <w:tab/>
        <w:t>Susan Scott</w:t>
      </w:r>
    </w:p>
    <w:p>
      <w:pPr>
        <w:pStyle w:val="Normal"/>
        <w:tabs>
          <w:tab w:val="clear" w:pos="720"/>
          <w:tab w:val="left" w:pos="-720" w:leader="none"/>
        </w:tabs>
        <w:suppressAutoHyphens w:val="true"/>
        <w:jc w:val="both"/>
        <w:rPr>
          <w:spacing w:val="-3"/>
          <w:sz w:val="24"/>
        </w:rPr>
      </w:pPr>
      <w:r>
        <w:rPr>
          <w:spacing w:val="-3"/>
          <w:sz w:val="24"/>
        </w:rPr>
        <w:tab/>
        <w:tab/>
        <w:tab/>
        <w:tab/>
        <w:tab/>
        <w:tab/>
        <w:t>Senior Counsel</w:t>
      </w:r>
    </w:p>
    <w:p>
      <w:pPr>
        <w:pStyle w:val="Normal"/>
        <w:tabs>
          <w:tab w:val="clear" w:pos="720"/>
          <w:tab w:val="left" w:pos="-720" w:leader="none"/>
        </w:tabs>
        <w:suppressAutoHyphens w:val="true"/>
        <w:jc w:val="both"/>
        <w:rPr>
          <w:spacing w:val="-3"/>
          <w:sz w:val="24"/>
        </w:rPr>
      </w:pPr>
      <w:r>
        <w:rPr>
          <w:spacing w:val="-3"/>
          <w:sz w:val="24"/>
        </w:rPr>
        <w:tab/>
        <w:tab/>
        <w:tab/>
        <w:tab/>
        <w:tab/>
        <w:tab/>
        <w:t>Transwestern Pipeline Company</w:t>
      </w:r>
    </w:p>
    <w:p>
      <w:pPr>
        <w:pStyle w:val="Normal"/>
        <w:tabs>
          <w:tab w:val="clear" w:pos="720"/>
          <w:tab w:val="left" w:pos="-720" w:leader="none"/>
        </w:tabs>
        <w:suppressAutoHyphens w:val="true"/>
        <w:jc w:val="both"/>
        <w:rPr>
          <w:spacing w:val="-3"/>
          <w:sz w:val="24"/>
        </w:rPr>
      </w:pPr>
      <w:r>
        <w:rPr>
          <w:spacing w:val="-3"/>
          <w:sz w:val="24"/>
        </w:rPr>
        <w:tab/>
        <w:tab/>
        <w:tab/>
        <w:tab/>
        <w:tab/>
        <w:tab/>
        <w:t>P. O. Box 1188</w:t>
      </w:r>
    </w:p>
    <w:p>
      <w:pPr>
        <w:pStyle w:val="Normal"/>
        <w:tabs>
          <w:tab w:val="clear" w:pos="720"/>
          <w:tab w:val="left" w:pos="-720" w:leader="none"/>
        </w:tabs>
        <w:suppressAutoHyphens w:val="true"/>
        <w:jc w:val="both"/>
        <w:rPr>
          <w:spacing w:val="-3"/>
          <w:sz w:val="24"/>
        </w:rPr>
      </w:pPr>
      <w:r>
        <w:rPr>
          <w:spacing w:val="-3"/>
          <w:sz w:val="24"/>
        </w:rPr>
        <w:tab/>
        <w:tab/>
        <w:tab/>
        <w:tab/>
        <w:tab/>
        <w:tab/>
        <w:t>Houston, Texas  77251-1188</w:t>
      </w:r>
    </w:p>
    <w:p>
      <w:pPr>
        <w:pStyle w:val="Normal"/>
        <w:tabs>
          <w:tab w:val="clear" w:pos="720"/>
          <w:tab w:val="left" w:pos="-720" w:leader="none"/>
        </w:tabs>
        <w:suppressAutoHyphens w:val="true"/>
        <w:jc w:val="both"/>
        <w:rPr>
          <w:spacing w:val="-3"/>
          <w:sz w:val="24"/>
        </w:rPr>
      </w:pPr>
      <w:r>
        <w:rPr>
          <w:spacing w:val="-3"/>
          <w:sz w:val="24"/>
        </w:rPr>
        <w:tab/>
        <w:tab/>
        <w:tab/>
        <w:tab/>
        <w:tab/>
        <w:tab/>
        <w:t>(713) 853-0596</w:t>
      </w:r>
    </w:p>
    <w:p>
      <w:pPr>
        <w:pStyle w:val="Normal"/>
        <w:tabs>
          <w:tab w:val="clear" w:pos="720"/>
          <w:tab w:val="left" w:pos="-720" w:leader="none"/>
        </w:tabs>
        <w:suppressAutoHyphens w:val="true"/>
        <w:spacing w:lineRule="auto" w:line="480"/>
        <w:jc w:val="both"/>
        <w:rPr>
          <w:spacing w:val="-3"/>
          <w:sz w:val="24"/>
        </w:rPr>
      </w:pPr>
      <w:r>
        <w:rPr>
          <w:spacing w:val="-3"/>
          <w:sz w:val="24"/>
        </w:rPr>
      </w:r>
    </w:p>
    <w:p>
      <w:pPr>
        <w:pStyle w:val="Normal"/>
        <w:rPr>
          <w:spacing w:val="-3"/>
          <w:sz w:val="24"/>
        </w:rPr>
      </w:pPr>
      <w:r>
        <w:rPr>
          <w:spacing w:val="-3"/>
          <w:sz w:val="24"/>
        </w:rPr>
      </w:r>
    </w:p>
    <w:p>
      <w:pPr>
        <w:pStyle w:val="BodyText2"/>
        <w:spacing w:lineRule="auto" w:line="360"/>
        <w:rPr>
          <w:b/>
          <w:sz w:val="24"/>
        </w:rPr>
      </w:pPr>
      <w:r>
        <w:rPr>
          <w:b/>
          <w:sz w:val="24"/>
        </w:rPr>
      </w:r>
    </w:p>
    <w:p>
      <w:pPr>
        <w:pStyle w:val="Normal"/>
        <w:jc w:val="both"/>
        <w:rPr>
          <w:b/>
          <w:sz w:val="24"/>
        </w:rPr>
      </w:pPr>
      <w:r>
        <w:rPr>
          <w:b/>
          <w:sz w:val="24"/>
        </w:rPr>
      </w:r>
    </w:p>
    <w:p>
      <w:pPr>
        <w:pStyle w:val="FootnoteText"/>
        <w:rPr>
          <w:sz w:val="24"/>
        </w:rPr>
      </w:pPr>
      <w:r>
        <w:rPr>
          <w:sz w:val="24"/>
        </w:rPr>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t>Filing Requirements for Interstate Natural Gas Companies, Order No. 582-A, 74 FERC ¶ 61,231 at p. 61,241 (1996).</w:t>
      </w:r>
    </w:p>
    <w:p>
      <w:pPr>
        <w:pStyle w:val="FootnoteText"/>
        <w:rPr/>
      </w:pPr>
      <w:r>
        <w:rPr/>
      </w:r>
    </w:p>
  </w:footnote>
  <w:footnote w:id="3">
    <w:p>
      <w:pPr>
        <w:pStyle w:val="Normal"/>
        <w:rPr/>
      </w:pPr>
      <w:r>
        <w:rPr>
          <w:rStyle w:val="FootnoteCharacters"/>
        </w:rPr>
        <w:footnoteRef/>
      </w:r>
      <w:r>
        <w:rPr/>
        <w:t xml:space="preserve"> </w:t>
      </w:r>
      <w:r>
        <w:rPr>
          <w:u w:val="single"/>
        </w:rPr>
        <w:t>See Amoco Production Company and Amoco Energy Trading Company v. Natural Gas Pipeline Company of America</w:t>
      </w:r>
      <w:r>
        <w:rPr/>
        <w:t>, 82 FERC P 61,037 (1998), in which Natural requested confidential treatment of a settlement agreement.  Although the Commission found that allegations of competitive harm alone did not justify total confidential treatment, it determined that less than full public disclosure of the agreement would serve the needs of the parties (i.e., allow a determination of whether there had been undue</w:t>
      </w:r>
    </w:p>
    <w:p>
      <w:pPr>
        <w:pStyle w:val="Normal"/>
        <w:rPr/>
      </w:pPr>
      <w:r>
        <w:rPr/>
        <w:t>discrimination). The Commission therefore found it appropriate that the agreement be subject to a protective order.</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2000-01-28T19:48:00Z</dcterms:created>
  <dc:creator>Susan Scott</dc:creator>
  <dc:description/>
  <dc:language>en-CA</dc:language>
  <cp:lastModifiedBy>Susan Scott</cp:lastModifiedBy>
  <cp:lastPrinted>2000-01-28T17:26:00Z</cp:lastPrinted>
  <dcterms:modified xsi:type="dcterms:W3CDTF">2000-02-01T14:15:00Z</dcterms:modified>
  <cp:revision>6</cp:revision>
  <dc:subject/>
  <dc:title>UNITED STATES OF AMERICA</dc:title>
</cp:coreProperties>
</file>