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November 3, 2000</w:t>
      </w:r>
    </w:p>
    <w:p>
      <w:pPr>
        <w:pStyle w:val="Normal"/>
        <w:rPr/>
      </w:pPr>
      <w:r>
        <w:rPr/>
      </w:r>
    </w:p>
    <w:p>
      <w:pPr>
        <w:pStyle w:val="Heading1"/>
        <w:ind w:hanging="0" w:start="0"/>
        <w:rPr/>
      </w:pPr>
      <w:r>
        <w:rPr/>
        <w:t>I.  What do telecom regulators care about and why?</w:t>
      </w:r>
    </w:p>
    <w:p>
      <w:pPr>
        <w:pStyle w:val="Normal"/>
        <w:numPr>
          <w:ilvl w:val="0"/>
          <w:numId w:val="6"/>
        </w:numPr>
        <w:rPr/>
      </w:pPr>
      <w:r>
        <w:rPr/>
        <w:t>What are general policy drivers behind telecom regulation?</w:t>
      </w:r>
    </w:p>
    <w:p>
      <w:pPr>
        <w:pStyle w:val="Normal"/>
        <w:numPr>
          <w:ilvl w:val="0"/>
          <w:numId w:val="6"/>
        </w:numPr>
        <w:rPr/>
      </w:pPr>
      <w:r>
        <w:rPr/>
        <w:t>In general, is telecom regulation form over substance or vice versa?</w:t>
      </w:r>
    </w:p>
    <w:p>
      <w:pPr>
        <w:pStyle w:val="Normal"/>
        <w:numPr>
          <w:ilvl w:val="0"/>
          <w:numId w:val="6"/>
        </w:numPr>
        <w:rPr/>
      </w:pPr>
      <w:r>
        <w:rPr/>
        <w:t>What are the differences between voice, data, and IP from a regulatory perspective and why?</w:t>
      </w:r>
    </w:p>
    <w:p>
      <w:pPr>
        <w:pStyle w:val="Normal"/>
        <w:numPr>
          <w:ilvl w:val="0"/>
          <w:numId w:val="6"/>
        </w:numPr>
        <w:rPr/>
      </w:pPr>
      <w:r>
        <w:rPr/>
        <w:t>In general, are there fundamental differences between the regulation of private line service, lambdas, satellite, IP transport, IP transit, and/or other capacity (specify other capacity) and why?</w:t>
      </w:r>
    </w:p>
    <w:p>
      <w:pPr>
        <w:pStyle w:val="Normal"/>
        <w:numPr>
          <w:ilvl w:val="0"/>
          <w:numId w:val="6"/>
        </w:numPr>
        <w:tabs>
          <w:tab w:val="clear" w:pos="720"/>
          <w:tab w:val="left" w:pos="1080" w:leader="none"/>
        </w:tabs>
        <w:ind w:hanging="360" w:start="1080" w:end="0"/>
        <w:rPr/>
      </w:pPr>
      <w:r>
        <w:rPr/>
        <w:t>What is generally meant by the term “capacity” when used in the regulatory world?</w:t>
      </w:r>
    </w:p>
    <w:p>
      <w:pPr>
        <w:pStyle w:val="Normal"/>
        <w:numPr>
          <w:ilvl w:val="0"/>
          <w:numId w:val="6"/>
        </w:numPr>
        <w:rPr/>
      </w:pPr>
      <w:r>
        <w:rPr/>
        <w:t>What are the differences, if any, between the regulation of erstwhile government monopolies (e.g., Singtel, NTT) and new competitors (e.g., Global Crossing, Level 3) and why?</w:t>
      </w:r>
    </w:p>
    <w:p>
      <w:pPr>
        <w:pStyle w:val="Normal"/>
        <w:numPr>
          <w:ilvl w:val="0"/>
          <w:numId w:val="6"/>
        </w:numPr>
        <w:rPr/>
      </w:pPr>
      <w:r>
        <w:rPr/>
        <w:t xml:space="preserve">What are the differences between local loop regulation, backhaul regulation and IPLC regulation and why? </w:t>
      </w:r>
    </w:p>
    <w:p>
      <w:pPr>
        <w:pStyle w:val="Normal"/>
        <w:numPr>
          <w:ilvl w:val="0"/>
          <w:numId w:val="6"/>
        </w:numPr>
        <w:tabs>
          <w:tab w:val="clear" w:pos="720"/>
          <w:tab w:val="left" w:pos="1080" w:leader="none"/>
        </w:tabs>
        <w:ind w:hanging="360" w:start="1080" w:end="0"/>
        <w:rPr/>
      </w:pPr>
      <w:r>
        <w:rPr/>
        <w:t>In general, are there both federal and local regulations at the local loop and backhaul stages?</w:t>
      </w:r>
    </w:p>
    <w:p>
      <w:pPr>
        <w:pStyle w:val="Normal"/>
        <w:numPr>
          <w:ilvl w:val="0"/>
          <w:numId w:val="6"/>
        </w:numPr>
        <w:tabs>
          <w:tab w:val="clear" w:pos="720"/>
          <w:tab w:val="left" w:pos="1080" w:leader="none"/>
        </w:tabs>
        <w:ind w:hanging="360" w:start="1080" w:end="0"/>
        <w:rPr/>
      </w:pPr>
      <w:r>
        <w:rPr/>
        <w:t>What gives local regulators power to regulate IPLCs?</w:t>
      </w:r>
    </w:p>
    <w:p>
      <w:pPr>
        <w:pStyle w:val="Normal"/>
        <w:numPr>
          <w:ilvl w:val="0"/>
          <w:numId w:val="6"/>
        </w:numPr>
        <w:tabs>
          <w:tab w:val="clear" w:pos="720"/>
        </w:tabs>
        <w:ind w:hanging="360" w:start="1080" w:end="0"/>
        <w:rPr/>
      </w:pPr>
      <w:r>
        <w:rPr/>
        <w:t>How are conflicts in regulation of IPLCs resolved?</w:t>
      </w:r>
    </w:p>
    <w:p>
      <w:pPr>
        <w:pStyle w:val="Normal"/>
        <w:numPr>
          <w:ilvl w:val="0"/>
          <w:numId w:val="6"/>
        </w:numPr>
        <w:rPr/>
      </w:pPr>
      <w:r>
        <w:rPr/>
        <w:t>Is there an international telecom regulatory body (e.g. the WTO)?</w:t>
      </w:r>
    </w:p>
    <w:p>
      <w:pPr>
        <w:pStyle w:val="Normal"/>
        <w:numPr>
          <w:ilvl w:val="0"/>
          <w:numId w:val="6"/>
        </w:numPr>
        <w:tabs>
          <w:tab w:val="clear" w:pos="720"/>
          <w:tab w:val="left" w:pos="1080" w:leader="none"/>
        </w:tabs>
        <w:ind w:hanging="360" w:start="1080" w:end="0"/>
        <w:rPr/>
      </w:pPr>
      <w:r>
        <w:rPr/>
        <w:t>What role does it play?</w:t>
      </w:r>
    </w:p>
    <w:p>
      <w:pPr>
        <w:pStyle w:val="Normal"/>
        <w:numPr>
          <w:ilvl w:val="0"/>
          <w:numId w:val="6"/>
        </w:numPr>
        <w:tabs>
          <w:tab w:val="clear" w:pos="720"/>
          <w:tab w:val="left" w:pos="1080" w:leader="none"/>
        </w:tabs>
        <w:ind w:hanging="360" w:start="1080" w:end="0"/>
        <w:rPr/>
      </w:pPr>
      <w:r>
        <w:rPr/>
        <w:t>What impact does it have, if any on international bandwidth trading?</w:t>
      </w:r>
    </w:p>
    <w:p>
      <w:pPr>
        <w:pStyle w:val="Normal"/>
        <w:numPr>
          <w:ilvl w:val="0"/>
          <w:numId w:val="3"/>
        </w:numPr>
        <w:rPr/>
      </w:pPr>
      <w:r>
        <w:rPr/>
        <w:t>What is the Melbourne treaty, and what impact does it have on telecom regulation?</w:t>
      </w:r>
    </w:p>
    <w:p>
      <w:pPr>
        <w:pStyle w:val="Normal"/>
        <w:numPr>
          <w:ilvl w:val="0"/>
          <w:numId w:val="6"/>
        </w:numPr>
        <w:rPr/>
      </w:pPr>
      <w:r>
        <w:rPr/>
        <w:t>What is the difference the regulation of facilities-based carriers and service-based carriers and why?</w:t>
      </w:r>
    </w:p>
    <w:p>
      <w:pPr>
        <w:pStyle w:val="Normal"/>
        <w:numPr>
          <w:ilvl w:val="0"/>
          <w:numId w:val="6"/>
        </w:numPr>
        <w:tabs>
          <w:tab w:val="clear" w:pos="720"/>
          <w:tab w:val="left" w:pos="1080" w:leader="none"/>
        </w:tabs>
        <w:ind w:hanging="360" w:start="1080" w:end="0"/>
        <w:rPr/>
      </w:pPr>
      <w:r>
        <w:rPr/>
        <w:t>Please define the regulatory difference between service-based and a facilities-based carriers.</w:t>
      </w:r>
    </w:p>
    <w:p>
      <w:pPr>
        <w:pStyle w:val="Normal"/>
        <w:numPr>
          <w:ilvl w:val="0"/>
          <w:numId w:val="6"/>
        </w:numPr>
        <w:tabs>
          <w:tab w:val="clear" w:pos="720"/>
          <w:tab w:val="left" w:pos="1080" w:leader="none"/>
        </w:tabs>
        <w:ind w:hanging="360" w:start="1080" w:end="0"/>
        <w:rPr/>
      </w:pPr>
      <w:r>
        <w:rPr/>
        <w:t xml:space="preserve">Would a service-based carrier become a facilities-based carrier as a result of the ownership of a switch? The ownership of a router?  The ownership of dark or dim fiber?  The ownership of a private lit fiber network? </w:t>
      </w:r>
    </w:p>
    <w:p>
      <w:pPr>
        <w:pStyle w:val="Normal"/>
        <w:numPr>
          <w:ilvl w:val="0"/>
          <w:numId w:val="6"/>
        </w:numPr>
        <w:tabs>
          <w:tab w:val="clear" w:pos="720"/>
          <w:tab w:val="left" w:pos="1080" w:leader="none"/>
        </w:tabs>
        <w:ind w:hanging="360" w:start="1080" w:end="0"/>
        <w:rPr/>
      </w:pPr>
      <w:r>
        <w:rPr/>
        <w:t>Must most service-based carriers get a license?</w:t>
      </w:r>
    </w:p>
    <w:p>
      <w:pPr>
        <w:pStyle w:val="Normal"/>
        <w:numPr>
          <w:ilvl w:val="0"/>
          <w:numId w:val="6"/>
        </w:numPr>
        <w:tabs>
          <w:tab w:val="clear" w:pos="720"/>
          <w:tab w:val="left" w:pos="1440" w:leader="none"/>
        </w:tabs>
        <w:ind w:hanging="360" w:start="1440" w:end="0"/>
        <w:rPr/>
      </w:pPr>
      <w:r>
        <w:rPr/>
        <w:t>Must such carriers form a local entity to hold the license?</w:t>
      </w:r>
    </w:p>
    <w:p>
      <w:pPr>
        <w:pStyle w:val="Normal"/>
        <w:numPr>
          <w:ilvl w:val="0"/>
          <w:numId w:val="6"/>
        </w:numPr>
        <w:tabs>
          <w:tab w:val="clear" w:pos="720"/>
          <w:tab w:val="left" w:pos="1440" w:leader="none"/>
        </w:tabs>
        <w:ind w:hanging="360" w:start="1440" w:end="0"/>
        <w:rPr/>
      </w:pPr>
      <w:r>
        <w:rPr/>
        <w:t>Where, as in Singapore, there is simply a requirement to “register to do business,” is that a requirement to register under the telecom law, the business law, the tax law, or all three?</w:t>
      </w:r>
    </w:p>
    <w:p>
      <w:pPr>
        <w:pStyle w:val="Normal"/>
        <w:numPr>
          <w:ilvl w:val="0"/>
          <w:numId w:val="6"/>
        </w:numPr>
        <w:tabs>
          <w:tab w:val="clear" w:pos="720"/>
          <w:tab w:val="left" w:pos="1800" w:leader="none"/>
        </w:tabs>
        <w:ind w:hanging="360" w:start="1800" w:end="0"/>
        <w:rPr/>
      </w:pPr>
      <w:r>
        <w:rPr/>
        <w:t>Please describe in detail the requirements to be able to register to do business (e.g., must there be employees, capital, etc.)</w:t>
      </w:r>
    </w:p>
    <w:p>
      <w:pPr>
        <w:pStyle w:val="Normal"/>
        <w:numPr>
          <w:ilvl w:val="0"/>
          <w:numId w:val="4"/>
        </w:numPr>
        <w:rPr/>
      </w:pPr>
      <w:r>
        <w:rPr/>
        <w:t>Is there a fundamental difference between a US-to-foreign bandwidth trade and a foreign-to-foreign bandwidth trade?</w:t>
      </w:r>
    </w:p>
    <w:p>
      <w:pPr>
        <w:pStyle w:val="Normal"/>
        <w:rPr/>
      </w:pPr>
      <w:r>
        <w:rPr/>
      </w:r>
    </w:p>
    <w:p>
      <w:pPr>
        <w:pStyle w:val="Heading1"/>
        <w:ind w:hanging="0" w:start="0"/>
        <w:rPr/>
      </w:pPr>
      <w:r>
        <w:rPr/>
        <w:t>II.  Current Telecom Industry Practices</w:t>
      </w:r>
    </w:p>
    <w:p>
      <w:pPr>
        <w:pStyle w:val="Heading2"/>
        <w:ind w:hanging="0" w:start="0"/>
        <w:rPr/>
      </w:pPr>
      <w:r>
        <w:rPr/>
        <w:t>A.  Please explain the international settlement structure for long distance.</w:t>
      </w:r>
    </w:p>
    <w:p>
      <w:pPr>
        <w:pStyle w:val="Heading2"/>
        <w:ind w:hanging="0" w:start="0"/>
        <w:rPr/>
      </w:pPr>
      <w:r>
        <w:rPr/>
        <w:t>B.  How does the current capacity resale market function (e.g., form of the agreement? just between carriers or other limited participation? limited routes? does it cutoff at gateway for regulated countries? etc.)?</w:t>
      </w:r>
    </w:p>
    <w:p>
      <w:pPr>
        <w:pStyle w:val="Heading2"/>
        <w:ind w:hanging="0" w:start="0"/>
        <w:rPr/>
      </w:pPr>
      <w:r>
        <w:rPr/>
        <w:t>C.  How do foreign entities do bandwidth trades into the US (e.g., form of agreement? US license requirement? US local entity requirement? limited to major carriers? etc.)?</w:t>
      </w:r>
    </w:p>
    <w:p>
      <w:pPr>
        <w:pStyle w:val="Heading2"/>
        <w:ind w:hanging="0" w:start="0"/>
        <w:rPr/>
      </w:pPr>
      <w:r>
        <w:rPr/>
        <w:t>D.  What is the universe of types of international telecom service?</w:t>
      </w:r>
    </w:p>
    <w:p>
      <w:pPr>
        <w:pStyle w:val="Normal"/>
        <w:numPr>
          <w:ilvl w:val="0"/>
          <w:numId w:val="8"/>
        </w:numPr>
        <w:rPr/>
      </w:pPr>
      <w:r>
        <w:rPr/>
        <w:t>What is an IPLC and how does it differ from the EBS Master Agreement?</w:t>
      </w:r>
    </w:p>
    <w:p>
      <w:pPr>
        <w:pStyle w:val="Normal"/>
        <w:numPr>
          <w:ilvl w:val="0"/>
          <w:numId w:val="8"/>
        </w:numPr>
        <w:rPr/>
      </w:pPr>
      <w:r>
        <w:rPr/>
        <w:t>Is an IPLC a universal (i.e., standard) contract that is found worldwide?</w:t>
      </w:r>
    </w:p>
    <w:p>
      <w:pPr>
        <w:pStyle w:val="Normal"/>
        <w:numPr>
          <w:ilvl w:val="0"/>
          <w:numId w:val="8"/>
        </w:numPr>
        <w:rPr/>
      </w:pPr>
      <w:r>
        <w:rPr/>
        <w:t>What other types of international telecom service are being sold in the current market?</w:t>
      </w:r>
    </w:p>
    <w:p>
      <w:pPr>
        <w:pStyle w:val="Normal"/>
        <w:numPr>
          <w:ilvl w:val="0"/>
          <w:numId w:val="8"/>
        </w:numPr>
        <w:rPr/>
      </w:pPr>
      <w:r>
        <w:rPr/>
        <w:t>Why will major carriers not agree to sell service to us under the Master?</w:t>
      </w:r>
    </w:p>
    <w:p>
      <w:pPr>
        <w:pStyle w:val="Normal"/>
        <w:numPr>
          <w:ilvl w:val="0"/>
          <w:numId w:val="8"/>
        </w:numPr>
        <w:tabs>
          <w:tab w:val="clear" w:pos="720"/>
          <w:tab w:val="left" w:pos="1080" w:leader="none"/>
        </w:tabs>
        <w:ind w:hanging="360" w:start="1080" w:end="0"/>
        <w:rPr/>
      </w:pPr>
      <w:r>
        <w:rPr/>
        <w:t>Please specify whether the reason is commercial, legal, or otherwise</w:t>
      </w:r>
    </w:p>
    <w:p>
      <w:pPr>
        <w:pStyle w:val="Normal"/>
        <w:numPr>
          <w:ilvl w:val="0"/>
          <w:numId w:val="8"/>
        </w:numPr>
        <w:tabs>
          <w:tab w:val="clear" w:pos="720"/>
          <w:tab w:val="left" w:pos="1080" w:leader="none"/>
        </w:tabs>
        <w:ind w:hanging="360" w:start="1080" w:end="0"/>
        <w:rPr/>
      </w:pPr>
      <w:r>
        <w:rPr/>
        <w:t>If the reason is legal, please describe the problem in legal terms</w:t>
      </w:r>
    </w:p>
    <w:p>
      <w:pPr>
        <w:pStyle w:val="Normal"/>
        <w:numPr>
          <w:ilvl w:val="0"/>
          <w:numId w:val="8"/>
        </w:numPr>
        <w:tabs>
          <w:tab w:val="clear" w:pos="720"/>
          <w:tab w:val="left" w:pos="1080" w:leader="none"/>
        </w:tabs>
        <w:ind w:hanging="360" w:start="1080" w:end="0"/>
        <w:rPr/>
      </w:pPr>
      <w:r>
        <w:rPr/>
        <w:t>Why specifically do regulators see a difference?</w:t>
      </w:r>
    </w:p>
    <w:p>
      <w:pPr>
        <w:pStyle w:val="Normal"/>
        <w:numPr>
          <w:ilvl w:val="0"/>
          <w:numId w:val="8"/>
        </w:numPr>
        <w:rPr/>
      </w:pPr>
      <w:r>
        <w:rPr/>
        <w:t>Are there other categories of sellers that will not sell on the basis of the Master?</w:t>
      </w:r>
    </w:p>
    <w:p>
      <w:pPr>
        <w:pStyle w:val="Normal"/>
        <w:rPr/>
      </w:pPr>
      <w:r>
        <w:rPr/>
      </w:r>
    </w:p>
    <w:p>
      <w:pPr>
        <w:pStyle w:val="Heading2"/>
        <w:ind w:hanging="0" w:start="0"/>
        <w:rPr/>
      </w:pPr>
      <w:r>
        <w:rPr/>
        <w:t>E.  How has the patchwork quilt of global telecom regulations affected the structure of Global Crossing, Level 3, and AT&amp;T and how are they able to operate effectively on a worldwide basis in such an environment?</w:t>
      </w:r>
    </w:p>
    <w:p>
      <w:pPr>
        <w:pStyle w:val="Normal"/>
        <w:ind w:start="360" w:end="0"/>
        <w:rPr/>
      </w:pPr>
      <w:r>
        <w:rPr/>
      </w:r>
    </w:p>
    <w:p>
      <w:pPr>
        <w:pStyle w:val="Heading1"/>
        <w:ind w:hanging="0" w:start="0"/>
        <w:rPr/>
      </w:pPr>
      <w:r>
        <w:rPr/>
        <w:t>III.  EBS-Specific Questions</w:t>
      </w:r>
    </w:p>
    <w:p>
      <w:pPr>
        <w:pStyle w:val="Heading2"/>
        <w:ind w:hanging="0" w:start="0"/>
        <w:rPr/>
      </w:pPr>
      <w:r>
        <w:rPr/>
        <w:t>A.  Which EBS entity owns the FCC license 214 and what does it permit us to do?</w:t>
      </w:r>
    </w:p>
    <w:p>
      <w:pPr>
        <w:pStyle w:val="Normal"/>
        <w:numPr>
          <w:ilvl w:val="0"/>
          <w:numId w:val="2"/>
        </w:numPr>
        <w:rPr/>
      </w:pPr>
      <w:r>
        <w:rPr/>
        <w:t>Generally?</w:t>
      </w:r>
    </w:p>
    <w:p>
      <w:pPr>
        <w:pStyle w:val="Normal"/>
        <w:numPr>
          <w:ilvl w:val="0"/>
          <w:numId w:val="2"/>
        </w:numPr>
        <w:rPr/>
      </w:pPr>
      <w:r>
        <w:rPr/>
        <w:t>In the international context?</w:t>
      </w:r>
    </w:p>
    <w:p>
      <w:pPr>
        <w:pStyle w:val="Normal"/>
        <w:numPr>
          <w:ilvl w:val="0"/>
          <w:numId w:val="2"/>
        </w:numPr>
        <w:rPr/>
      </w:pPr>
      <w:r>
        <w:rPr/>
        <w:t>Would there be an advantage to EBS to forming a subsidiary of the trading LP and having that subsidiary acquire some other FCC license?</w:t>
      </w:r>
    </w:p>
    <w:p>
      <w:pPr>
        <w:pStyle w:val="Heading2"/>
        <w:ind w:hanging="0" w:start="0"/>
        <w:rPr/>
      </w:pPr>
      <w:r>
        <w:rPr/>
        <w:t>B.  If the trading desk makes an international bandwidth trade pursuant to the Master to a bandwidth dealer, would both parties generally be taking regulatory risks assuming neither have a license in the terminating countries (assume the countries are Asian or South American, not European)?</w:t>
      </w:r>
    </w:p>
    <w:p>
      <w:pPr>
        <w:pStyle w:val="Normal"/>
        <w:numPr>
          <w:ilvl w:val="0"/>
          <w:numId w:val="7"/>
        </w:numPr>
        <w:rPr/>
      </w:pPr>
      <w:r>
        <w:rPr/>
        <w:t>If there is a regulatory risk, what is the risk and what are the penalties and any other consequences (e.g., contract recission)?</w:t>
      </w:r>
    </w:p>
    <w:p>
      <w:pPr>
        <w:pStyle w:val="Normal"/>
        <w:numPr>
          <w:ilvl w:val="0"/>
          <w:numId w:val="5"/>
        </w:numPr>
        <w:rPr/>
      </w:pPr>
      <w:r>
        <w:rPr/>
        <w:t xml:space="preserve">Would the problem be resolved if an affiliate had a license? </w:t>
      </w:r>
    </w:p>
    <w:p>
      <w:pPr>
        <w:pStyle w:val="Normal"/>
        <w:numPr>
          <w:ilvl w:val="0"/>
          <w:numId w:val="5"/>
        </w:numPr>
        <w:rPr/>
      </w:pPr>
      <w:r>
        <w:rPr/>
        <w:t>If the problem would be resolved by the fact that an affiliate has a license, why could the trading desk not then buy an IPLC directly from a major carrier relying on its affiliate’s license?</w:t>
      </w:r>
    </w:p>
    <w:p>
      <w:pPr>
        <w:pStyle w:val="Heading2"/>
        <w:ind w:hanging="0" w:start="0"/>
        <w:rPr/>
      </w:pPr>
      <w:r>
        <w:rPr/>
        <w:t>C.  Should EBS lead an industry effort to deregulate bandwidth trading in a way that facilitates the EBS model?</w:t>
      </w:r>
    </w:p>
    <w:p>
      <w:pPr>
        <w:pStyle w:val="Heading2"/>
        <w:ind w:hanging="0" w:start="0"/>
        <w:rPr/>
      </w:pPr>
      <w:r>
        <w:rPr/>
        <w:t>D.  Suggested reading on international telecom regulation (books, memos, trade magazine articles)?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rPr>
    </w:lvl>
  </w:abstractNum>
  <w:abstractNum w:abstractNumId="3">
    <w:lvl w:ilvl="0">
      <w:numFmt w:val="bullet"/>
      <w:lvlText w:val=""/>
      <w:lvlJc w:val="start"/>
      <w:pPr>
        <w:tabs>
          <w:tab w:val="num" w:pos="720"/>
        </w:tabs>
        <w:ind w:start="720" w:hanging="360"/>
      </w:pPr>
      <w:rPr>
        <w:rFonts w:ascii="Wingdings" w:hAnsi="Wingdings" w:cs="Wingdings" w:hint="default"/>
      </w:rPr>
    </w:lvl>
  </w:abstractNum>
  <w:abstractNum w:abstractNumId="4">
    <w:lvl w:ilvl="0">
      <w:numFmt w:val="bullet"/>
      <w:lvlText w:val=""/>
      <w:lvlJc w:val="start"/>
      <w:pPr>
        <w:tabs>
          <w:tab w:val="num" w:pos="720"/>
        </w:tabs>
        <w:ind w:start="720" w:hanging="360"/>
      </w:pPr>
      <w:rPr>
        <w:rFonts w:ascii="Wingdings" w:hAnsi="Wingdings" w:cs="Wingdings" w:hint="default"/>
      </w:rPr>
    </w:lvl>
  </w:abstractNum>
  <w:abstractNum w:abstractNumId="5">
    <w:lvl w:ilvl="0">
      <w:numFmt w:val="bullet"/>
      <w:lvlText w:val=""/>
      <w:lvlJc w:val="start"/>
      <w:pPr>
        <w:tabs>
          <w:tab w:val="num" w:pos="720"/>
        </w:tabs>
        <w:ind w:start="720" w:hanging="360"/>
      </w:pPr>
      <w:rPr>
        <w:rFonts w:ascii="Wingdings" w:hAnsi="Wingdings" w:cs="Wingdings" w:hint="default"/>
      </w:rPr>
    </w:lvl>
  </w:abstractNum>
  <w:abstractNum w:abstractNumId="6">
    <w:lvl w:ilvl="0">
      <w:numFmt w:val="bullet"/>
      <w:lvlText w:val=""/>
      <w:lvlJc w:val="start"/>
      <w:pPr>
        <w:tabs>
          <w:tab w:val="num" w:pos="720"/>
        </w:tabs>
        <w:ind w:start="720" w:hanging="360"/>
      </w:pPr>
      <w:rPr>
        <w:rFonts w:ascii="Wingdings" w:hAnsi="Wingdings" w:cs="Wingdings" w:hint="default"/>
      </w:rPr>
    </w:lvl>
  </w:abstractNum>
  <w:abstractNum w:abstractNumId="7">
    <w:lvl w:ilvl="0">
      <w:numFmt w:val="bullet"/>
      <w:lvlText w:val=""/>
      <w:lvlJc w:val="start"/>
      <w:pPr>
        <w:tabs>
          <w:tab w:val="num" w:pos="720"/>
        </w:tabs>
        <w:ind w:start="720" w:hanging="360"/>
      </w:pPr>
      <w:rPr>
        <w:rFonts w:ascii="Wingdings" w:hAnsi="Wingdings" w:cs="Wingdings" w:hint="default"/>
      </w:rPr>
    </w:lvl>
  </w:abstractNum>
  <w:abstractNum w:abstractNumId="8">
    <w:lvl w:ilvl="0">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32"/>
    </w:rPr>
  </w:style>
  <w:style w:type="paragraph" w:styleId="Heading2">
    <w:name w:val="heading 2"/>
    <w:basedOn w:val="Normal"/>
    <w:next w:val="Normal"/>
    <w:qFormat/>
    <w:pPr>
      <w:keepNext w:val="true"/>
      <w:numPr>
        <w:ilvl w:val="1"/>
        <w:numId w:val="1"/>
      </w:numPr>
      <w:spacing w:before="240" w:after="60"/>
      <w:outlineLvl w:val="1"/>
    </w:pPr>
    <w:rPr>
      <w:b/>
      <w:i/>
      <w:sz w:val="28"/>
    </w:rPr>
  </w:style>
  <w:style w:type="paragraph" w:styleId="Heading3">
    <w:name w:val="heading 3"/>
    <w:basedOn w:val="Normal"/>
    <w:next w:val="Normal"/>
    <w:qFormat/>
    <w:pPr>
      <w:keepNext w:val="true"/>
      <w:numPr>
        <w:ilvl w:val="2"/>
        <w:numId w:val="1"/>
      </w:numPr>
      <w:spacing w:before="240" w:after="60"/>
      <w:outlineLvl w:val="2"/>
    </w:pPr>
    <w:rPr>
      <w:b/>
      <w:sz w:val="26"/>
      <w:u w:val="single"/>
    </w:rPr>
  </w:style>
  <w:style w:type="paragraph" w:styleId="Heading4">
    <w:name w:val="heading 4"/>
    <w:basedOn w:val="Normal"/>
    <w:next w:val="Normal"/>
    <w:qFormat/>
    <w:pPr>
      <w:keepNext w:val="true"/>
      <w:numPr>
        <w:ilvl w:val="3"/>
        <w:numId w:val="1"/>
      </w:numPr>
      <w:spacing w:before="240" w:after="60"/>
      <w:outlineLvl w:val="3"/>
    </w:pPr>
    <w:rPr>
      <w:b/>
      <w:i/>
      <w:sz w:val="26"/>
      <w:u w:val="single"/>
    </w:rPr>
  </w:style>
  <w:style w:type="paragraph" w:styleId="Heading5">
    <w:name w:val="heading 5"/>
    <w:basedOn w:val="Normal"/>
    <w:next w:val="Normal"/>
    <w:qFormat/>
    <w:pPr>
      <w:numPr>
        <w:ilvl w:val="4"/>
        <w:numId w:val="1"/>
      </w:numPr>
      <w:spacing w:before="240" w:after="60"/>
      <w:outlineLvl w:val="4"/>
    </w:pPr>
    <w:rPr>
      <w:i/>
    </w:rPr>
  </w:style>
  <w:style w:type="paragraph" w:styleId="Heading6">
    <w:name w:val="heading 6"/>
    <w:basedOn w:val="Normal"/>
    <w:next w:val="Normal"/>
    <w:qFormat/>
    <w:pPr>
      <w:numPr>
        <w:ilvl w:val="5"/>
        <w:numId w:val="1"/>
      </w:numPr>
      <w:spacing w:before="240" w:after="60"/>
      <w:outlineLvl w:val="5"/>
    </w:pPr>
    <w:rPr>
      <w:i/>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Times New Roman" w:hAnsi="Times New Roman" w:cs="Times New Roman"/>
      <w:b/>
      <w:i w:val="false"/>
      <w:u w:val="none"/>
    </w:rPr>
  </w:style>
  <w:style w:type="character" w:styleId="WW8Num6z1">
    <w:name w:val="WW8Num6z1"/>
    <w:qFormat/>
    <w:rPr>
      <w:rFonts w:ascii="Times New Roman" w:hAnsi="Times New Roman" w:cs="Times New Roman"/>
      <w:b/>
      <w:i w:val="false"/>
      <w:sz w:val="24"/>
    </w:rPr>
  </w:style>
  <w:style w:type="character" w:styleId="WW8Num6z2">
    <w:name w:val="WW8Num6z2"/>
    <w:qFormat/>
    <w:rPr>
      <w:rFonts w:ascii="Times New Roman" w:hAnsi="Times New Roman" w:cs="Times New Roman"/>
      <w:b w:val="false"/>
      <w:i w:val="false"/>
      <w:sz w:val="24"/>
    </w:rPr>
  </w:style>
  <w:style w:type="character" w:styleId="WW8Num6z3">
    <w:name w:val="WW8Num6z3"/>
    <w:qFormat/>
    <w:rPr>
      <w:rFonts w:ascii="Times New Roman" w:hAnsi="Times New Roman" w:cs="Times New Roman"/>
      <w:sz w:val="24"/>
    </w:rPr>
  </w:style>
  <w:style w:type="character" w:styleId="WW8Num6z4">
    <w:name w:val="WW8Num6z4"/>
    <w:qFormat/>
    <w:rPr>
      <w:rFonts w:ascii="Times New Roman" w:hAnsi="Times New Roman" w:cs="Times New Roman"/>
      <w:b w:val="false"/>
      <w:i/>
      <w:sz w:val="24"/>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Heading6"/>
    <w:qFormat/>
    <w:pPr>
      <w:numPr>
        <w:ilvl w:val="0"/>
        <w:numId w:val="0"/>
      </w:numPr>
      <w:outlineLvl w:val="9"/>
    </w:pPr>
    <w:rPr>
      <w:b/>
      <w:u w:val="single"/>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2000-11-03T17:36:00Z</dcterms:created>
  <dc:creator>W. Wayne Gardner</dc:creator>
  <dc:description/>
  <dc:language>en-CA</dc:language>
  <cp:lastModifiedBy>W. Wayne Gardner</cp:lastModifiedBy>
  <dcterms:modified xsi:type="dcterms:W3CDTF">2000-11-03T20:18:00Z</dcterms:modified>
  <cp:revision>2</cp:revision>
  <dc:subject/>
  <dc:title>November 3, 2000</dc:title>
</cp:coreProperties>
</file>