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6" w:space="1" w:color="000000"/>
          <w:left w:val="single" w:sz="6" w:space="1" w:color="000000"/>
          <w:bottom w:val="single" w:sz="6" w:space="1" w:color="000000"/>
          <w:right w:val="single" w:sz="6" w:space="1" w:color="000000"/>
        </w:pBdr>
        <w:jc w:val="center"/>
        <w:rPr>
          <w:sz w:val="20"/>
        </w:rPr>
      </w:pPr>
      <w:r>
        <w:rPr>
          <w:sz w:val="20"/>
        </w:rPr>
        <w:t>LITIGATION</w:t>
      </w:r>
    </w:p>
    <w:p>
      <w:pPr>
        <w:pStyle w:val="Normal"/>
        <w:rPr>
          <w:sz w:val="20"/>
        </w:rPr>
      </w:pPr>
      <w:r>
        <w:rPr>
          <w:sz w:val="20"/>
        </w:rPr>
      </w:r>
    </w:p>
    <w:p>
      <w:pPr>
        <w:pStyle w:val="Normal"/>
        <w:rPr>
          <w:b/>
          <w:sz w:val="20"/>
        </w:rPr>
      </w:pPr>
      <w:r>
        <w:rPr>
          <w:b/>
          <w:sz w:val="20"/>
        </w:rPr>
        <w:t xml:space="preserve">Northern Natural Gas:  </w:t>
      </w:r>
    </w:p>
    <w:p>
      <w:pPr>
        <w:pStyle w:val="Normal"/>
        <w:rPr>
          <w:b/>
          <w:sz w:val="20"/>
        </w:rPr>
      </w:pPr>
      <w:r>
        <w:rPr>
          <w:b/>
          <w:sz w:val="20"/>
        </w:rPr>
      </w:r>
    </w:p>
    <w:p>
      <w:pPr>
        <w:pStyle w:val="Normal"/>
        <w:rPr>
          <w:sz w:val="20"/>
        </w:rPr>
      </w:pPr>
      <w:r>
        <w:rPr>
          <w:sz w:val="20"/>
        </w:rPr>
        <w:t>Conoco -</w:t>
      </w:r>
    </w:p>
    <w:p>
      <w:pPr>
        <w:pStyle w:val="Normal"/>
        <w:rPr>
          <w:sz w:val="20"/>
        </w:rPr>
      </w:pPr>
      <w:r>
        <w:rPr>
          <w:sz w:val="20"/>
        </w:rPr>
      </w:r>
    </w:p>
    <w:p>
      <w:pPr>
        <w:pStyle w:val="BodyText"/>
        <w:rPr>
          <w:sz w:val="20"/>
        </w:rPr>
      </w:pPr>
      <w:r>
        <w:rPr>
          <w:sz w:val="20"/>
        </w:rPr>
        <w:t xml:space="preserve">In 1992, Conoco filed suit against NNG related to a processing agreement where NNG had bought out gas purchase contracts behind the plant inlet.  Conoco alleges that NNG had a continuing duty to purchase and deliver gas to Conoco for processing, and that NNG’s voluntary termination of certain gas purchase contracts constituted a breach of their agreement. On June 14, 1995, a jury verdict was returned, awarding Conoco damages and attorneys’ fees in excess of $21 million.  NNG filed an appeal to the El Paso appeals court and posted the bond.  NNG recorded a $21mm reserve in 1995.  On November 21, 1996, oral arguments were heard before the Court of Appeals. On December 19, 1996, the El Paso Court of Appeals reversed the trial court’s judgment.  The jury award, plus interest, has been set aside.  However, a portion of the Court of Appeals’ decision, the issue of “good faith”, has been remanded for a new trial.  Pursuant to discussions with Frank Bay the most likely result is that the El Paso Court of Appeals’ decision will stand unchanged.  However, given that the issue of good faith has been remanded to the trial court in Midland, Texas and that the issue of good faith is both vague and open-ended, we concurred in 1996 with the client’s decision to reverse a portion ($18 mm) of their previously established reserve.   In the first quarter 1997, Frank Bay found a prior Conoco case whereby Conoco admitted that it sold a certain percent of dedicated producer gas to a third party.  This is contrary to the damage position Conoco has taken in its case against NNG.  With this finding, NNG reversed the remaining $3 mm reserve in the first quarter of 1997.  Oral arguments were held on December 4, 1997 and per discussions with Frank Bay, arguments sounded positive.  Conoco requested rehearing on May 28, 1998.  During the third quarter of 1998, the Texas Supreme Court granted rehearing on one issue.  A new trial will be initiated unrelated to the original suit.  This new trial will focus on the issue of “good faith” in the contract term, but does not cover the breach of contract issue.  On October 22, 1998, the Texas Supreme Court reversed its prior conclusion on the item of “bad faith”.  The Texas Supreme Court has remanded the case to the trial court in Midland.  NNG was charged with two items in the original filing, breach of contract and bad faith, for which Conoco sued for approximately $21mm.  Since the breach of contract was dismissed and only the bad faith item remains, NNG’s internal counsel’s initial assessment was $10mm (see separate memo in the 1998 Business Audit Binder Tab 19).  NNG hired new outside counsel in Midland to review the case.  However, on March 12, 1999, NNG received outside counsel’s (Robbin Gibbs) estimate of exposure as being in the $1-2mm range.  Furthermore, Conoco expressed an interest to settle.  As such, NNG reversed $9mm of its reserve recorded in 1998.  NNG reflected this reserve reversal in its 1998 financial statements; however, Enron management determined it to be not material enough to warrant reissuance of Enron Corp.’s 1998 financial statements.  NNG filed motion for summary judgement (in effort to have the case thrown out of court) but was denied in September 1999.  The trial date was set for January 2000 but was then subsequently extended to August 7, 2000.  In the second quarter of 2000, NNG increases the reserve by $2 million for a total reserve of $3 million due to a settlement offer proposed by NNG.  In the third quarter, NNG settled the case out of court for consideration of $3 million and an asset valued at approximately $117,000.  At the time of settlement, NNG had reserved $3 million in relation to the litigation. </w:t>
      </w:r>
      <w:r>
        <w:br w:type="page"/>
      </w:r>
    </w:p>
    <w:p>
      <w:pPr>
        <w:pStyle w:val="Heading2"/>
        <w:ind w:hanging="0" w:start="0"/>
        <w:rPr>
          <w:sz w:val="20"/>
        </w:rPr>
      </w:pPr>
      <w:r>
        <w:rPr>
          <w:sz w:val="20"/>
        </w:rPr>
        <w:t>All Enron Pipelines:</w:t>
      </w:r>
    </w:p>
    <w:p>
      <w:pPr>
        <w:pStyle w:val="Normal"/>
        <w:rPr>
          <w:sz w:val="20"/>
        </w:rPr>
      </w:pPr>
      <w:r>
        <w:rPr>
          <w:sz w:val="20"/>
        </w:rPr>
      </w:r>
    </w:p>
    <w:p>
      <w:pPr>
        <w:pStyle w:val="Normal"/>
        <w:rPr>
          <w:sz w:val="20"/>
        </w:rPr>
      </w:pPr>
      <w:r>
        <w:rPr>
          <w:sz w:val="20"/>
        </w:rPr>
        <w:t>Grynberg –</w:t>
      </w:r>
    </w:p>
    <w:p>
      <w:pPr>
        <w:pStyle w:val="Normal"/>
        <w:rPr>
          <w:sz w:val="20"/>
        </w:rPr>
      </w:pPr>
      <w:r>
        <w:rPr>
          <w:sz w:val="20"/>
        </w:rPr>
      </w:r>
    </w:p>
    <w:p>
      <w:pPr>
        <w:pStyle w:val="BodyText"/>
        <w:rPr>
          <w:sz w:val="20"/>
        </w:rPr>
      </w:pPr>
      <w:r>
        <w:rPr>
          <w:sz w:val="20"/>
        </w:rPr>
        <w:t xml:space="preserve">Jack Grynberg (also the party in JJ-CC, Ltd, above) has taken legal action against numerous natural gas pipelines relating to the alleged mismeasurement of gas to the detriment of producers.  This action impacts both NNG and TW.  Management and inside counsel for both pipelines feel Mr. Grynberg’s claim is completely unfounded, and it is too early to estimate damages, if any.  Based on above, we concur with the client’s decision not to record a reserve and not to disclose in NNG’s, TW’s or Enron Corp.’s financial statements. </w:t>
      </w:r>
    </w:p>
    <w:p>
      <w:pPr>
        <w:pStyle w:val="Normal"/>
        <w:rPr>
          <w:sz w:val="20"/>
        </w:rPr>
      </w:pPr>
      <w:r>
        <w:rPr>
          <w:sz w:val="20"/>
        </w:rPr>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cs="Times New Roman"/>
        </w:rPr>
      </w:pPr>
      <w:r>
        <w:rPr>
          <w:rFonts w:cs="Times New Roman" w:ascii="Times New Roman" w:hAnsi="Times New Roman"/>
        </w:rPr>
        <w:t>Quinque (a.k.a. Ditto) –</w:t>
      </w:r>
    </w:p>
    <w:p>
      <w:pPr>
        <w:pStyle w:val="Normal"/>
        <w:rPr>
          <w:rFonts w:ascii="Times New Roman" w:hAnsi="Times New Roman" w:cs="Times New Roman"/>
          <w:sz w:val="20"/>
        </w:rPr>
      </w:pPr>
      <w:r>
        <w:rPr>
          <w:rFonts w:cs="Times New Roman"/>
          <w:sz w:val="20"/>
        </w:rPr>
      </w:r>
    </w:p>
    <w:p>
      <w:pPr>
        <w:pStyle w:val="BodyText"/>
        <w:rPr>
          <w:sz w:val="20"/>
        </w:rPr>
      </w:pPr>
      <w:r>
        <w:rPr>
          <w:sz w:val="20"/>
        </w:rPr>
        <w:t xml:space="preserve">This case is very similar to the Grynberg case (pipelines have manipulated gas measurements to the detriment of producers) except that this case relates to state and private lands whereas the Grynberg case relates to federal and Indian lands.  The plaintiffs are from Kansas and have filed the case in Kansas’ state court.  Once again, management feels confident in the strengths of their legal arguments, and we concur with the client’s decision not to record a reserve and not to disclose in NNG’s, TW’s or Enron Corp.’s financial statements. </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pBdr>
          <w:top w:val="single" w:sz="6" w:space="1" w:color="000000"/>
          <w:left w:val="single" w:sz="6" w:space="1" w:color="000000"/>
          <w:bottom w:val="single" w:sz="6" w:space="1" w:color="000000"/>
          <w:right w:val="single" w:sz="6" w:space="1" w:color="000000"/>
        </w:pBdr>
        <w:jc w:val="center"/>
        <w:rPr>
          <w:sz w:val="20"/>
          <w:u w:val="single"/>
        </w:rPr>
      </w:pPr>
      <w:r>
        <w:rPr>
          <w:sz w:val="20"/>
        </w:rPr>
        <w:t>ENVIRONMENTAL</w:t>
      </w:r>
    </w:p>
    <w:p>
      <w:pPr>
        <w:pStyle w:val="Normal"/>
        <w:rPr>
          <w:sz w:val="20"/>
          <w:u w:val="single"/>
        </w:rPr>
      </w:pPr>
      <w:r>
        <w:rPr>
          <w:sz w:val="20"/>
          <w:u w:val="single"/>
        </w:rPr>
      </w:r>
    </w:p>
    <w:p>
      <w:pPr>
        <w:pStyle w:val="Normal"/>
        <w:rPr>
          <w:sz w:val="20"/>
        </w:rPr>
      </w:pPr>
      <w:r>
        <w:rPr>
          <w:b/>
          <w:sz w:val="20"/>
        </w:rPr>
        <w:t>Enron Liquids Facilities:</w:t>
      </w:r>
    </w:p>
    <w:p>
      <w:pPr>
        <w:pStyle w:val="Normal"/>
        <w:rPr>
          <w:sz w:val="20"/>
        </w:rPr>
      </w:pPr>
      <w:r>
        <w:rPr>
          <w:sz w:val="20"/>
        </w:rPr>
      </w:r>
    </w:p>
    <w:p>
      <w:pPr>
        <w:pStyle w:val="BodyText"/>
        <w:rPr>
          <w:sz w:val="20"/>
        </w:rPr>
      </w:pPr>
      <w:r>
        <w:rPr>
          <w:sz w:val="20"/>
        </w:rPr>
        <w:t xml:space="preserve">These entities were sold during the first quarter 1997.  Enron did not retain any liabilities associated with the sale of Enron Liquids Pipeline Company (ELPC) and Enron Louisiana Energy Co. (ELEC) to Kinder-Morgan.  Enron Gas Processing (EGP – consists mostly of the Bushton facility) was sold To KNI Processing (a subsidiary of KN Energy) with the following indemnities (five year term).  The first layer of claims, up to $3mm, is Enron’s responsibility.  The second layer, an additional $2mm, is KNI’s responsibility.  The next layer, up to an additional $10mm, is shared equally by Enron and KNI.  Beyond that, the responsibility is KNI.  In 1998, Enron had not given any money to Kinder-Morgan with respect to the layers, but in 1999, Enron reimbursed KNI $.1mm for costs of verifying that nothing more was required to be done.  There is a potential claim of groundwater contamination; however, there is no direct evidence of contamination in the area.  KNI had considered buying the land adjacent to the area for $1-2mm (in which Enron offered to split the cost of the purchase with Kinder-Morgan) as a defensive measure, but the landowners were not interested in selling. No material claims have been made by KNI in 2000.  As such, Counsel believes this estimated liability is minimal to Enron Corp.’s overall financial position, disclosure and/or accrual will not be proposed.  We concur with management’s position. </w:t>
      </w:r>
    </w:p>
    <w:p>
      <w:pPr>
        <w:pStyle w:val="Normal"/>
        <w:rPr>
          <w:sz w:val="20"/>
        </w:rPr>
      </w:pPr>
      <w:r>
        <w:rPr>
          <w:sz w:val="20"/>
        </w:rPr>
      </w:r>
      <w:r>
        <w:br w:type="page"/>
      </w:r>
    </w:p>
    <w:p>
      <w:pPr>
        <w:pStyle w:val="Normal"/>
        <w:rPr>
          <w:b/>
          <w:sz w:val="20"/>
        </w:rPr>
      </w:pPr>
      <w:r>
        <w:rPr>
          <w:b/>
          <w:sz w:val="20"/>
        </w:rPr>
        <w:t>Enron Gas Processing:</w:t>
      </w:r>
    </w:p>
    <w:p>
      <w:pPr>
        <w:pStyle w:val="BodyText"/>
        <w:rPr>
          <w:b/>
          <w:sz w:val="20"/>
        </w:rPr>
      </w:pPr>
      <w:r>
        <w:rPr>
          <w:b/>
          <w:sz w:val="20"/>
        </w:rPr>
      </w:r>
    </w:p>
    <w:p>
      <w:pPr>
        <w:pStyle w:val="BodyText"/>
        <w:rPr>
          <w:sz w:val="20"/>
        </w:rPr>
      </w:pPr>
      <w:r>
        <w:rPr>
          <w:sz w:val="20"/>
        </w:rPr>
        <w:t xml:space="preserve">The Brooker Plant in Florida was one of the facilities not sold during the first quarter 1997.  By order dated June 27, 1995, the Florida Department of Environmental Protection approved a remedial action plan for this plant.  Soil and groundwater at the plant site had been impacted by historical releases of hydrocarbons from the now inactive liquids extraction plant.  Site remedial work commenced in 1996 and was expected to continue through 2005 at a total cost of approximately $4.0mm ($.6mm had been proposed to extend the remediation from 2000 through 2005. This amount would have been used for monitoring expenses rather than the purchase of more equipment.).  As such, Counsel believes this estimated liability is minimal to Enron Corp.’s overall financial position and disclosure and/or accrual will not be proposed.  We concur with management’s position. Total cost over the life of the project is still estimated to be $4.0mm as of September 30, 2000.  </w:t>
      </w:r>
    </w:p>
    <w:p>
      <w:pPr>
        <w:pStyle w:val="Normal"/>
        <w:rPr>
          <w:sz w:val="20"/>
        </w:rPr>
      </w:pPr>
      <w:r>
        <w:rPr>
          <w:sz w:val="20"/>
        </w:rPr>
        <w:t xml:space="preserve"> </w:t>
      </w:r>
    </w:p>
    <w:p>
      <w:pPr>
        <w:pStyle w:val="Normal"/>
        <w:rPr>
          <w:sz w:val="20"/>
        </w:rPr>
      </w:pPr>
      <w:r>
        <w:rPr>
          <w:b/>
          <w:sz w:val="20"/>
        </w:rPr>
        <w:t>Transwestern Pipeline:</w:t>
      </w:r>
    </w:p>
    <w:p>
      <w:pPr>
        <w:pStyle w:val="Normal"/>
        <w:rPr>
          <w:sz w:val="20"/>
        </w:rPr>
      </w:pPr>
      <w:r>
        <w:rPr>
          <w:sz w:val="20"/>
        </w:rPr>
      </w:r>
    </w:p>
    <w:p>
      <w:pPr>
        <w:pStyle w:val="BodyText"/>
        <w:rPr>
          <w:sz w:val="20"/>
        </w:rPr>
      </w:pPr>
      <w:r>
        <w:rPr>
          <w:sz w:val="20"/>
        </w:rPr>
        <w:t xml:space="preserve">Groundwater Remediation – Groundwater remediation related to WT1, Roswell, Laguna, Thoreau, and other TW sites has an expected cost of approximately $0.9mm, $1.7mm, $1.6mm, $0.7mm, and $0.4mm for the years 2000, 2001, 2002, 2003, and 2004, respectively.  From 2000 through 2010, the expected total cost is approximated to reach between $11mm to $16mm. The costs of remediation are partly capital in nature (betterments or additions of new equipment), and the rest will be expensed as operating and maintenance items during the period incurred.  As these amounts are capital and operational type expenses, disclosure and/or accrual will not be proposed. </w:t>
      </w:r>
    </w:p>
    <w:p>
      <w:pPr>
        <w:pStyle w:val="Normal"/>
        <w:rPr>
          <w:b/>
          <w:sz w:val="20"/>
        </w:rPr>
      </w:pPr>
      <w:r>
        <w:rPr>
          <w:b/>
          <w:sz w:val="20"/>
        </w:rPr>
      </w:r>
    </w:p>
    <w:p>
      <w:pPr>
        <w:pStyle w:val="BodyText"/>
        <w:rPr>
          <w:sz w:val="20"/>
        </w:rPr>
      </w:pPr>
      <w:r>
        <w:rPr>
          <w:sz w:val="20"/>
        </w:rPr>
        <w:t xml:space="preserve">Ivanhoe Asset Sale – TW has entered into a sale of the Ivanhoe Assets with KN Energy.  TW has agreed to retain the liability for environmental contamination remediation that is ongoing.  Internal Counsel estimates the cost to be approximately $0.5mm, $1.4mm, $0.4mm, $0.4mm, and $0.4mm for the years 2000, 2001, 2002, 2003, and 2004, respectively . The costs of remediation are partly capital in nature (equipment), but most will be expensed as operating and maintenance items.  Counsel believes this estimated liability is minimal to TW’s overall financial position, disclosure and/or accrual will not be proposed.  We concur with management’s position. </w:t>
      </w:r>
    </w:p>
    <w:p>
      <w:pPr>
        <w:pStyle w:val="Normal"/>
        <w:rPr>
          <w:sz w:val="20"/>
        </w:rPr>
      </w:pPr>
      <w:r>
        <w:rPr>
          <w:sz w:val="20"/>
        </w:rPr>
      </w:r>
    </w:p>
    <w:p>
      <w:pPr>
        <w:pStyle w:val="Normal"/>
        <w:rPr>
          <w:sz w:val="20"/>
        </w:rPr>
      </w:pPr>
      <w:r>
        <w:rPr>
          <w:b/>
          <w:sz w:val="20"/>
        </w:rPr>
        <w:t>Northern Natural Gas:</w:t>
      </w:r>
    </w:p>
    <w:p>
      <w:pPr>
        <w:pStyle w:val="Normal"/>
        <w:rPr>
          <w:sz w:val="20"/>
        </w:rPr>
      </w:pPr>
      <w:r>
        <w:rPr>
          <w:sz w:val="20"/>
        </w:rPr>
      </w:r>
    </w:p>
    <w:p>
      <w:pPr>
        <w:pStyle w:val="BodyText"/>
        <w:rPr>
          <w:sz w:val="20"/>
        </w:rPr>
      </w:pPr>
      <w:r>
        <w:rPr>
          <w:sz w:val="20"/>
        </w:rPr>
        <w:t xml:space="preserve">Groundwater Remediation – Groundwater remediation related to the Gomez Plant, Lockridge Plant, and Eunice station has an expected cost of approximately $0.2mm, $0.3mm, $0.2mm, $0.1mm, and $0.1mm for the years 2000, 2001, 2002, 2003, and 2004, respectively. The costs of remediation are partly capital in nature (betterments or additions of new equipment), and the rest will be expensed as operating and maintenance items during the period incurred.  As these amounts are capital and operational type expenses, disclosure and/or accrual will not be proposed. </w:t>
      </w:r>
    </w:p>
    <w:p>
      <w:pPr>
        <w:pStyle w:val="Normal"/>
        <w:rPr>
          <w:sz w:val="20"/>
        </w:rPr>
      </w:pPr>
      <w:r>
        <w:rPr>
          <w:sz w:val="20"/>
        </w:rPr>
      </w:r>
      <w:r>
        <w:br w:type="page"/>
      </w:r>
    </w:p>
    <w:p>
      <w:pPr>
        <w:pStyle w:val="Normal"/>
        <w:rPr>
          <w:b/>
          <w:sz w:val="20"/>
        </w:rPr>
      </w:pPr>
      <w:r>
        <w:rPr>
          <w:b/>
          <w:sz w:val="20"/>
        </w:rPr>
        <w:t>Clean Fuels:</w:t>
      </w:r>
    </w:p>
    <w:p>
      <w:pPr>
        <w:pStyle w:val="Normal"/>
        <w:rPr>
          <w:b/>
          <w:sz w:val="20"/>
        </w:rPr>
      </w:pPr>
      <w:r>
        <w:rPr>
          <w:b/>
          <w:sz w:val="20"/>
        </w:rPr>
      </w:r>
    </w:p>
    <w:p>
      <w:pPr>
        <w:pStyle w:val="BodyText"/>
        <w:rPr>
          <w:sz w:val="20"/>
        </w:rPr>
      </w:pPr>
      <w:r>
        <w:rPr>
          <w:sz w:val="20"/>
        </w:rPr>
        <w:t xml:space="preserve">No items of significance were noted in our discussions with Enron Corp. Counsel. </w:t>
      </w:r>
    </w:p>
    <w:p>
      <w:pPr>
        <w:pStyle w:val="Normal"/>
        <w:rPr>
          <w:sz w:val="20"/>
        </w:rPr>
      </w:pPr>
      <w:r>
        <w:rPr>
          <w:sz w:val="20"/>
        </w:rPr>
      </w:r>
    </w:p>
    <w:p>
      <w:pPr>
        <w:pStyle w:val="Heading1"/>
        <w:ind w:hanging="0" w:start="0"/>
        <w:rPr>
          <w:b w:val="false"/>
          <w:sz w:val="20"/>
        </w:rPr>
      </w:pPr>
      <w:r>
        <w:rPr>
          <w:sz w:val="20"/>
        </w:rPr>
        <w:t>ETS/EVC:</w:t>
      </w:r>
    </w:p>
    <w:p>
      <w:pPr>
        <w:pStyle w:val="Normal"/>
        <w:rPr>
          <w:b/>
          <w:sz w:val="20"/>
        </w:rPr>
      </w:pPr>
      <w:r>
        <w:rPr>
          <w:b/>
          <w:sz w:val="20"/>
        </w:rPr>
      </w:r>
    </w:p>
    <w:p>
      <w:pPr>
        <w:pStyle w:val="BodyText"/>
        <w:rPr>
          <w:sz w:val="20"/>
        </w:rPr>
      </w:pPr>
      <w:r>
        <w:rPr>
          <w:sz w:val="20"/>
        </w:rPr>
        <w:t xml:space="preserve">Clean Air Act – GPG has currently estimated the potential environmental costs associated with the implementation of the latest revisions to the Clean Air Act (includes Clean Fuels).  The $95.7mm estimate for the installation of pollution control equipment on engines and turbines is based on recent discussions with the EPA and interpretations of new regulations.  Significant costs must be incurred to convert older engines to electric engines.  Since development of the regulations began, the natural gas transmission industry has intensively lobbied the EPA to reduce these costs.  As the $95.7mm in costs are capital in nature (provide future benefit), disclosure and/or accrual will not be proposed. </w:t>
      </w:r>
    </w:p>
    <w:p>
      <w:pPr>
        <w:pStyle w:val="Normal"/>
        <w:rPr>
          <w:sz w:val="20"/>
        </w:rPr>
      </w:pPr>
      <w:r>
        <w:rPr>
          <w:sz w:val="20"/>
        </w:rPr>
      </w:r>
    </w:p>
    <w:p>
      <w:pPr>
        <w:pStyle w:val="BodyText"/>
        <w:rPr>
          <w:sz w:val="20"/>
        </w:rPr>
      </w:pPr>
      <w:r>
        <w:rPr>
          <w:sz w:val="20"/>
        </w:rPr>
        <w:t xml:space="preserve">Superfund – Per Enron Corp. Counsel, one of its locations in Cleveland, the City-Porpus site, is a potential Superfund site.  The current estimate for ETS remediation efforts is $0.3mm to $0.4mm. Counsel believes this estimated liability is minimal to ETS’s overall financial position, disclosure and/or accrual will not be proposed.  </w:t>
      </w:r>
    </w:p>
    <w:p>
      <w:pPr>
        <w:pStyle w:val="Normal"/>
        <w:rPr>
          <w:sz w:val="20"/>
        </w:rPr>
      </w:pPr>
      <w:r>
        <w:rPr>
          <w:sz w:val="20"/>
        </w:rPr>
      </w:r>
    </w:p>
    <w:p>
      <w:pPr>
        <w:pStyle w:val="Normal"/>
        <w:pBdr>
          <w:top w:val="single" w:sz="6" w:space="1" w:color="000000"/>
          <w:left w:val="single" w:sz="6" w:space="1" w:color="000000"/>
          <w:bottom w:val="single" w:sz="6" w:space="1" w:color="000000"/>
          <w:right w:val="single" w:sz="6" w:space="1" w:color="000000"/>
        </w:pBdr>
        <w:jc w:val="center"/>
        <w:rPr>
          <w:sz w:val="20"/>
          <w:u w:val="single"/>
        </w:rPr>
      </w:pPr>
      <w:r>
        <w:rPr>
          <w:sz w:val="20"/>
        </w:rPr>
        <w:t>REGULATORY</w:t>
      </w:r>
    </w:p>
    <w:p>
      <w:pPr>
        <w:pStyle w:val="Normal"/>
        <w:rPr>
          <w:sz w:val="20"/>
          <w:u w:val="single"/>
        </w:rPr>
      </w:pPr>
      <w:r>
        <w:rPr>
          <w:sz w:val="20"/>
          <w:u w:val="single"/>
        </w:rPr>
      </w:r>
    </w:p>
    <w:p>
      <w:pPr>
        <w:pStyle w:val="Normal"/>
        <w:rPr>
          <w:sz w:val="20"/>
        </w:rPr>
      </w:pPr>
      <w:r>
        <w:rPr>
          <w:b/>
          <w:sz w:val="20"/>
        </w:rPr>
        <w:t>Northern Natural Gas:</w:t>
      </w:r>
    </w:p>
    <w:p>
      <w:pPr>
        <w:pStyle w:val="BodyText"/>
        <w:rPr>
          <w:sz w:val="20"/>
        </w:rPr>
      </w:pPr>
      <w:r>
        <w:rPr>
          <w:sz w:val="20"/>
        </w:rPr>
        <w:t xml:space="preserve"> </w:t>
      </w:r>
    </w:p>
    <w:p>
      <w:pPr>
        <w:pStyle w:val="BodyText"/>
        <w:rPr>
          <w:sz w:val="20"/>
        </w:rPr>
      </w:pPr>
      <w:r>
        <w:rPr>
          <w:sz w:val="20"/>
        </w:rPr>
        <w:t xml:space="preserve">NNG is a regulated enterprise whose operations fall under the provisions of SFAS No. 71.  Due to increasing competition and market based rates, there is a concern that companies are no longer meeting the SFAS No. 71 criteria and should discontinue the application of SFAS No. 71 and eliminate from the balance sheet the deferred assets and liabilities resulting from the effects of regulation.  The risk is the appropriateness of deferred assets/liabilities on the balance sheet and the income statement impact if NNG is no longer meeting the criteria for application of SFAS No. 71.  </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cs="Times New Roman"/>
          <w:sz w:val="20"/>
        </w:rPr>
      </w:pPr>
      <w:r>
        <w:rPr>
          <w:rFonts w:cs="Times New Roman" w:ascii="Times New Roman" w:hAnsi="Times New Roman"/>
          <w:sz w:val="20"/>
        </w:rPr>
      </w:r>
    </w:p>
    <w:p>
      <w:pPr>
        <w:pStyle w:val="Normal"/>
        <w:rPr>
          <w:b/>
          <w:sz w:val="20"/>
        </w:rPr>
      </w:pPr>
      <w:r>
        <w:rPr>
          <w:b/>
          <w:sz w:val="20"/>
        </w:rPr>
        <w:t xml:space="preserve">Transwestern Pipeline:   </w:t>
      </w:r>
    </w:p>
    <w:p>
      <w:pPr>
        <w:pStyle w:val="Normal"/>
        <w:rPr>
          <w:b/>
          <w:sz w:val="20"/>
        </w:rPr>
      </w:pPr>
      <w:r>
        <w:rPr>
          <w:b/>
          <w:sz w:val="20"/>
        </w:rPr>
      </w:r>
    </w:p>
    <w:p>
      <w:pPr>
        <w:pStyle w:val="BodyText"/>
        <w:rPr/>
      </w:pPr>
      <w:r>
        <w:rPr>
          <w:sz w:val="20"/>
        </w:rPr>
        <w:t>As with NNG, there is a risk that TW is no longer meeting the criteria for application of SFAS No. 71, calling into question the appropriateness of deferred assets/liabilities on the balance sheet and their related income statement impact.  TW filed their last rate adjustment (Mini Settlement) in November 1996, and is not required to file a rate case until November 1, 2006.  Since TW is not required to file for a rate adjustment for another 7 years, we requested a regulatory asset recovery analysis in 1998 similar to the one we reviewed in 1996.</w:t>
      </w:r>
      <w:r>
        <w:rPr/>
        <w:t xml:space="preserve"> </w:t>
      </w:r>
    </w:p>
    <w:p>
      <w:pPr>
        <w:pStyle w:val="Normal"/>
        <w:rPr>
          <w:sz w:val="20"/>
        </w:rPr>
      </w:pPr>
      <w:r>
        <w:rPr>
          <w:sz w:val="20"/>
        </w:rPr>
      </w:r>
    </w:p>
    <w:p>
      <w:pPr>
        <w:pStyle w:val="Normal"/>
        <w:rPr>
          <w:sz w:val="20"/>
        </w:rPr>
      </w:pPr>
      <w:r>
        <w:rPr>
          <w:sz w:val="20"/>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1195" w:top="2160" w:footer="1382" w:bottom="1699"/>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nl-NL"/>
      </w:rPr>
    </w:pPr>
    <w:bookmarkStart w:id="1" w:name="Logo2nd"/>
    <w:bookmarkEnd w:id="1"/>
    <w:r>
      <w:rPr>
        <w:lang w:val="nl-NL"/>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nl-NL"/>
      </w:rPr>
    </w:pPr>
    <w:r>
      <w:rPr>
        <w:lang w:val="nl-NL"/>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nl-NL"/>
      </w:rPr>
    </w:pPr>
    <w:bookmarkStart w:id="0" w:name="Logo1st"/>
    <w:bookmarkEnd w:id="0"/>
    <w:r>
      <w:rPr>
        <w:lang w:val="nl-N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283"/>
        </w:tabs>
        <w:ind w:start="283" w:hanging="283"/>
      </w:pPr>
    </w:lvl>
  </w:abstractNum>
  <w:abstractNum w:abstractNumId="13">
    <w:lvl w:ilvl="0">
      <w:start w:val="1"/>
      <w:numFmt w:val="bullet"/>
      <w:lvlText w:val=""/>
      <w:lvlJc w:val="start"/>
      <w:pPr>
        <w:tabs>
          <w:tab w:val="num" w:pos="283"/>
        </w:tabs>
        <w:ind w:start="283" w:hanging="283"/>
      </w:pPr>
      <w:rPr>
        <w:rFonts w:ascii="Symbol" w:hAnsi="Symbol" w:cs="Symbol" w:hint="default"/>
      </w:rPr>
    </w:lvl>
  </w:abstractNum>
  <w:abstractNum w:abstractNumId="14">
    <w:lvl w:ilvl="0">
      <w:start w:val="1"/>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08"/>
        <w:tab w:val="left" w:pos="1134" w:leader="none"/>
      </w:tabs>
      <w:bidi w:val="0"/>
      <w:spacing w:lineRule="atLeast" w:line="28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hd w:fill="FFFFFF" w:val="clear"/>
      <w:spacing w:lineRule="atLeast" w:line="300"/>
      <w:outlineLvl w:val="0"/>
    </w:pPr>
    <w:rPr>
      <w:rFonts w:ascii="Arial" w:hAnsi="Arial" w:cs="Arial"/>
      <w:b/>
      <w:sz w:val="24"/>
    </w:rPr>
  </w:style>
  <w:style w:type="paragraph" w:styleId="Heading2">
    <w:name w:val="heading 2"/>
    <w:basedOn w:val="Normal"/>
    <w:next w:val="Normal"/>
    <w:qFormat/>
    <w:pPr>
      <w:keepNext w:val="true"/>
      <w:numPr>
        <w:ilvl w:val="1"/>
        <w:numId w:val="1"/>
      </w:numPr>
      <w:spacing w:lineRule="atLeast" w:line="240" w:before="240" w:after="0"/>
      <w:outlineLvl w:val="1"/>
    </w:pPr>
    <w:rPr>
      <w:rFonts w:ascii="Arial" w:hAnsi="Arial" w:cs="Arial"/>
      <w:b/>
      <w:sz w:val="18"/>
    </w:rPr>
  </w:style>
  <w:style w:type="paragraph" w:styleId="Heading3">
    <w:name w:val="heading 3"/>
    <w:basedOn w:val="Normal"/>
    <w:next w:val="Normal"/>
    <w:qFormat/>
    <w:pPr>
      <w:keepNext w:val="true"/>
      <w:numPr>
        <w:ilvl w:val="2"/>
        <w:numId w:val="1"/>
      </w:numPr>
      <w:spacing w:lineRule="atLeast" w:line="240" w:before="240" w:after="60"/>
      <w:outlineLvl w:val="2"/>
    </w:pPr>
    <w:rPr>
      <w:rFonts w:ascii="Arial" w:hAnsi="Arial" w:cs="Arial"/>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rFonts w:ascii="Wingdings" w:hAnsi="Wingdings" w:cs="Wingdings"/>
    </w:rPr>
  </w:style>
  <w:style w:type="character" w:styleId="WW8Num22z0">
    <w:name w:val="WW8Num22z0"/>
    <w:qFormat/>
    <w:rPr>
      <w:rFonts w:ascii="Symbol" w:hAnsi="Symbol" w:cs="Symbol"/>
      <w:color w:val="auto"/>
    </w:rPr>
  </w:style>
  <w:style w:type="character" w:styleId="WW8Num24z0">
    <w:name w:val="WW8Num24z0"/>
    <w:qFormat/>
    <w:rPr>
      <w:rFonts w:ascii="Symbol" w:hAnsi="Symbol" w:cs="Symbol"/>
      <w:color w:val="auto"/>
    </w:rPr>
  </w:style>
  <w:style w:type="character" w:styleId="WW8Num25z0">
    <w:name w:val="WW8Num25z0"/>
    <w:qFormat/>
    <w:rPr>
      <w:rFonts w:ascii="Symbol" w:hAnsi="Symbol" w:cs="Symbol"/>
      <w:color w:val="auto"/>
    </w:rPr>
  </w:style>
  <w:style w:type="character" w:styleId="WW8Num26z0">
    <w:name w:val="WW8Num26z0"/>
    <w:qFormat/>
    <w:rPr>
      <w:rFonts w:ascii="Symbol" w:hAnsi="Symbol" w:cs="Symbol"/>
      <w:color w:val="auto"/>
    </w:rPr>
  </w:style>
  <w:style w:type="character" w:styleId="WW8Num27z0">
    <w:name w:val="WW8Num27z0"/>
    <w:qFormat/>
    <w:rPr>
      <w:rFonts w:ascii="Symbol" w:hAnsi="Symbol" w:cs="Symbol"/>
      <w:color w:val="auto"/>
    </w:rPr>
  </w:style>
  <w:style w:type="character" w:styleId="WW8Num30z0">
    <w:name w:val="WW8Num30z0"/>
    <w:qFormat/>
    <w:rPr>
      <w:rFonts w:ascii="Symbol" w:hAnsi="Symbol" w:cs="Symbol"/>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sz w:val="16"/>
    </w:rPr>
  </w:style>
  <w:style w:type="character" w:styleId="WW8Num36z0">
    <w:name w:val="WW8Num36z0"/>
    <w:qFormat/>
    <w:rPr>
      <w:rFonts w:ascii="Symbol" w:hAnsi="Symbol" w:cs="Symbol"/>
      <w:color w:val="auto"/>
    </w:rPr>
  </w:style>
  <w:style w:type="character" w:styleId="WW8Num37z0">
    <w:name w:val="WW8Num37z0"/>
    <w:qFormat/>
    <w:rPr>
      <w:rFonts w:ascii="Symbol" w:hAnsi="Symbol" w:cs="Symbol"/>
      <w:color w:val="auto"/>
    </w:rPr>
  </w:style>
  <w:style w:type="character" w:styleId="WW8Num38z0">
    <w:name w:val="WW8Num38z0"/>
    <w:qFormat/>
    <w:rPr>
      <w:rFonts w:ascii="Symbol" w:hAnsi="Symbol" w:cs="Symbol"/>
      <w:color w:val="auto"/>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3z0">
    <w:name w:val="WW8Num43z0"/>
    <w:qFormat/>
    <w:rPr>
      <w:rFonts w:ascii="Symbol" w:hAnsi="Symbol" w:cs="Symbol"/>
      <w:color w:val="auto"/>
    </w:rPr>
  </w:style>
  <w:style w:type="character" w:styleId="WW8Num45z0">
    <w:name w:val="WW8Num45z0"/>
    <w:qFormat/>
    <w:rPr>
      <w:rFonts w:ascii="Symbol" w:hAnsi="Symbol" w:cs="Symbol"/>
    </w:rPr>
  </w:style>
  <w:style w:type="character" w:styleId="WW8Num47z0">
    <w:name w:val="WW8Num47z0"/>
    <w:qFormat/>
    <w:rPr>
      <w:rFonts w:ascii="Symbol" w:hAnsi="Symbol" w:cs="Symbol"/>
      <w:color w:val="auto"/>
    </w:rPr>
  </w:style>
  <w:style w:type="character" w:styleId="WW8Num48z0">
    <w:name w:val="WW8Num48z0"/>
    <w:qFormat/>
    <w:rPr>
      <w:rFonts w:ascii="Symbol" w:hAnsi="Symbol" w:cs="Symbol"/>
      <w:color w:val="auto"/>
    </w:rPr>
  </w:style>
  <w:style w:type="character" w:styleId="WW8Num49z0">
    <w:name w:val="WW8Num49z0"/>
    <w:qFormat/>
    <w:rPr>
      <w:rFonts w:ascii="Symbol" w:hAnsi="Symbol" w:cs="Symbol"/>
      <w:color w:val="auto"/>
    </w:rPr>
  </w:style>
  <w:style w:type="character" w:styleId="DefaultParagraphFont">
    <w:name w:val="Default Paragraph Font"/>
    <w:qFormat/>
    <w:rPr/>
  </w:style>
  <w:style w:type="character" w:styleId="AAAddress">
    <w:name w:val="AA Address"/>
    <w:basedOn w:val="DefaultParagraphFont"/>
    <w:qFormat/>
    <w:rPr>
      <w:rFonts w:ascii="Arial" w:hAnsi="Arial" w:cs="Arial"/>
      <w:strike w:val="false"/>
      <w:dstrike w:val="false"/>
      <w:color w:val="auto"/>
      <w:spacing w:val="0"/>
      <w:w w:val="100"/>
      <w:position w:val="0"/>
      <w:sz w:val="14"/>
      <w:sz w:val="14"/>
      <w:u w:val="none"/>
      <w:vertAlign w:val="baseline"/>
      <w:lang w:val="en-US"/>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Header">
    <w:name w:val="header"/>
    <w:basedOn w:val="Normal"/>
    <w:pPr>
      <w:tabs>
        <w:tab w:val="left" w:pos="1134" w:leader="none"/>
        <w:tab w:val="center" w:pos="4536" w:leader="none"/>
        <w:tab w:val="right" w:pos="9072" w:leader="none"/>
      </w:tabs>
    </w:pPr>
    <w:rPr/>
  </w:style>
  <w:style w:type="paragraph" w:styleId="Footer">
    <w:name w:val="footer"/>
    <w:basedOn w:val="Normal"/>
    <w:pPr>
      <w:tabs>
        <w:tab w:val="left" w:pos="1134" w:leader="none"/>
        <w:tab w:val="center" w:pos="4536" w:leader="none"/>
        <w:tab w:val="right" w:pos="9072" w:leader="none"/>
      </w:tabs>
    </w:pPr>
    <w:rPr/>
  </w:style>
  <w:style w:type="paragraph" w:styleId="ListBullet">
    <w:name w:val="List Bullet"/>
    <w:basedOn w:val="Normal"/>
    <w:qFormat/>
    <w:pPr>
      <w:numPr>
        <w:ilvl w:val="0"/>
        <w:numId w:val="11"/>
      </w:numPr>
      <w:tabs>
        <w:tab w:val="left" w:pos="284" w:leader="none"/>
        <w:tab w:val="left" w:pos="1134" w:leader="none"/>
      </w:tabs>
      <w:ind w:hanging="284" w:start="284" w:end="0"/>
    </w:pPr>
    <w:rPr/>
  </w:style>
  <w:style w:type="paragraph" w:styleId="ListBullet2">
    <w:name w:val="List Bullet 2"/>
    <w:basedOn w:val="Normal"/>
    <w:qFormat/>
    <w:pPr>
      <w:numPr>
        <w:ilvl w:val="0"/>
        <w:numId w:val="9"/>
      </w:numPr>
      <w:tabs>
        <w:tab w:val="left" w:pos="567" w:leader="none"/>
        <w:tab w:val="left" w:pos="1134" w:leader="none"/>
      </w:tabs>
      <w:ind w:hanging="284" w:start="851" w:end="0"/>
    </w:pPr>
    <w:rPr/>
  </w:style>
  <w:style w:type="paragraph" w:styleId="ListBullet3">
    <w:name w:val="List Bullet 3"/>
    <w:basedOn w:val="Normal"/>
    <w:qFormat/>
    <w:pPr>
      <w:numPr>
        <w:ilvl w:val="0"/>
        <w:numId w:val="8"/>
      </w:numPr>
      <w:tabs>
        <w:tab w:val="left" w:pos="851" w:leader="none"/>
        <w:tab w:val="left" w:pos="1134" w:leader="none"/>
      </w:tabs>
      <w:ind w:hanging="284" w:start="1135" w:end="0"/>
    </w:pPr>
    <w:rPr/>
  </w:style>
  <w:style w:type="paragraph" w:styleId="ListBullet4">
    <w:name w:val="List Bullet 4"/>
    <w:basedOn w:val="Normal"/>
    <w:qFormat/>
    <w:pPr>
      <w:numPr>
        <w:ilvl w:val="0"/>
        <w:numId w:val="7"/>
      </w:numPr>
      <w:ind w:hanging="284" w:start="1418" w:end="0"/>
    </w:pPr>
    <w:rPr/>
  </w:style>
  <w:style w:type="paragraph" w:styleId="ListNumber">
    <w:name w:val="List Number"/>
    <w:basedOn w:val="Normal"/>
    <w:qFormat/>
    <w:pPr>
      <w:numPr>
        <w:ilvl w:val="0"/>
        <w:numId w:val="10"/>
      </w:numPr>
      <w:tabs>
        <w:tab w:val="left" w:pos="284" w:leader="none"/>
        <w:tab w:val="left" w:pos="1134" w:leader="none"/>
      </w:tabs>
      <w:ind w:hanging="284" w:start="284" w:end="0"/>
    </w:pPr>
    <w:rPr/>
  </w:style>
  <w:style w:type="paragraph" w:styleId="ListNumber2">
    <w:name w:val="List Number 2"/>
    <w:basedOn w:val="Normal"/>
    <w:qFormat/>
    <w:pPr>
      <w:numPr>
        <w:ilvl w:val="0"/>
        <w:numId w:val="5"/>
      </w:numPr>
      <w:tabs>
        <w:tab w:val="left" w:pos="567" w:leader="none"/>
        <w:tab w:val="left" w:pos="1134" w:leader="none"/>
      </w:tabs>
      <w:ind w:hanging="284" w:start="851" w:end="0"/>
    </w:pPr>
    <w:rPr/>
  </w:style>
  <w:style w:type="paragraph" w:styleId="ListNumber3">
    <w:name w:val="List Number 3"/>
    <w:basedOn w:val="Normal"/>
    <w:qFormat/>
    <w:pPr>
      <w:numPr>
        <w:ilvl w:val="0"/>
        <w:numId w:val="4"/>
      </w:numPr>
      <w:tabs>
        <w:tab w:val="left" w:pos="851" w:leader="none"/>
        <w:tab w:val="left" w:pos="1134" w:leader="none"/>
      </w:tabs>
      <w:ind w:hanging="284" w:start="1135" w:end="0"/>
    </w:pPr>
    <w:rPr/>
  </w:style>
  <w:style w:type="paragraph" w:styleId="NormalIndent">
    <w:name w:val="Normal Indent"/>
    <w:basedOn w:val="Normal"/>
    <w:qFormat/>
    <w:pPr>
      <w:ind w:hanging="0" w:start="284" w:end="0"/>
    </w:pPr>
    <w:rPr/>
  </w:style>
  <w:style w:type="paragraph" w:styleId="AAFrameAddress">
    <w:name w:val="AA Frame Address"/>
    <w:basedOn w:val="Heading1"/>
    <w:qFormat/>
    <w:pPr>
      <w:numPr>
        <w:ilvl w:val="0"/>
        <w:numId w:val="0"/>
      </w:numPr>
      <w:shd w:fill="auto" w:val="clear"/>
      <w:spacing w:lineRule="auto" w:line="240" w:before="0" w:after="90"/>
      <w:outlineLvl w:val="9"/>
    </w:pPr>
    <w:rPr>
      <w:lang w:val="en-CA"/>
    </w:rPr>
  </w:style>
  <w:style w:type="paragraph" w:styleId="ListNumber5">
    <w:name w:val="List Number 5"/>
    <w:basedOn w:val="Normal"/>
    <w:qFormat/>
    <w:pPr>
      <w:numPr>
        <w:ilvl w:val="0"/>
        <w:numId w:val="2"/>
      </w:numPr>
      <w:tabs>
        <w:tab w:val="left" w:pos="1134" w:leader="none"/>
        <w:tab w:val="left" w:pos="1418" w:leader="none"/>
      </w:tabs>
      <w:ind w:hanging="284" w:start="1418" w:end="0"/>
    </w:pPr>
    <w:rPr/>
  </w:style>
  <w:style w:type="paragraph" w:styleId="ListNumber4">
    <w:name w:val="List Number 4"/>
    <w:basedOn w:val="Normal"/>
    <w:qFormat/>
    <w:pPr>
      <w:numPr>
        <w:ilvl w:val="0"/>
        <w:numId w:val="3"/>
      </w:numPr>
      <w:tabs>
        <w:tab w:val="left" w:pos="1134" w:leader="none"/>
        <w:tab w:val="left" w:pos="1418" w:leader="none"/>
      </w:tabs>
    </w:pPr>
    <w:rPr/>
  </w:style>
  <w:style w:type="paragraph" w:styleId="TableofAuthorities">
    <w:name w:val="Table of Authorities"/>
    <w:basedOn w:val="Normal"/>
    <w:next w:val="Normal"/>
    <w:qFormat/>
    <w:pPr>
      <w:ind w:hanging="284" w:start="284" w:end="0"/>
    </w:pPr>
    <w:rPr/>
  </w:style>
  <w:style w:type="paragraph" w:styleId="Index1">
    <w:name w:val="index 1"/>
    <w:basedOn w:val="Normal"/>
    <w:next w:val="Normal"/>
    <w:pPr>
      <w:ind w:hanging="284" w:start="284" w:end="0"/>
    </w:pPr>
    <w:rPr/>
  </w:style>
  <w:style w:type="paragraph" w:styleId="Index2">
    <w:name w:val="index 2"/>
    <w:basedOn w:val="Normal"/>
    <w:next w:val="Normal"/>
    <w:pPr>
      <w:ind w:hanging="284" w:start="568" w:end="0"/>
    </w:pPr>
    <w:rPr/>
  </w:style>
  <w:style w:type="paragraph" w:styleId="Index3">
    <w:name w:val="index 3"/>
    <w:basedOn w:val="Normal"/>
    <w:next w:val="Normal"/>
    <w:pPr>
      <w:ind w:hanging="284" w:start="851" w:end="0"/>
    </w:pPr>
    <w:rPr/>
  </w:style>
  <w:style w:type="paragraph" w:styleId="Index4">
    <w:name w:val="Index 4"/>
    <w:basedOn w:val="Normal"/>
    <w:next w:val="Normal"/>
    <w:qFormat/>
    <w:pPr>
      <w:ind w:hanging="284" w:start="1135" w:end="0"/>
    </w:pPr>
    <w:rPr/>
  </w:style>
  <w:style w:type="paragraph" w:styleId="Index6">
    <w:name w:val="Index 6"/>
    <w:basedOn w:val="Normal"/>
    <w:next w:val="Normal"/>
    <w:qFormat/>
    <w:pPr>
      <w:ind w:hanging="284" w:start="1702" w:end="0"/>
    </w:pPr>
    <w:rPr/>
  </w:style>
  <w:style w:type="paragraph" w:styleId="Index5">
    <w:name w:val="Index 5"/>
    <w:basedOn w:val="Normal"/>
    <w:next w:val="Normal"/>
    <w:qFormat/>
    <w:pPr>
      <w:ind w:hanging="284" w:start="1418" w:end="0"/>
    </w:pPr>
    <w:rPr/>
  </w:style>
  <w:style w:type="paragraph" w:styleId="Index7">
    <w:name w:val="Index 7"/>
    <w:basedOn w:val="Normal"/>
    <w:next w:val="Normal"/>
    <w:qFormat/>
    <w:pPr>
      <w:ind w:hanging="284" w:start="1985" w:end="0"/>
    </w:pPr>
    <w:rPr/>
  </w:style>
  <w:style w:type="paragraph" w:styleId="Index8">
    <w:name w:val="Index 8"/>
    <w:basedOn w:val="Normal"/>
    <w:next w:val="Normal"/>
    <w:qFormat/>
    <w:pPr>
      <w:ind w:hanging="284" w:start="2269" w:end="0"/>
    </w:pPr>
    <w:rPr/>
  </w:style>
  <w:style w:type="paragraph" w:styleId="Index9">
    <w:name w:val="Index 9"/>
    <w:basedOn w:val="Normal"/>
    <w:next w:val="Normal"/>
    <w:qFormat/>
    <w:pPr>
      <w:ind w:hanging="284" w:start="2552" w:end="0"/>
    </w:pPr>
    <w:rPr/>
  </w:style>
  <w:style w:type="paragraph" w:styleId="TOC2">
    <w:name w:val="toc 2"/>
    <w:basedOn w:val="Normal"/>
    <w:next w:val="Normal"/>
    <w:pPr>
      <w:ind w:hanging="0" w:start="284" w:end="0"/>
    </w:pPr>
    <w:rPr/>
  </w:style>
  <w:style w:type="paragraph" w:styleId="TOC3">
    <w:name w:val="toc 3"/>
    <w:basedOn w:val="Normal"/>
    <w:next w:val="Normal"/>
    <w:pPr>
      <w:ind w:hanging="0" w:start="567" w:end="0"/>
    </w:pPr>
    <w:rPr/>
  </w:style>
  <w:style w:type="paragraph" w:styleId="TOC4">
    <w:name w:val="toc 4"/>
    <w:basedOn w:val="Normal"/>
    <w:next w:val="Normal"/>
    <w:pPr>
      <w:ind w:hanging="0" w:start="851" w:end="0"/>
    </w:pPr>
    <w:rPr/>
  </w:style>
  <w:style w:type="paragraph" w:styleId="TOC5">
    <w:name w:val="toc 5"/>
    <w:basedOn w:val="Normal"/>
    <w:next w:val="Normal"/>
    <w:pPr>
      <w:ind w:hanging="0" w:start="1134" w:end="0"/>
    </w:pPr>
    <w:rPr/>
  </w:style>
  <w:style w:type="paragraph" w:styleId="TOC6">
    <w:name w:val="toc 6"/>
    <w:basedOn w:val="Normal"/>
    <w:next w:val="Normal"/>
    <w:pPr>
      <w:ind w:hanging="0" w:start="1418" w:end="0"/>
    </w:pPr>
    <w:rPr/>
  </w:style>
  <w:style w:type="paragraph" w:styleId="TOC7">
    <w:name w:val="toc 7"/>
    <w:basedOn w:val="Normal"/>
    <w:next w:val="Normal"/>
    <w:pPr>
      <w:ind w:hanging="0" w:start="1701" w:end="0"/>
    </w:pPr>
    <w:rPr/>
  </w:style>
  <w:style w:type="paragraph" w:styleId="TOC8">
    <w:name w:val="toc 8"/>
    <w:basedOn w:val="Normal"/>
    <w:next w:val="Normal"/>
    <w:pPr>
      <w:ind w:hanging="0" w:start="1985" w:end="0"/>
    </w:pPr>
    <w:rPr/>
  </w:style>
  <w:style w:type="paragraph" w:styleId="TOC9">
    <w:name w:val="toc 9"/>
    <w:basedOn w:val="Normal"/>
    <w:next w:val="Normal"/>
    <w:pPr>
      <w:ind w:hanging="0" w:start="2268" w:end="0"/>
    </w:pPr>
    <w:rPr/>
  </w:style>
  <w:style w:type="paragraph" w:styleId="TableofFigures">
    <w:name w:val="Table of Figures"/>
    <w:basedOn w:val="Normal"/>
    <w:next w:val="Normal"/>
    <w:qFormat/>
    <w:pPr>
      <w:ind w:hanging="567" w:start="567" w:end="0"/>
    </w:pPr>
    <w:rPr/>
  </w:style>
  <w:style w:type="paragraph" w:styleId="ListBullet5">
    <w:name w:val="List Bullet 5"/>
    <w:basedOn w:val="Normal"/>
    <w:qFormat/>
    <w:pPr>
      <w:numPr>
        <w:ilvl w:val="0"/>
        <w:numId w:val="6"/>
      </w:numPr>
      <w:tabs>
        <w:tab w:val="left" w:pos="1134" w:leader="none"/>
        <w:tab w:val="left" w:pos="1418" w:leader="none"/>
      </w:tabs>
      <w:ind w:hanging="284" w:start="1702" w:end="0"/>
    </w:pPr>
    <w:rPr/>
  </w:style>
  <w:style w:type="paragraph" w:styleId="BodyTextFirstIndent">
    <w:name w:val="Body Text First Indent"/>
    <w:basedOn w:val="BodyText"/>
    <w:qFormat/>
    <w:pPr>
      <w:ind w:firstLine="284" w:start="0" w:end="0"/>
    </w:pPr>
    <w:rPr/>
  </w:style>
  <w:style w:type="paragraph" w:styleId="BodyTextIndent">
    <w:name w:val="Body Text Indent"/>
    <w:basedOn w:val="Normal"/>
    <w:pPr>
      <w:spacing w:before="0" w:after="120"/>
      <w:ind w:hanging="0" w:start="283" w:end="0"/>
    </w:pPr>
    <w:rPr/>
  </w:style>
  <w:style w:type="paragraph" w:styleId="BodyTextFirstIndent2">
    <w:name w:val="Body Text First Indent 2"/>
    <w:basedOn w:val="BodyTextIndent"/>
    <w:qFormat/>
    <w:pPr>
      <w:ind w:firstLine="284" w:start="284" w:end="0"/>
    </w:pPr>
    <w:rPr/>
  </w:style>
  <w:style w:type="paragraph" w:styleId="MacroText">
    <w:name w:val="Macro Text"/>
    <w:qFormat/>
    <w:pPr>
      <w:widowControl/>
      <w:tabs>
        <w:tab w:val="clear" w:pos="708"/>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Arial" w:hAnsi="Arial" w:eastAsia="Times New Roman" w:cs="Arial"/>
      <w:color w:val="auto"/>
      <w:sz w:val="20"/>
      <w:szCs w:val="20"/>
      <w:lang w:val="en-US" w:eastAsia="zh-CN" w:bidi="hi-IN"/>
    </w:rPr>
  </w:style>
  <w:style w:type="paragraph" w:styleId="AAFrameLogo">
    <w:name w:val="AA Frame Logo"/>
    <w:basedOn w:val="Normal"/>
    <w:qFormat/>
    <w:pPr/>
    <w:rPr/>
  </w:style>
  <w:style w:type="paragraph" w:styleId="AA1stlevelbullet">
    <w:name w:val="AA 1st level bullet"/>
    <w:basedOn w:val="Normal"/>
    <w:qFormat/>
    <w:pPr>
      <w:numPr>
        <w:ilvl w:val="0"/>
        <w:numId w:val="13"/>
      </w:numPr>
      <w:tabs>
        <w:tab w:val="clear" w:pos="1134"/>
      </w:tabs>
      <w:ind w:hanging="284" w:start="284" w:end="0"/>
    </w:pPr>
    <w:rPr/>
  </w:style>
  <w:style w:type="paragraph" w:styleId="AA2ndlevelbullet">
    <w:name w:val="AA 2nd level bullet"/>
    <w:basedOn w:val="AA1stlevelbullet"/>
    <w:qFormat/>
    <w:pPr>
      <w:numPr>
        <w:ilvl w:val="0"/>
        <w:numId w:val="14"/>
      </w:numPr>
      <w:ind w:hanging="284" w:start="568" w:end="0"/>
    </w:pPr>
    <w:rPr/>
  </w:style>
  <w:style w:type="paragraph" w:styleId="AANumbering">
    <w:name w:val="AA Numbering"/>
    <w:basedOn w:val="Normal"/>
    <w:qFormat/>
    <w:pPr>
      <w:numPr>
        <w:ilvl w:val="0"/>
        <w:numId w:val="12"/>
      </w:numPr>
      <w:ind w:hanging="0" w:start="0" w:end="0"/>
    </w:pPr>
    <w:rPr/>
  </w:style>
  <w:style w:type="paragraph" w:styleId="EnvelopeReturn">
    <w:name w:val="envelope return"/>
    <w:basedOn w:val="Normal"/>
    <w:pPr/>
    <w:rPr>
      <w:rFonts w:ascii="Arial" w:hAnsi="Arial" w:cs="Arial"/>
      <w:sz w:val="20"/>
    </w:rPr>
  </w:style>
  <w:style w:type="paragraph" w:styleId="BodyText2">
    <w:name w:val="Body Text 2"/>
    <w:basedOn w:val="Normal"/>
    <w:qFormat/>
    <w:pPr>
      <w:tabs>
        <w:tab w:val="clear" w:pos="1134"/>
      </w:tabs>
      <w:spacing w:lineRule="auto" w:line="240"/>
    </w:pPr>
    <w:rPr>
      <w:color w:val="0000FF"/>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2001-03-20T14:50:00Z</dcterms:created>
  <dc:creator>Arthur Andersen</dc:creator>
  <dc:description/>
  <dc:language>en-CA</dc:language>
  <cp:lastModifiedBy>Arthur Andersen</cp:lastModifiedBy>
  <cp:lastPrinted>2001-03-20T12:35:00Z</cp:lastPrinted>
  <dcterms:modified xsi:type="dcterms:W3CDTF">2001-03-20T16:06:00Z</dcterms:modified>
  <cp:revision>2</cp:revision>
  <dc:subject/>
  <dc:title>LITIGATION</dc:title>
</cp:coreProperties>
</file>