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center"/>
        <w:rPr>
          <w:b/>
          <w:bCs/>
          <w:sz w:val="32"/>
        </w:rPr>
      </w:pPr>
      <w:r>
        <w:rPr>
          <w:b/>
          <w:bCs/>
          <w:sz w:val="32"/>
        </w:rPr>
      </w:r>
    </w:p>
    <w:p>
      <w:pPr>
        <w:pStyle w:val="NormalWeb"/>
        <w:tabs>
          <w:tab w:val="clear" w:pos="720"/>
          <w:tab w:val="left" w:pos="13500" w:leader="none"/>
        </w:tabs>
        <w:jc w:val="center"/>
        <w:rPr>
          <w:b/>
          <w:bCs/>
          <w:sz w:val="32"/>
        </w:rPr>
      </w:pPr>
      <w:r>
        <w:rPr>
          <w:b/>
          <w:bCs/>
          <w:sz w:val="32"/>
        </w:rPr>
        <w:t>SVMG Energy Regulatory/Legislative Review</w:t>
      </w:r>
    </w:p>
    <w:p>
      <w:pPr>
        <w:pStyle w:val="NormalWeb"/>
        <w:jc w:val="center"/>
        <w:rPr>
          <w:b/>
          <w:bCs/>
          <w:sz w:val="32"/>
        </w:rPr>
      </w:pPr>
      <w:r>
        <w:rPr>
          <w:b/>
          <w:bCs/>
          <w:sz w:val="32"/>
        </w:rPr>
        <w:t>June 13, 2001</w:t>
      </w:r>
    </w:p>
    <w:p>
      <w:pPr>
        <w:pStyle w:val="NormalWeb"/>
        <w:rPr/>
      </w:pPr>
      <w:r>
        <w:rPr/>
        <w:t>Note:  The first extraordinary session was concluded earlier this month and a second extraordinary session was opened.  New bill numbers will be accounted for in the next report.</w:t>
      </w:r>
    </w:p>
    <w:tbl>
      <w:tblPr>
        <w:tblW w:w="14338" w:type="dxa"/>
        <w:jc w:val="center"/>
        <w:tblInd w:w="0" w:type="dxa"/>
        <w:tblLayout w:type="fixed"/>
        <w:tblCellMar>
          <w:top w:w="60" w:type="dxa"/>
          <w:start w:w="60" w:type="dxa"/>
          <w:bottom w:w="60" w:type="dxa"/>
          <w:end w:w="60" w:type="dxa"/>
        </w:tblCellMar>
      </w:tblPr>
      <w:tblGrid>
        <w:gridCol w:w="1198"/>
        <w:gridCol w:w="5356"/>
        <w:gridCol w:w="1304"/>
        <w:gridCol w:w="1800"/>
        <w:gridCol w:w="2340"/>
        <w:gridCol w:w="2340"/>
      </w:tblGrid>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shd w:fill="F5DEB3" w:val="clear"/>
            <w:vAlign w:val="center"/>
          </w:tcPr>
          <w:p>
            <w:pPr>
              <w:pStyle w:val="Normal"/>
              <w:tabs>
                <w:tab w:val="clear" w:pos="720"/>
                <w:tab w:val="left" w:pos="353" w:leader="none"/>
              </w:tabs>
              <w:jc w:val="center"/>
              <w:rPr>
                <w:b/>
                <w:bCs/>
                <w:color w:val="000000"/>
                <w:sz w:val="20"/>
              </w:rPr>
            </w:pPr>
            <w:r>
              <w:rPr>
                <w:b/>
                <w:bCs/>
                <w:color w:val="008000"/>
                <w:sz w:val="20"/>
                <w:szCs w:val="20"/>
              </w:rPr>
              <w:t xml:space="preserve">BILL NUMBER (sponsor) </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shd w:fill="F5DEB3" w:val="clear"/>
            <w:vAlign w:val="center"/>
          </w:tcPr>
          <w:p>
            <w:pPr>
              <w:pStyle w:val="Normal"/>
              <w:jc w:val="center"/>
              <w:rPr>
                <w:b/>
                <w:bCs/>
                <w:color w:val="000000"/>
                <w:sz w:val="20"/>
              </w:rPr>
            </w:pPr>
            <w:r>
              <w:rPr>
                <w:b/>
                <w:bCs/>
                <w:color w:val="008000"/>
                <w:sz w:val="20"/>
                <w:szCs w:val="20"/>
              </w:rPr>
              <w:t xml:space="preserve">DESCRIPTION </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shd w:fill="F5DEB3" w:val="clear"/>
            <w:vAlign w:val="center"/>
          </w:tcPr>
          <w:p>
            <w:pPr>
              <w:pStyle w:val="Normal"/>
              <w:jc w:val="center"/>
              <w:rPr>
                <w:b/>
                <w:bCs/>
                <w:color w:val="000000"/>
                <w:sz w:val="20"/>
              </w:rPr>
            </w:pPr>
            <w:r>
              <w:rPr>
                <w:b/>
                <w:bCs/>
                <w:color w:val="008000"/>
                <w:sz w:val="20"/>
                <w:szCs w:val="20"/>
              </w:rPr>
              <w:t>SVMG POSITION</w:t>
            </w:r>
            <w:r>
              <w:rPr>
                <w:b/>
                <w:bCs/>
                <w:sz w:val="20"/>
              </w:rPr>
              <w:t xml:space="preserve"> </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shd w:fill="F5DEB3" w:val="clear"/>
            <w:vAlign w:val="center"/>
          </w:tcPr>
          <w:p>
            <w:pPr>
              <w:pStyle w:val="Heading3"/>
              <w:ind w:hanging="0" w:start="0"/>
              <w:rPr>
                <w:color w:val="000000"/>
              </w:rPr>
            </w:pPr>
            <w:r>
              <w:rPr/>
              <w:t>STATUS</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shd w:fill="F5DEB3" w:val="clear"/>
          </w:tcPr>
          <w:p>
            <w:pPr>
              <w:pStyle w:val="Normal"/>
              <w:snapToGrid w:val="false"/>
              <w:jc w:val="center"/>
              <w:rPr>
                <w:b/>
                <w:bCs/>
                <w:color w:val="008000"/>
                <w:sz w:val="20"/>
                <w:szCs w:val="20"/>
              </w:rPr>
            </w:pPr>
            <w:r>
              <w:rPr>
                <w:b/>
                <w:bCs/>
                <w:color w:val="008000"/>
                <w:sz w:val="20"/>
                <w:szCs w:val="20"/>
              </w:rPr>
            </w:r>
          </w:p>
          <w:p>
            <w:pPr>
              <w:pStyle w:val="Normal"/>
              <w:jc w:val="center"/>
              <w:rPr>
                <w:b/>
                <w:bCs/>
                <w:color w:val="008000"/>
                <w:sz w:val="20"/>
                <w:szCs w:val="20"/>
              </w:rPr>
            </w:pPr>
            <w:r>
              <w:rPr>
                <w:b/>
                <w:bCs/>
                <w:color w:val="008000"/>
                <w:sz w:val="20"/>
                <w:szCs w:val="20"/>
              </w:rPr>
              <w:t>COMMENTS</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shd w:fill="F5DEB3" w:val="clear"/>
          </w:tcPr>
          <w:p>
            <w:pPr>
              <w:pStyle w:val="Normal"/>
              <w:snapToGrid w:val="false"/>
              <w:jc w:val="center"/>
              <w:rPr>
                <w:b/>
                <w:bCs/>
                <w:color w:val="008000"/>
                <w:sz w:val="20"/>
                <w:szCs w:val="20"/>
              </w:rPr>
            </w:pPr>
            <w:r>
              <w:rPr>
                <w:b/>
                <w:bCs/>
                <w:color w:val="008000"/>
                <w:sz w:val="20"/>
                <w:szCs w:val="20"/>
              </w:rPr>
            </w:r>
          </w:p>
          <w:p>
            <w:pPr>
              <w:pStyle w:val="Normal"/>
              <w:jc w:val="center"/>
              <w:rPr>
                <w:b/>
                <w:bCs/>
                <w:color w:val="008000"/>
                <w:sz w:val="20"/>
                <w:szCs w:val="20"/>
              </w:rPr>
            </w:pPr>
            <w:r>
              <w:rPr>
                <w:b/>
                <w:bCs/>
                <w:color w:val="008000"/>
                <w:sz w:val="20"/>
                <w:szCs w:val="20"/>
              </w:rPr>
              <w:t>COMMUNICATIONS</w:t>
            </w:r>
          </w:p>
          <w:p>
            <w:pPr>
              <w:pStyle w:val="Normal"/>
              <w:jc w:val="center"/>
              <w:rPr>
                <w:b/>
                <w:bCs/>
                <w:color w:val="008000"/>
                <w:sz w:val="20"/>
                <w:szCs w:val="20"/>
              </w:rPr>
            </w:pPr>
            <w:r>
              <w:rPr>
                <w:b/>
                <w:bCs/>
                <w:color w:val="008000"/>
                <w:sz w:val="20"/>
                <w:szCs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b/>
                <w:bCs/>
                <w:color w:val="008000"/>
                <w:sz w:val="20"/>
                <w:szCs w:val="20"/>
              </w:rPr>
            </w:pPr>
            <w:r>
              <w:rPr>
                <w:b/>
                <w:bCs/>
                <w:color w:val="008000"/>
                <w:sz w:val="20"/>
                <w:szCs w:val="20"/>
              </w:rPr>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b/>
                <w:bCs/>
                <w:sz w:val="20"/>
                <w:szCs w:val="20"/>
              </w:rPr>
            </w:pPr>
            <w:r>
              <w:rPr>
                <w:rFonts w:cs="Arial" w:ascii="Arial" w:hAnsi="Arial"/>
                <w:b/>
                <w:bCs/>
                <w:sz w:val="20"/>
                <w:szCs w:val="20"/>
              </w:rPr>
              <w:t>NEW GENERATION AND TRANSMISSION</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szCs w:val="20"/>
              </w:rPr>
            </w:pPr>
            <w:r>
              <w:rPr>
                <w:rFonts w:cs="Arial" w:ascii="Arial" w:hAnsi="Arial"/>
                <w:b/>
                <w:bCs/>
                <w:color w:val="000000"/>
                <w:sz w:val="20"/>
                <w:szCs w:val="20"/>
              </w:rPr>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color w:val="000000"/>
                <w:sz w:val="20"/>
              </w:rPr>
            </w:pPr>
            <w:r>
              <w:rPr>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color w:val="000000"/>
                <w:sz w:val="20"/>
              </w:rPr>
            </w:pPr>
            <w:r>
              <w:rPr>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color w:val="000000"/>
                <w:sz w:val="20"/>
              </w:rPr>
            </w:pPr>
            <w:r>
              <w:rPr>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Metcalf Energy Center (MEC)</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szCs w:val="20"/>
              </w:rPr>
            </w:pPr>
            <w:r>
              <w:rPr>
                <w:rFonts w:cs="Arial" w:ascii="Arial" w:hAnsi="Arial"/>
                <w:sz w:val="20"/>
                <w:szCs w:val="20"/>
              </w:rPr>
              <w:t>Clean, natural gas fired dual cycle Metcalf energy center would add 580 (MW) of base load to Silicon Valley and provide needed voltage support.</w:t>
            </w:r>
          </w:p>
          <w:p>
            <w:pPr>
              <w:pStyle w:val="NormalWeb"/>
              <w:spacing w:before="280" w:after="0"/>
              <w:rPr>
                <w:rFonts w:ascii="Arial" w:hAnsi="Arial" w:cs="Arial"/>
                <w:sz w:val="20"/>
                <w:szCs w:val="20"/>
              </w:rPr>
            </w:pPr>
            <w:hyperlink r:id="rId2">
              <w:r>
                <w:rPr>
                  <w:rStyle w:val="Hyperlink"/>
                  <w:rFonts w:cs="Arial" w:ascii="Arial" w:hAnsi="Arial"/>
                  <w:sz w:val="20"/>
                  <w:szCs w:val="20"/>
                </w:rPr>
                <w:t>http://svmg.org/htm /pr_3-08-01_board_nrg_position.htm</w:t>
              </w:r>
            </w:hyperlink>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Waiting for CEC decision in June, final SJ City Council Vole on 6/26</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Over 2 years in permitting process.</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Letter to CEC</w:t>
            </w:r>
          </w:p>
          <w:p>
            <w:pPr>
              <w:pStyle w:val="Normal"/>
              <w:rPr>
                <w:rFonts w:ascii="Arial" w:hAnsi="Arial" w:cs="Arial"/>
                <w:color w:val="000000"/>
                <w:sz w:val="20"/>
              </w:rPr>
            </w:pPr>
            <w:r>
              <w:rPr>
                <w:rFonts w:cs="Arial" w:ascii="Arial" w:hAnsi="Arial"/>
                <w:color w:val="000000"/>
                <w:sz w:val="20"/>
              </w:rPr>
              <w:t>Letter to SJ CC</w:t>
            </w:r>
          </w:p>
          <w:p>
            <w:pPr>
              <w:pStyle w:val="Normal"/>
              <w:rPr>
                <w:rFonts w:ascii="Arial" w:hAnsi="Arial" w:cs="Arial"/>
                <w:color w:val="000000"/>
                <w:sz w:val="20"/>
              </w:rPr>
            </w:pPr>
            <w:r>
              <w:rPr>
                <w:rFonts w:cs="Arial" w:ascii="Arial" w:hAnsi="Arial"/>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Los Esteros</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szCs w:val="20"/>
              </w:rPr>
            </w:pPr>
            <w:r>
              <w:rPr>
                <w:rFonts w:cs="Arial" w:ascii="Arial" w:hAnsi="Arial"/>
                <w:sz w:val="20"/>
                <w:szCs w:val="20"/>
              </w:rPr>
              <w:t>Provides 800 MW of new transmission capacity to the northern Silicon Valley.</w:t>
            </w:r>
          </w:p>
          <w:p>
            <w:pPr>
              <w:pStyle w:val="NormalWeb"/>
              <w:spacing w:before="280" w:after="0"/>
              <w:rPr>
                <w:rFonts w:ascii="Arial" w:hAnsi="Arial" w:cs="Arial"/>
                <w:sz w:val="20"/>
                <w:szCs w:val="20"/>
              </w:rPr>
            </w:pPr>
            <w:hyperlink r:id="rId3">
              <w:r>
                <w:rPr>
                  <w:rStyle w:val="Hyperlink"/>
                  <w:rFonts w:cs="Arial" w:ascii="Arial" w:hAnsi="Arial"/>
                  <w:sz w:val="20"/>
                  <w:szCs w:val="20"/>
                </w:rPr>
                <w:t>http://svmg.org/htm /pr_3-08-01_board_nrg_position.htm</w:t>
              </w:r>
            </w:hyperlink>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Approved by PUC</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w:hAnsi="Arial" w:cs="Arial"/>
                <w:color w:val="000000"/>
                <w:sz w:val="20"/>
              </w:rPr>
            </w:pPr>
            <w:r>
              <w:rPr>
                <w:rFonts w:cs="Arial" w:ascii="Arial" w:hAnsi="Arial"/>
                <w:color w:val="000000"/>
                <w:sz w:val="20"/>
              </w:rPr>
              <w:t>Final planning stages.  Construction to start in late 2001</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Letter to PUC</w:t>
            </w:r>
          </w:p>
          <w:p>
            <w:pPr>
              <w:pStyle w:val="Normal"/>
              <w:rPr>
                <w:rFonts w:ascii="Arial" w:hAnsi="Arial" w:cs="Arial"/>
                <w:color w:val="000000"/>
                <w:sz w:val="20"/>
              </w:rPr>
            </w:pPr>
            <w:r>
              <w:rPr>
                <w:rFonts w:cs="Arial" w:ascii="Arial" w:hAnsi="Arial"/>
                <w:color w:val="000000"/>
                <w:sz w:val="20"/>
              </w:rPr>
              <w:t>Analysis</w:t>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Tri-Valley</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szCs w:val="20"/>
              </w:rPr>
            </w:pPr>
            <w:r>
              <w:rPr>
                <w:rFonts w:cs="Arial" w:ascii="Arial" w:hAnsi="Arial"/>
                <w:sz w:val="20"/>
                <w:szCs w:val="20"/>
              </w:rPr>
              <w:t>Provides 10 miles of 230 kV new transmission capacity to the Livermore/Tri-Valley area.</w:t>
            </w:r>
          </w:p>
          <w:p>
            <w:pPr>
              <w:pStyle w:val="NormalWeb"/>
              <w:spacing w:before="280" w:after="0"/>
              <w:rPr>
                <w:rFonts w:ascii="Arial" w:hAnsi="Arial" w:cs="Arial"/>
                <w:sz w:val="20"/>
                <w:szCs w:val="20"/>
              </w:rPr>
            </w:pPr>
            <w:hyperlink r:id="rId4">
              <w:r>
                <w:rPr>
                  <w:rStyle w:val="Hyperlink"/>
                  <w:rFonts w:cs="Arial" w:ascii="Arial" w:hAnsi="Arial"/>
                  <w:sz w:val="20"/>
                  <w:szCs w:val="20"/>
                </w:rPr>
                <w:t>http://svmg.org/htm /pr_3-08-01_board_nrg_position.htm</w:t>
              </w:r>
            </w:hyperlink>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Waiting for PUC decision</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Some neighborhood opposition</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Letter to PUC</w:t>
            </w:r>
          </w:p>
          <w:p>
            <w:pPr>
              <w:pStyle w:val="Normal"/>
              <w:rPr>
                <w:rFonts w:ascii="Arial" w:hAnsi="Arial" w:cs="Arial"/>
                <w:color w:val="000000"/>
                <w:sz w:val="20"/>
              </w:rPr>
            </w:pPr>
            <w:r>
              <w:rPr>
                <w:rFonts w:cs="Arial" w:ascii="Arial" w:hAnsi="Arial"/>
                <w:color w:val="000000"/>
                <w:sz w:val="20"/>
              </w:rPr>
              <w:t>Analysis</w:t>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Gilroy Peakers</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szCs w:val="20"/>
              </w:rPr>
            </w:pPr>
            <w:r>
              <w:rPr>
                <w:rFonts w:cs="Arial" w:ascii="Arial" w:hAnsi="Arial"/>
                <w:sz w:val="20"/>
                <w:szCs w:val="20"/>
              </w:rPr>
              <w:t>Provides simple cycle natural gas turbines (2 x 45 MW generators this summer, 5 by 2002) to provide peaking power to Gilroy and Morgan Hill areas.</w:t>
            </w:r>
          </w:p>
          <w:p>
            <w:pPr>
              <w:pStyle w:val="NormalWeb"/>
              <w:spacing w:before="280" w:after="0"/>
              <w:rPr>
                <w:rFonts w:ascii="Arial" w:hAnsi="Arial" w:cs="Arial"/>
                <w:sz w:val="20"/>
                <w:szCs w:val="20"/>
              </w:rPr>
            </w:pPr>
            <w:hyperlink r:id="rId5">
              <w:r>
                <w:rPr>
                  <w:rStyle w:val="Hyperlink"/>
                  <w:rFonts w:cs="Arial" w:ascii="Arial" w:hAnsi="Arial"/>
                  <w:sz w:val="20"/>
                  <w:szCs w:val="20"/>
                </w:rPr>
                <w:t>http://svmg.org/htm /pr_3-08-01_board_nrg_position.htm</w:t>
              </w:r>
            </w:hyperlink>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Approved by CEC in 3-week process</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Support helped keep project on expedited track</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w:hAnsi="Arial" w:cs="Arial"/>
                <w:color w:val="000000"/>
                <w:sz w:val="20"/>
              </w:rPr>
            </w:pPr>
            <w:r>
              <w:rPr>
                <w:rFonts w:cs="Arial" w:ascii="Arial" w:hAnsi="Arial"/>
                <w:color w:val="000000"/>
                <w:sz w:val="20"/>
              </w:rPr>
              <w:t>Letter to CEC</w:t>
            </w:r>
          </w:p>
          <w:p>
            <w:pPr>
              <w:pStyle w:val="BodyText3"/>
              <w:tabs>
                <w:tab w:val="clear" w:pos="0"/>
              </w:tabs>
              <w:rPr/>
            </w:pPr>
            <w:r>
              <w:rPr/>
              <w:t>Letter to Mayor and City Council</w:t>
            </w:r>
          </w:p>
          <w:p>
            <w:pPr>
              <w:pStyle w:val="Normal"/>
              <w:rPr>
                <w:rFonts w:ascii="Arial" w:hAnsi="Arial" w:cs="Arial"/>
                <w:color w:val="000000"/>
                <w:sz w:val="20"/>
              </w:rPr>
            </w:pPr>
            <w:r>
              <w:rPr>
                <w:rFonts w:cs="Arial" w:ascii="Arial" w:hAnsi="Arial"/>
                <w:color w:val="000000"/>
                <w:sz w:val="20"/>
              </w:rPr>
              <w:t>Analysis</w:t>
            </w:r>
          </w:p>
          <w:p>
            <w:pPr>
              <w:pStyle w:val="Normal"/>
              <w:rPr>
                <w:rFonts w:ascii="Arial" w:hAnsi="Arial" w:cs="Arial"/>
                <w:color w:val="000000"/>
                <w:sz w:val="20"/>
              </w:rPr>
            </w:pPr>
            <w:r>
              <w:rPr>
                <w:rFonts w:cs="Arial" w:ascii="Arial" w:hAnsi="Arial"/>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 xml:space="preserve">Russell City </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szCs w:val="20"/>
              </w:rPr>
            </w:pPr>
            <w:r>
              <w:rPr>
                <w:rFonts w:cs="Arial" w:ascii="Arial" w:hAnsi="Arial"/>
                <w:sz w:val="20"/>
                <w:szCs w:val="20"/>
              </w:rPr>
              <w:t xml:space="preserve">Virtually identical technologically to MEC.  Provides base load and voltage support primarily to the south peninsula and east bay.  </w:t>
            </w:r>
          </w:p>
          <w:p>
            <w:pPr>
              <w:pStyle w:val="NormalWeb"/>
              <w:spacing w:before="280" w:after="0"/>
              <w:rPr>
                <w:rFonts w:ascii="Arial" w:hAnsi="Arial" w:cs="Arial"/>
                <w:sz w:val="20"/>
                <w:szCs w:val="20"/>
              </w:rPr>
            </w:pPr>
            <w:hyperlink r:id="rId6">
              <w:r>
                <w:rPr>
                  <w:rStyle w:val="Hyperlink"/>
                  <w:rFonts w:cs="Arial" w:ascii="Arial" w:hAnsi="Arial"/>
                  <w:sz w:val="20"/>
                  <w:szCs w:val="20"/>
                </w:rPr>
                <w:t>http://svmg.org/htm /pr_3-08-01_board_nrg_position.htm</w:t>
              </w:r>
            </w:hyperlink>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 xml:space="preserve">Proposal submitted to CEC in May. </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Four month expedited process.</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Writing Letter to CEC</w:t>
            </w:r>
          </w:p>
          <w:p>
            <w:pPr>
              <w:pStyle w:val="Normal"/>
              <w:rPr>
                <w:rFonts w:ascii="Arial" w:hAnsi="Arial" w:cs="Arial"/>
                <w:color w:val="000000"/>
                <w:sz w:val="20"/>
              </w:rPr>
            </w:pPr>
            <w:r>
              <w:rPr>
                <w:rFonts w:cs="Arial" w:ascii="Arial" w:hAnsi="Arial"/>
                <w:color w:val="000000"/>
                <w:sz w:val="20"/>
              </w:rPr>
              <w:t>Analysis</w:t>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sz w:val="20"/>
              </w:rPr>
            </w:pPr>
            <w:r>
              <w:rPr>
                <w:rFonts w:cs="Arial" w:ascii="Arial" w:hAnsi="Arial"/>
                <w:sz w:val="20"/>
              </w:rPr>
            </w:r>
          </w:p>
        </w:tc>
      </w:tr>
      <w:tr>
        <w:trPr>
          <w:trHeight w:val="23" w:hRule="atLeast"/>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rFonts w:ascii="Arial" w:hAnsi="Arial" w:cs="Arial"/>
                <w:sz w:val="20"/>
                <w:szCs w:val="20"/>
              </w:rPr>
            </w:pPr>
            <w:r>
              <w:rPr>
                <w:rFonts w:cs="Arial" w:ascii="Arial" w:hAnsi="Arial"/>
                <w:sz w:val="20"/>
                <w:szCs w:val="20"/>
              </w:rPr>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b/>
                <w:bCs/>
                <w:sz w:val="20"/>
              </w:rPr>
            </w:pPr>
            <w:r>
              <w:rPr>
                <w:rFonts w:cs="Arial" w:ascii="Arial" w:hAnsi="Arial"/>
                <w:b/>
                <w:bCs/>
                <w:sz w:val="20"/>
              </w:rPr>
              <w:t>RATES</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rPr>
            </w:pPr>
            <w:r>
              <w:rPr>
                <w:rFonts w:cs="Arial" w:ascii="Arial" w:hAnsi="Arial"/>
                <w:b/>
                <w:bCs/>
                <w:color w:val="000000"/>
                <w:sz w:val="20"/>
              </w:rPr>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ind w:start="360" w:end="0"/>
              <w:rPr>
                <w:rFonts w:ascii="Arial" w:hAnsi="Arial" w:cs="Arial"/>
                <w:color w:val="000000"/>
                <w:sz w:val="20"/>
              </w:rPr>
            </w:pPr>
            <w:r>
              <w:rPr>
                <w:rFonts w:cs="Arial" w:ascii="Arial" w:hAnsi="Arial"/>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Lynch Proposal</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rPr>
                <w:rFonts w:ascii="Arial" w:hAnsi="Arial" w:cs="Arial"/>
                <w:sz w:val="20"/>
              </w:rPr>
            </w:pPr>
            <w:r>
              <w:rPr>
                <w:rFonts w:cs="Arial" w:ascii="Arial" w:hAnsi="Arial"/>
                <w:sz w:val="20"/>
              </w:rPr>
              <w:t>Disproportionate rate increase averaging 17% for all residential ratepayers, up to 100% and more for large energy users.  Per AB1X, tiered rate proposal for residential users protecting large segment of users from rate increases using under 130% of baseline.  Users over 500 kw rates increase from 50-100% or more.</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Oppose</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Adopted by PUC 3-2 in mid-May.</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Strong opposition by business went unheeded.</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Letter to PUC</w:t>
            </w:r>
          </w:p>
          <w:p>
            <w:pPr>
              <w:pStyle w:val="Normal"/>
              <w:rPr>
                <w:rFonts w:ascii="Arial" w:hAnsi="Arial" w:cs="Arial"/>
                <w:color w:val="000000"/>
                <w:sz w:val="20"/>
              </w:rPr>
            </w:pPr>
            <w:r>
              <w:rPr>
                <w:rFonts w:cs="Arial" w:ascii="Arial" w:hAnsi="Arial"/>
                <w:color w:val="000000"/>
                <w:sz w:val="20"/>
              </w:rPr>
              <w:t>Press release, media event</w:t>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1"/>
              <w:snapToGrid w:val="false"/>
              <w:ind w:hanging="0" w:start="0"/>
              <w:rPr>
                <w:rFonts w:ascii="Arial" w:hAnsi="Arial" w:cs="Arial"/>
                <w:b w:val="false"/>
                <w:bCs w:val="false"/>
                <w:color w:val="000000"/>
                <w:sz w:val="20"/>
                <w:szCs w:val="20"/>
              </w:rPr>
            </w:pPr>
            <w:r>
              <w:rPr>
                <w:rFonts w:cs="Arial" w:ascii="Arial" w:hAnsi="Arial"/>
                <w:b w:val="false"/>
                <w:bCs w:val="false"/>
                <w:color w:val="000000"/>
                <w:sz w:val="20"/>
                <w:szCs w:val="20"/>
              </w:rPr>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b/>
                <w:bCs/>
                <w:sz w:val="20"/>
              </w:rPr>
            </w:pPr>
            <w:r>
              <w:rPr>
                <w:rFonts w:cs="Arial" w:ascii="Arial" w:hAnsi="Arial"/>
                <w:b/>
                <w:bCs/>
                <w:sz w:val="20"/>
              </w:rPr>
              <w:t>BLACKOUT NOTIFCATION</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rPr>
            </w:pPr>
            <w:r>
              <w:rPr>
                <w:rFonts w:cs="Arial" w:ascii="Arial" w:hAnsi="Arial"/>
                <w:b/>
                <w:bCs/>
                <w:color w:val="000000"/>
                <w:sz w:val="20"/>
              </w:rPr>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ind w:start="360" w:end="0"/>
              <w:rPr>
                <w:rFonts w:ascii="Arial" w:hAnsi="Arial" w:cs="Arial"/>
                <w:color w:val="000000"/>
                <w:sz w:val="20"/>
              </w:rPr>
            </w:pPr>
            <w:r>
              <w:rPr>
                <w:rFonts w:cs="Arial" w:ascii="Arial" w:hAnsi="Arial"/>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SVMG  proposal to CA ISO</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 xml:space="preserve">SMVG plan proposes the time and notification tools for public and private organization, police, fire and government to prepare for blackouts.  Plan requests at least 30 minutes notification and proposes use of an internet-based multi-media customer-centered notification system originally designed for load management notification. </w:t>
            </w:r>
          </w:p>
          <w:p>
            <w:pPr>
              <w:pStyle w:val="NormalWeb"/>
              <w:spacing w:before="280" w:after="0"/>
              <w:rPr>
                <w:rFonts w:ascii="Arial" w:hAnsi="Arial" w:cs="Arial"/>
                <w:sz w:val="20"/>
              </w:rPr>
            </w:pPr>
            <w:hyperlink r:id="rId7">
              <w:r>
                <w:rPr>
                  <w:rStyle w:val="Hyperlink"/>
                  <w:rFonts w:cs="Arial" w:ascii="Arial" w:hAnsi="Arial"/>
                  <w:sz w:val="20"/>
                </w:rPr>
                <w:t>http://216.136.191.69/power-pact.asp</w:t>
              </w:r>
            </w:hyperlink>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ISO adopted 30 minute notice; Governor asked for 60 minutes; Proposed to dovetail SVMG and Gov. plans</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BodyText"/>
              <w:snapToGrid w:val="false"/>
              <w:jc w:val="start"/>
              <w:rPr>
                <w:rFonts w:ascii="Arial" w:hAnsi="Arial" w:cs="Arial"/>
                <w:color w:val="000000"/>
                <w:sz w:val="20"/>
              </w:rPr>
            </w:pPr>
            <w:r>
              <w:rPr>
                <w:rFonts w:cs="Arial" w:ascii="Arial" w:hAnsi="Arial"/>
                <w:color w:val="000000"/>
                <w:sz w:val="20"/>
              </w:rPr>
            </w:r>
          </w:p>
          <w:p>
            <w:pPr>
              <w:pStyle w:val="BodyText"/>
              <w:jc w:val="start"/>
              <w:rPr>
                <w:rFonts w:ascii="Arial" w:hAnsi="Arial" w:cs="Arial"/>
              </w:rPr>
            </w:pPr>
            <w:r>
              <w:rPr>
                <w:rFonts w:cs="Arial" w:ascii="Arial" w:hAnsi="Arial"/>
              </w:rPr>
            </w:r>
          </w:p>
          <w:p>
            <w:pPr>
              <w:pStyle w:val="BodyText"/>
              <w:jc w:val="start"/>
              <w:rPr>
                <w:rFonts w:ascii="Arial" w:hAnsi="Arial" w:cs="Arial"/>
              </w:rPr>
            </w:pPr>
            <w:r>
              <w:rPr>
                <w:rFonts w:cs="Arial" w:ascii="Arial" w:hAnsi="Arial"/>
              </w:rPr>
            </w:r>
          </w:p>
          <w:p>
            <w:pPr>
              <w:pStyle w:val="BodyText"/>
              <w:jc w:val="start"/>
              <w:rPr>
                <w:rFonts w:ascii="Arial" w:hAnsi="Arial" w:cs="Arial"/>
              </w:rPr>
            </w:pPr>
            <w:r>
              <w:rPr>
                <w:rFonts w:cs="Arial" w:ascii="Arial" w:hAnsi="Arial"/>
              </w:rPr>
              <w:t>Waiting for ISO to select and fund vendor for notification</w:t>
            </w:r>
          </w:p>
          <w:p>
            <w:pPr>
              <w:pStyle w:val="Normal"/>
              <w:rPr>
                <w:rFonts w:ascii="Arial" w:hAnsi="Arial" w:cs="Arial"/>
                <w:color w:val="000000"/>
                <w:sz w:val="20"/>
              </w:rPr>
            </w:pPr>
            <w:r>
              <w:rPr>
                <w:rFonts w:cs="Arial" w:ascii="Arial" w:hAnsi="Arial"/>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Proposal to ISO</w:t>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1"/>
              <w:snapToGrid w:val="false"/>
              <w:ind w:hanging="0" w:start="0"/>
              <w:rPr>
                <w:rFonts w:ascii="Arial" w:hAnsi="Arial" w:cs="Arial"/>
                <w:b w:val="false"/>
                <w:bCs w:val="false"/>
                <w:color w:val="000000"/>
                <w:sz w:val="20"/>
                <w:szCs w:val="20"/>
              </w:rPr>
            </w:pPr>
            <w:r>
              <w:rPr>
                <w:rFonts w:cs="Arial" w:ascii="Arial" w:hAnsi="Arial"/>
                <w:b w:val="false"/>
                <w:bCs w:val="false"/>
                <w:color w:val="000000"/>
                <w:sz w:val="20"/>
                <w:szCs w:val="20"/>
              </w:rPr>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napToGrid w:val="false"/>
              <w:spacing w:before="280" w:after="0"/>
              <w:rPr>
                <w:rFonts w:ascii="Arial" w:hAnsi="Arial" w:cs="Arial"/>
                <w:b w:val="false"/>
                <w:bCs w:val="false"/>
                <w:sz w:val="20"/>
              </w:rPr>
            </w:pPr>
            <w:r>
              <w:rPr>
                <w:rFonts w:cs="Arial" w:ascii="Arial" w:hAnsi="Arial"/>
                <w:b w:val="false"/>
                <w:bCs w:val="false"/>
                <w:sz w:val="20"/>
              </w:rPr>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ind w:start="360" w:end="0"/>
              <w:rPr>
                <w:rFonts w:ascii="Arial" w:hAnsi="Arial" w:cs="Arial"/>
                <w:color w:val="000000"/>
                <w:sz w:val="20"/>
              </w:rPr>
            </w:pPr>
            <w:r>
              <w:rPr>
                <w:rFonts w:cs="Arial" w:ascii="Arial" w:hAnsi="Arial"/>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rFonts w:ascii="Arial" w:hAnsi="Arial" w:cs="Arial"/>
                <w:b/>
                <w:bCs/>
                <w:color w:val="000000"/>
                <w:sz w:val="20"/>
                <w:szCs w:val="20"/>
              </w:rPr>
            </w:pPr>
            <w:r>
              <w:rPr>
                <w:rFonts w:cs="Arial" w:ascii="Arial" w:hAnsi="Arial"/>
                <w:b/>
                <w:bCs/>
                <w:color w:val="000000"/>
                <w:sz w:val="20"/>
                <w:szCs w:val="20"/>
              </w:rPr>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b/>
                <w:bCs/>
                <w:sz w:val="32"/>
                <w:szCs w:val="20"/>
              </w:rPr>
            </w:pPr>
            <w:r>
              <w:rPr>
                <w:rFonts w:cs="Arial" w:ascii="Arial" w:hAnsi="Arial"/>
                <w:b/>
                <w:bCs/>
                <w:sz w:val="32"/>
                <w:szCs w:val="20"/>
              </w:rPr>
              <w:t>LEGISLATION</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szCs w:val="20"/>
              </w:rPr>
            </w:pPr>
            <w:r>
              <w:rPr>
                <w:rFonts w:cs="Arial" w:ascii="Arial" w:hAnsi="Arial"/>
                <w:b/>
                <w:bCs/>
                <w:color w:val="000000"/>
                <w:sz w:val="20"/>
                <w:szCs w:val="20"/>
              </w:rPr>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color w:val="000000"/>
                <w:sz w:val="20"/>
              </w:rPr>
            </w:pPr>
            <w:r>
              <w:rPr>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color w:val="000000"/>
                <w:sz w:val="20"/>
              </w:rPr>
            </w:pPr>
            <w:r>
              <w:rPr>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ind w:start="360" w:end="0"/>
              <w:jc w:val="center"/>
              <w:rPr>
                <w:color w:val="000000"/>
                <w:sz w:val="20"/>
              </w:rPr>
            </w:pPr>
            <w:r>
              <w:rPr>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b/>
                <w:bCs/>
                <w:color w:val="000000"/>
                <w:sz w:val="20"/>
                <w:szCs w:val="20"/>
              </w:rPr>
            </w:pPr>
            <w:r>
              <w:rPr>
                <w:b/>
                <w:bCs/>
                <w:color w:val="000000"/>
                <w:sz w:val="20"/>
                <w:szCs w:val="20"/>
              </w:rPr>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sz w:val="20"/>
              </w:rPr>
            </w:pPr>
            <w:r>
              <w:rPr>
                <w:rFonts w:cs="Arial" w:ascii="Arial" w:hAnsi="Arial"/>
                <w:b/>
                <w:bCs/>
                <w:sz w:val="20"/>
                <w:szCs w:val="20"/>
              </w:rPr>
              <w:t>SOLVENCY</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color w:val="000000"/>
                <w:sz w:val="20"/>
              </w:rPr>
            </w:pPr>
            <w:r>
              <w:rPr>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color w:val="000000"/>
                <w:sz w:val="20"/>
              </w:rPr>
            </w:pPr>
            <w:r>
              <w:rPr>
                <w:color w:val="000000"/>
                <w:sz w:val="20"/>
              </w:rPr>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ind w:start="360" w:end="0"/>
              <w:jc w:val="center"/>
              <w:rPr>
                <w:color w:val="000000"/>
                <w:sz w:val="20"/>
              </w:rPr>
            </w:pPr>
            <w:r>
              <w:rPr>
                <w:color w:val="000000"/>
                <w:sz w:val="20"/>
              </w:rPr>
            </w:r>
          </w:p>
        </w:tc>
      </w:tr>
      <w:tr>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Feinstein/</w:t>
            </w:r>
          </w:p>
          <w:p>
            <w:pPr>
              <w:pStyle w:val="Normal"/>
              <w:rPr>
                <w:rFonts w:ascii="Arial" w:hAnsi="Arial" w:cs="Arial"/>
                <w:sz w:val="20"/>
                <w:szCs w:val="20"/>
              </w:rPr>
            </w:pPr>
            <w:r>
              <w:rPr>
                <w:rFonts w:cs="Arial" w:ascii="Arial" w:hAnsi="Arial"/>
                <w:sz w:val="20"/>
                <w:szCs w:val="20"/>
              </w:rPr>
              <w:t xml:space="preserve">Smith </w:t>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rPr>
                <w:rFonts w:ascii="Arial" w:hAnsi="Arial" w:cs="Arial"/>
                <w:sz w:val="20"/>
                <w:szCs w:val="20"/>
              </w:rPr>
            </w:pPr>
            <w:r>
              <w:rPr>
                <w:rFonts w:cs="Arial" w:ascii="Arial" w:hAnsi="Arial"/>
                <w:sz w:val="20"/>
              </w:rPr>
              <w:t xml:space="preserve">Requires FERC to set either a temporary electricity price cap or cost based rates within 60 days of enactment of the bill until March 1, 2003.  Ends the temporary suspension of the natural gas transportation rate cap, which was lifted in February 2000. </w:t>
            </w:r>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Neutral</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Stalled in Senate</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Change of control in Senate may revive prospects for this bill</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No letter</w:t>
            </w:r>
          </w:p>
          <w:p>
            <w:pPr>
              <w:pStyle w:val="Normal"/>
              <w:rPr>
                <w:rFonts w:ascii="Arial" w:hAnsi="Arial" w:cs="Arial"/>
                <w:color w:val="000000"/>
                <w:sz w:val="20"/>
              </w:rPr>
            </w:pPr>
            <w:r>
              <w:rPr>
                <w:rFonts w:cs="Arial" w:ascii="Arial" w:hAnsi="Arial"/>
                <w:color w:val="000000"/>
                <w:sz w:val="20"/>
              </w:rPr>
              <w:t>Talked with Feinstein office about Board decision</w:t>
            </w:r>
          </w:p>
        </w:tc>
      </w:tr>
      <w:tr>
        <w:trPr>
          <w:trHeight w:val="2426" w:hRule="atLeast"/>
        </w:trPr>
        <w:tc>
          <w:tcPr>
            <w:tcW w:w="11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2"/>
              <w:ind w:hanging="0" w:start="0" w:end="0"/>
              <w:rPr>
                <w:rFonts w:ascii="Arial" w:hAnsi="Arial" w:cs="Arial"/>
                <w:b w:val="false"/>
                <w:bCs w:val="false"/>
              </w:rPr>
            </w:pPr>
            <w:r>
              <w:rPr>
                <w:rFonts w:cs="Arial" w:ascii="Arial" w:hAnsi="Arial"/>
                <w:b w:val="false"/>
                <w:bCs w:val="false"/>
              </w:rPr>
              <w:t>ABX 32 (Nation)</w:t>
            </w:r>
          </w:p>
          <w:p>
            <w:pPr>
              <w:pStyle w:val="Normal"/>
              <w:rPr>
                <w:rFonts w:ascii="Arial" w:hAnsi="Arial" w:cs="Arial"/>
                <w:b/>
                <w:bCs/>
                <w:sz w:val="20"/>
              </w:rPr>
            </w:pPr>
            <w:r>
              <w:rPr>
                <w:rFonts w:cs="Arial" w:ascii="Arial" w:hAnsi="Arial"/>
                <w:b/>
                <w:bCs/>
                <w:sz w:val="20"/>
              </w:rPr>
            </w:r>
          </w:p>
        </w:tc>
        <w:tc>
          <w:tcPr>
            <w:tcW w:w="53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Requires the CPUC to establish a 3-tier rate structure for residential customers with certain exceptions.  (With no cross-subsidization of customer categories).  Tier pricing based on three levels of procurement costs.  Also provides that the CPUC shall take steps to ensure the installation of TOU meters for at least 20% of nonresidential customers.</w:t>
            </w:r>
          </w:p>
          <w:p>
            <w:pPr>
              <w:pStyle w:val="NormalWeb"/>
              <w:spacing w:before="280" w:after="0"/>
              <w:rPr>
                <w:rFonts w:ascii="Arial" w:hAnsi="Arial" w:cs="Arial"/>
                <w:sz w:val="20"/>
              </w:rPr>
            </w:pPr>
            <w:hyperlink r:id="rId8">
              <w:r>
                <w:rPr>
                  <w:rStyle w:val="Hyperlink"/>
                  <w:rFonts w:cs="Arial" w:ascii="Arial" w:hAnsi="Arial"/>
                  <w:sz w:val="20"/>
                </w:rPr>
                <w:t>http://info.sen.ca.gov/cgi-bin/postquery?bill_number=abx1_32&amp;sess=CUR&amp;house=B&amp;site=sen</w:t>
              </w:r>
            </w:hyperlink>
          </w:p>
        </w:tc>
        <w:tc>
          <w:tcPr>
            <w:tcW w:w="13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 xml:space="preserve">Support in concept </w:t>
            </w:r>
          </w:p>
        </w:tc>
        <w:tc>
          <w:tcPr>
            <w:tcW w:w="18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Stalled in committee</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Supported by moderate assembly dems; insufficient assembly leadership support</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 xml:space="preserve">No letter since concept gelled </w:t>
            </w:r>
          </w:p>
        </w:tc>
      </w:tr>
    </w:tbl>
    <w:p>
      <w:pPr>
        <w:pStyle w:val="Normal"/>
        <w:jc w:val="center"/>
        <w:rPr/>
      </w:pPr>
      <w:r>
        <w:br w:type="page"/>
      </w:r>
      <w:r>
        <w:rPr/>
      </w:r>
    </w:p>
    <w:tbl>
      <w:tblPr>
        <w:tblW w:w="14252" w:type="dxa"/>
        <w:jc w:val="center"/>
        <w:tblInd w:w="0" w:type="dxa"/>
        <w:tblLayout w:type="fixed"/>
        <w:tblCellMar>
          <w:top w:w="60" w:type="dxa"/>
          <w:start w:w="60" w:type="dxa"/>
          <w:bottom w:w="60" w:type="dxa"/>
          <w:end w:w="60" w:type="dxa"/>
        </w:tblCellMar>
      </w:tblPr>
      <w:tblGrid>
        <w:gridCol w:w="1292"/>
        <w:gridCol w:w="4808"/>
        <w:gridCol w:w="1440"/>
        <w:gridCol w:w="1980"/>
        <w:gridCol w:w="2512"/>
        <w:gridCol w:w="2220"/>
      </w:tblGrid>
      <w:tr>
        <w:trPr>
          <w:trHeight w:val="50" w:hRule="atLeast"/>
        </w:trPr>
        <w:tc>
          <w:tcPr>
            <w:tcW w:w="129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ABX1 18 (Hertzberg)</w:t>
            </w:r>
          </w:p>
        </w:tc>
        <w:tc>
          <w:tcPr>
            <w:tcW w:w="480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0" w:after="280"/>
              <w:rPr/>
            </w:pPr>
            <w:r>
              <w:rPr>
                <w:rFonts w:cs="Arial" w:ascii="Arial" w:hAnsi="Arial"/>
                <w:sz w:val="20"/>
              </w:rPr>
              <w:t>Dir. of Finance can accept any asset of an IOU for state’s benefit</w:t>
            </w:r>
            <w:r>
              <w:rPr>
                <w:rFonts w:cs="Arial" w:ascii="Arial" w:hAnsi="Arial"/>
                <w:b/>
                <w:bCs/>
                <w:sz w:val="20"/>
              </w:rPr>
              <w:t>;</w:t>
            </w:r>
            <w:r>
              <w:rPr>
                <w:rFonts w:cs="Arial" w:ascii="Arial" w:hAnsi="Arial"/>
                <w:sz w:val="20"/>
              </w:rPr>
              <w:t xml:space="preserve"> Loan from the General Fund to DWR for money, paid back from new issued bonds; New rates to allow electrical corporations to recover losses; DWR can make public/private contracts for purchase and sale of electricity; Numerous other provisions under this bill.</w:t>
            </w:r>
          </w:p>
          <w:p>
            <w:pPr>
              <w:pStyle w:val="NormalWeb"/>
              <w:spacing w:before="280" w:after="0"/>
              <w:rPr>
                <w:rFonts w:ascii="Arial" w:hAnsi="Arial" w:cs="Arial"/>
                <w:sz w:val="20"/>
              </w:rPr>
            </w:pPr>
            <w:hyperlink r:id="rId9">
              <w:r>
                <w:rPr>
                  <w:rStyle w:val="Hyperlink"/>
                  <w:rFonts w:cs="Arial" w:ascii="Arial" w:hAnsi="Arial"/>
                  <w:sz w:val="20"/>
                </w:rPr>
                <w:t>http://info.sen.ca.gov/cgi-bin/postquery?bill_number=abx1_18&amp;sess=CUR&amp;house=B&amp;site=sen</w:t>
              </w:r>
            </w:hyperlink>
          </w:p>
        </w:tc>
        <w:tc>
          <w:tcPr>
            <w:tcW w:w="14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BodyText2"/>
              <w:snapToGrid w:val="false"/>
              <w:rPr>
                <w:rFonts w:ascii="Arial" w:hAnsi="Arial" w:cs="Arial"/>
                <w:sz w:val="20"/>
              </w:rPr>
            </w:pPr>
            <w:r>
              <w:rPr>
                <w:rFonts w:cs="Arial"/>
                <w:sz w:val="20"/>
              </w:rPr>
            </w:r>
          </w:p>
          <w:p>
            <w:pPr>
              <w:pStyle w:val="BodyText2"/>
              <w:rPr/>
            </w:pPr>
            <w:r>
              <w:rPr/>
              <w:t>Oppose Trans-mission takeover—</w:t>
            </w:r>
          </w:p>
          <w:p>
            <w:pPr>
              <w:pStyle w:val="Normal"/>
              <w:jc w:val="center"/>
              <w:rPr>
                <w:rFonts w:ascii="Arial" w:hAnsi="Arial" w:cs="Arial"/>
                <w:sz w:val="20"/>
                <w:szCs w:val="20"/>
              </w:rPr>
            </w:pPr>
            <w:r>
              <w:rPr>
                <w:rFonts w:cs="Arial" w:ascii="Arial" w:hAnsi="Arial"/>
                <w:sz w:val="20"/>
                <w:szCs w:val="20"/>
              </w:rPr>
              <w:t>No Position</w:t>
            </w:r>
          </w:p>
          <w:p>
            <w:pPr>
              <w:pStyle w:val="Normal"/>
              <w:jc w:val="center"/>
              <w:rPr>
                <w:rFonts w:ascii="Arial" w:hAnsi="Arial" w:cs="Arial"/>
                <w:color w:val="000000"/>
                <w:sz w:val="20"/>
                <w:szCs w:val="20"/>
              </w:rPr>
            </w:pPr>
            <w:r>
              <w:rPr>
                <w:rFonts w:cs="Arial" w:ascii="Arial" w:hAnsi="Arial"/>
                <w:color w:val="000000"/>
                <w:sz w:val="20"/>
                <w:szCs w:val="20"/>
              </w:rPr>
            </w:r>
          </w:p>
        </w:tc>
        <w:tc>
          <w:tcPr>
            <w:tcW w:w="198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Stalled in policy committee of the special session (Wright)</w:t>
            </w:r>
          </w:p>
        </w:tc>
        <w:tc>
          <w:tcPr>
            <w:tcW w:w="25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Governor’s office</w:t>
            </w:r>
          </w:p>
          <w:p>
            <w:pPr>
              <w:pStyle w:val="Normal"/>
              <w:rPr>
                <w:rFonts w:ascii="Arial" w:hAnsi="Arial" w:cs="Arial"/>
                <w:color w:val="000000"/>
                <w:sz w:val="20"/>
              </w:rPr>
            </w:pPr>
            <w:r>
              <w:rPr>
                <w:rFonts w:cs="Arial" w:ascii="Arial" w:hAnsi="Arial"/>
                <w:color w:val="000000"/>
                <w:sz w:val="20"/>
              </w:rPr>
              <w:t>Consumer Groups</w:t>
            </w:r>
          </w:p>
          <w:p>
            <w:pPr>
              <w:pStyle w:val="Normal"/>
              <w:rPr>
                <w:rFonts w:ascii="Arial" w:hAnsi="Arial" w:cs="Arial"/>
                <w:color w:val="000000"/>
                <w:sz w:val="20"/>
              </w:rPr>
            </w:pPr>
            <w:r>
              <w:rPr>
                <w:rFonts w:cs="Arial" w:ascii="Arial" w:hAnsi="Arial"/>
                <w:color w:val="000000"/>
                <w:sz w:val="20"/>
              </w:rPr>
              <w:t>Support</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Business Against, not coordinated</w:t>
            </w:r>
          </w:p>
          <w:p>
            <w:pPr>
              <w:pStyle w:val="Normal"/>
              <w:rPr>
                <w:rFonts w:ascii="Arial" w:hAnsi="Arial" w:cs="Arial"/>
                <w:color w:val="000000"/>
                <w:sz w:val="20"/>
              </w:rPr>
            </w:pPr>
            <w:r>
              <w:rPr>
                <w:rFonts w:cs="Arial" w:ascii="Arial" w:hAnsi="Arial"/>
                <w:color w:val="000000"/>
                <w:sz w:val="20"/>
              </w:rPr>
            </w:r>
          </w:p>
        </w:tc>
        <w:tc>
          <w:tcPr>
            <w:tcW w:w="222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No letter; strategic neutrality</w:t>
            </w:r>
          </w:p>
        </w:tc>
      </w:tr>
      <w:tr>
        <w:trPr/>
        <w:tc>
          <w:tcPr>
            <w:tcW w:w="129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rFonts w:ascii="Arial" w:hAnsi="Arial" w:cs="Arial"/>
                <w:b/>
                <w:bCs/>
                <w:color w:val="000000"/>
                <w:sz w:val="20"/>
                <w:szCs w:val="20"/>
              </w:rPr>
            </w:pPr>
            <w:r>
              <w:rPr>
                <w:rFonts w:cs="Arial" w:ascii="Arial" w:hAnsi="Arial"/>
                <w:b/>
                <w:bCs/>
                <w:color w:val="000000"/>
                <w:sz w:val="20"/>
                <w:szCs w:val="20"/>
              </w:rPr>
            </w:r>
          </w:p>
        </w:tc>
        <w:tc>
          <w:tcPr>
            <w:tcW w:w="480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sz w:val="20"/>
              </w:rPr>
            </w:pPr>
            <w:r>
              <w:rPr>
                <w:rFonts w:cs="Arial" w:ascii="Arial" w:hAnsi="Arial"/>
                <w:b/>
                <w:bCs/>
                <w:sz w:val="20"/>
              </w:rPr>
              <w:t>MARKET PLAN</w:t>
            </w:r>
          </w:p>
        </w:tc>
        <w:tc>
          <w:tcPr>
            <w:tcW w:w="14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sz w:val="20"/>
              </w:rPr>
            </w:pPr>
            <w:r>
              <w:rPr>
                <w:rFonts w:cs="Arial" w:ascii="Arial" w:hAnsi="Arial"/>
                <w:sz w:val="20"/>
              </w:rPr>
            </w:r>
          </w:p>
        </w:tc>
        <w:tc>
          <w:tcPr>
            <w:tcW w:w="198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25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tc>
        <w:tc>
          <w:tcPr>
            <w:tcW w:w="222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tc>
      </w:tr>
      <w:tr>
        <w:trPr/>
        <w:tc>
          <w:tcPr>
            <w:tcW w:w="129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sz w:val="20"/>
                <w:szCs w:val="20"/>
              </w:rPr>
              <w:t>SBX 27 (Bowen)</w:t>
            </w:r>
            <w:r>
              <w:rPr>
                <w:rFonts w:cs="Arial" w:ascii="Arial" w:hAnsi="Arial"/>
                <w:sz w:val="20"/>
              </w:rPr>
              <w:t xml:space="preserve"> </w:t>
            </w:r>
          </w:p>
        </w:tc>
        <w:tc>
          <w:tcPr>
            <w:tcW w:w="480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Amends a section of ABX 1 dealing with the ability of customers to receive service from providers other than DWR. (Intended as a vehicle for direct access restoration.)</w:t>
            </w:r>
          </w:p>
          <w:p>
            <w:pPr>
              <w:pStyle w:val="NormalWeb"/>
              <w:spacing w:before="280" w:after="0"/>
              <w:rPr>
                <w:rFonts w:ascii="Arial" w:hAnsi="Arial" w:cs="Arial"/>
                <w:sz w:val="20"/>
              </w:rPr>
            </w:pPr>
            <w:hyperlink r:id="rId10">
              <w:r>
                <w:rPr>
                  <w:rStyle w:val="Hyperlink"/>
                  <w:rFonts w:cs="Arial" w:ascii="Arial" w:hAnsi="Arial"/>
                  <w:sz w:val="20"/>
                </w:rPr>
                <w:t>http://info.sen.ca.gov/cgi-bin/postquery?bill_number=sbx1_27&amp;sess=CUR&amp;house=B&amp;site=sen</w:t>
              </w:r>
            </w:hyperlink>
          </w:p>
        </w:tc>
        <w:tc>
          <w:tcPr>
            <w:tcW w:w="14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 in concept; details are critical</w:t>
            </w:r>
          </w:p>
        </w:tc>
        <w:tc>
          <w:tcPr>
            <w:tcW w:w="198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 xml:space="preserve">Negotiations have stalled due to </w:t>
            </w:r>
          </w:p>
          <w:p>
            <w:pPr>
              <w:pStyle w:val="Normal"/>
              <w:jc w:val="center"/>
              <w:rPr>
                <w:rFonts w:ascii="Arial" w:hAnsi="Arial" w:cs="Arial"/>
                <w:color w:val="000000"/>
                <w:sz w:val="20"/>
              </w:rPr>
            </w:pPr>
            <w:r>
              <w:rPr>
                <w:rFonts w:cs="Arial" w:ascii="Arial" w:hAnsi="Arial"/>
                <w:color w:val="000000"/>
                <w:sz w:val="20"/>
              </w:rPr>
              <w:t>Dep. of Finance opposition in Sen. Appropriations</w:t>
            </w:r>
          </w:p>
        </w:tc>
        <w:tc>
          <w:tcPr>
            <w:tcW w:w="25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BodyText"/>
              <w:rPr>
                <w:rFonts w:ascii="Arial" w:hAnsi="Arial" w:cs="Arial"/>
              </w:rPr>
            </w:pPr>
            <w:r>
              <w:rPr>
                <w:rFonts w:cs="Arial" w:ascii="Arial" w:hAnsi="Arial"/>
              </w:rPr>
              <w:t>Main business voice is Direct Access Coalition</w:t>
            </w:r>
          </w:p>
          <w:p>
            <w:pPr>
              <w:pStyle w:val="Normal"/>
              <w:rPr>
                <w:rFonts w:ascii="Arial" w:hAnsi="Arial" w:cs="Arial"/>
                <w:color w:val="000000"/>
                <w:sz w:val="20"/>
              </w:rPr>
            </w:pPr>
            <w:r>
              <w:rPr>
                <w:rFonts w:cs="Arial" w:ascii="Arial" w:hAnsi="Arial"/>
                <w:color w:val="000000"/>
                <w:sz w:val="20"/>
              </w:rPr>
            </w:r>
          </w:p>
        </w:tc>
        <w:tc>
          <w:tcPr>
            <w:tcW w:w="2220" w:type="dxa"/>
            <w:tcBorders>
              <w:top w:val="thickThinLargeGap" w:sz="6" w:space="0" w:color="808080"/>
              <w:start w:val="thickThinLargeGap" w:sz="6" w:space="0" w:color="808080"/>
              <w:bottom w:val="thickThinLargeGap" w:sz="6" w:space="0" w:color="808080"/>
              <w:end w:val="thickThinLargeGap" w:sz="6" w:space="0" w:color="808080"/>
            </w:tcBorders>
          </w:tcPr>
          <w:p>
            <w:pPr>
              <w:pStyle w:val="BodyText3"/>
              <w:snapToGrid w:val="false"/>
              <w:rPr>
                <w:rFonts w:ascii="Arial" w:hAnsi="Arial" w:cs="Arial"/>
                <w:color w:val="000000"/>
                <w:sz w:val="20"/>
              </w:rPr>
            </w:pPr>
            <w:r>
              <w:rPr>
                <w:rFonts w:cs="Arial"/>
                <w:color w:val="000000"/>
                <w:sz w:val="20"/>
              </w:rPr>
            </w:r>
          </w:p>
          <w:p>
            <w:pPr>
              <w:pStyle w:val="BodyText3"/>
              <w:rPr/>
            </w:pPr>
            <w:r>
              <w:rPr/>
              <w:t>No letter; concept remained in flux; current approach not supportable</w:t>
            </w:r>
          </w:p>
          <w:p>
            <w:pPr>
              <w:pStyle w:val="Normal"/>
              <w:tabs>
                <w:tab w:val="clear" w:pos="720"/>
                <w:tab w:val="left" w:pos="0" w:leader="none"/>
              </w:tabs>
              <w:rPr>
                <w:rFonts w:ascii="Arial" w:hAnsi="Arial" w:cs="Arial"/>
                <w:color w:val="000000"/>
                <w:sz w:val="20"/>
              </w:rPr>
            </w:pPr>
            <w:r>
              <w:rPr>
                <w:rFonts w:cs="Arial" w:ascii="Arial" w:hAnsi="Arial"/>
                <w:color w:val="000000"/>
                <w:sz w:val="20"/>
              </w:rPr>
              <w:t>Seeking Direct access through Hertzberg alternate.</w:t>
            </w:r>
          </w:p>
        </w:tc>
      </w:tr>
      <w:tr>
        <w:trPr/>
        <w:tc>
          <w:tcPr>
            <w:tcW w:w="129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SBX 18 (Escutia)</w:t>
            </w:r>
          </w:p>
        </w:tc>
        <w:tc>
          <w:tcPr>
            <w:tcW w:w="480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Dedicates retained generation to serve core customers after rate freeze declared over.  Sets limit for core customers at 500 kW service.</w:t>
            </w:r>
          </w:p>
          <w:p>
            <w:pPr>
              <w:pStyle w:val="NormalWeb"/>
              <w:spacing w:before="280" w:after="0"/>
              <w:rPr>
                <w:rFonts w:ascii="Arial" w:hAnsi="Arial" w:cs="Arial"/>
                <w:sz w:val="20"/>
              </w:rPr>
            </w:pPr>
            <w:hyperlink r:id="rId11">
              <w:r>
                <w:rPr>
                  <w:rStyle w:val="Hyperlink"/>
                  <w:rFonts w:cs="Arial" w:ascii="Arial" w:hAnsi="Arial"/>
                  <w:sz w:val="20"/>
                </w:rPr>
                <w:t>http://info.sen.ca.gov/cgi-bin/postquery?bill_number=sbx1_18&amp;sess=CUR&amp;house=B&amp;site=sen</w:t>
              </w:r>
            </w:hyperlink>
          </w:p>
        </w:tc>
        <w:tc>
          <w:tcPr>
            <w:tcW w:w="14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Oppose</w:t>
            </w:r>
          </w:p>
        </w:tc>
        <w:tc>
          <w:tcPr>
            <w:tcW w:w="198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Stalled in Energy and Utilities Comm.</w:t>
            </w:r>
          </w:p>
        </w:tc>
        <w:tc>
          <w:tcPr>
            <w:tcW w:w="25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Core/non-core approach resurfaced in Hertzberg proposal</w:t>
            </w:r>
          </w:p>
        </w:tc>
        <w:tc>
          <w:tcPr>
            <w:tcW w:w="222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tabs>
                <w:tab w:val="clear" w:pos="720"/>
                <w:tab w:val="left" w:pos="259" w:leader="none"/>
              </w:tabs>
              <w:snapToGrid w:val="false"/>
              <w:rPr>
                <w:rFonts w:ascii="Arial" w:hAnsi="Arial" w:cs="Arial"/>
                <w:color w:val="000000"/>
                <w:sz w:val="20"/>
              </w:rPr>
            </w:pPr>
            <w:r>
              <w:rPr>
                <w:rFonts w:cs="Arial" w:ascii="Arial" w:hAnsi="Arial"/>
                <w:color w:val="000000"/>
                <w:sz w:val="20"/>
              </w:rPr>
            </w:r>
          </w:p>
          <w:p>
            <w:pPr>
              <w:pStyle w:val="Normal"/>
              <w:tabs>
                <w:tab w:val="clear" w:pos="720"/>
                <w:tab w:val="left" w:pos="259" w:leader="none"/>
              </w:tabs>
              <w:rPr>
                <w:rFonts w:ascii="Arial" w:hAnsi="Arial" w:cs="Arial"/>
                <w:color w:val="000000"/>
                <w:sz w:val="20"/>
              </w:rPr>
            </w:pPr>
            <w:r>
              <w:rPr>
                <w:rFonts w:cs="Arial" w:ascii="Arial" w:hAnsi="Arial"/>
                <w:color w:val="000000"/>
                <w:sz w:val="20"/>
              </w:rPr>
            </w:r>
          </w:p>
          <w:p>
            <w:pPr>
              <w:pStyle w:val="Normal"/>
              <w:tabs>
                <w:tab w:val="clear" w:pos="720"/>
                <w:tab w:val="left" w:pos="259" w:leader="none"/>
              </w:tabs>
              <w:jc w:val="center"/>
              <w:rPr>
                <w:rFonts w:ascii="Arial" w:hAnsi="Arial" w:cs="Arial"/>
                <w:color w:val="000000"/>
                <w:sz w:val="20"/>
              </w:rPr>
            </w:pPr>
            <w:r>
              <w:rPr>
                <w:rFonts w:cs="Arial" w:ascii="Arial" w:hAnsi="Arial"/>
                <w:color w:val="000000"/>
                <w:sz w:val="20"/>
              </w:rPr>
              <w:t>Strategic silence since bill had insufficient support</w:t>
            </w:r>
          </w:p>
        </w:tc>
      </w:tr>
      <w:tr>
        <w:trPr/>
        <w:tc>
          <w:tcPr>
            <w:tcW w:w="129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M.O.U. (Plan “A”)</w:t>
            </w:r>
          </w:p>
        </w:tc>
        <w:tc>
          <w:tcPr>
            <w:tcW w:w="480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Southern Cal. Edison Transmission line purchase.  Governor’s negotiated plan.</w:t>
            </w:r>
          </w:p>
          <w:p>
            <w:pPr>
              <w:pStyle w:val="NormalWeb"/>
              <w:spacing w:before="280" w:after="0"/>
              <w:rPr>
                <w:rFonts w:ascii="Arial" w:hAnsi="Arial" w:cs="Arial"/>
                <w:sz w:val="20"/>
              </w:rPr>
            </w:pPr>
            <w:r>
              <w:rPr>
                <w:rFonts w:cs="Arial" w:ascii="Arial" w:hAnsi="Arial"/>
                <w:sz w:val="20"/>
              </w:rPr>
            </w:r>
          </w:p>
        </w:tc>
        <w:tc>
          <w:tcPr>
            <w:tcW w:w="14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Watch</w:t>
            </w:r>
          </w:p>
        </w:tc>
        <w:tc>
          <w:tcPr>
            <w:tcW w:w="198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Stalled</w:t>
            </w:r>
          </w:p>
        </w:tc>
        <w:tc>
          <w:tcPr>
            <w:tcW w:w="25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Insufficient legislative support</w:t>
            </w:r>
          </w:p>
        </w:tc>
        <w:tc>
          <w:tcPr>
            <w:tcW w:w="222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ind w:end="-367"/>
              <w:jc w:val="center"/>
              <w:rPr>
                <w:rFonts w:ascii="Arial" w:hAnsi="Arial" w:cs="Arial"/>
                <w:color w:val="000000"/>
                <w:sz w:val="20"/>
              </w:rPr>
            </w:pPr>
            <w:r>
              <w:rPr>
                <w:rFonts w:cs="Arial" w:ascii="Arial" w:hAnsi="Arial"/>
                <w:color w:val="000000"/>
                <w:sz w:val="20"/>
              </w:rPr>
              <w:t>Strategic silence since bill not supported</w:t>
            </w:r>
          </w:p>
        </w:tc>
      </w:tr>
      <w:tr>
        <w:trPr/>
        <w:tc>
          <w:tcPr>
            <w:tcW w:w="129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Hertzberg Plan Alternate</w:t>
            </w:r>
          </w:p>
        </w:tc>
        <w:tc>
          <w:tcPr>
            <w:tcW w:w="480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 xml:space="preserve">Core-Non-core approach designed to pay SCE and DWR undercollections, allocate disproportionately to business.  Larger users regain direct access contacts.   </w:t>
            </w:r>
          </w:p>
          <w:p>
            <w:pPr>
              <w:pStyle w:val="NormalWeb"/>
              <w:spacing w:before="280" w:after="0"/>
              <w:rPr>
                <w:rFonts w:ascii="Arial" w:hAnsi="Arial" w:cs="Arial"/>
                <w:sz w:val="20"/>
              </w:rPr>
            </w:pPr>
            <w:r>
              <w:rPr>
                <w:rFonts w:cs="Arial" w:ascii="Arial" w:hAnsi="Arial"/>
                <w:sz w:val="20"/>
              </w:rPr>
            </w:r>
          </w:p>
        </w:tc>
        <w:tc>
          <w:tcPr>
            <w:tcW w:w="14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Watch</w:t>
            </w:r>
          </w:p>
        </w:tc>
        <w:tc>
          <w:tcPr>
            <w:tcW w:w="198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 xml:space="preserve">Stalled </w:t>
            </w:r>
          </w:p>
        </w:tc>
        <w:tc>
          <w:tcPr>
            <w:tcW w:w="25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tc>
        <w:tc>
          <w:tcPr>
            <w:tcW w:w="222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ind w:start="360" w:end="0"/>
              <w:rPr>
                <w:rFonts w:ascii="Arial" w:hAnsi="Arial" w:cs="Arial"/>
                <w:color w:val="000000"/>
                <w:sz w:val="20"/>
              </w:rPr>
            </w:pPr>
            <w:r>
              <w:rPr>
                <w:rFonts w:cs="Arial" w:ascii="Arial" w:hAnsi="Arial"/>
                <w:color w:val="000000"/>
                <w:sz w:val="20"/>
              </w:rPr>
            </w:r>
          </w:p>
        </w:tc>
      </w:tr>
    </w:tbl>
    <w:p>
      <w:pPr>
        <w:pStyle w:val="Normal"/>
        <w:jc w:val="center"/>
        <w:rPr>
          <w:b/>
          <w:bCs/>
        </w:rPr>
      </w:pPr>
      <w:r>
        <w:br w:type="page"/>
      </w:r>
      <w:r>
        <w:rPr>
          <w:b/>
          <w:bCs/>
        </w:rPr>
      </w:r>
    </w:p>
    <w:tbl>
      <w:tblPr>
        <w:tblW w:w="14260" w:type="dxa"/>
        <w:jc w:val="center"/>
        <w:tblInd w:w="0" w:type="dxa"/>
        <w:tblLayout w:type="fixed"/>
        <w:tblCellMar>
          <w:top w:w="60" w:type="dxa"/>
          <w:start w:w="60" w:type="dxa"/>
          <w:bottom w:w="60" w:type="dxa"/>
          <w:end w:w="60" w:type="dxa"/>
        </w:tblCellMar>
      </w:tblPr>
      <w:tblGrid>
        <w:gridCol w:w="1385"/>
        <w:gridCol w:w="4665"/>
        <w:gridCol w:w="1422"/>
        <w:gridCol w:w="1970"/>
        <w:gridCol w:w="2507"/>
        <w:gridCol w:w="2218"/>
        <w:gridCol w:w="93"/>
      </w:tblGrid>
      <w:tr>
        <w:trPr/>
        <w:tc>
          <w:tcPr>
            <w:tcW w:w="138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1"/>
              <w:snapToGrid w:val="false"/>
              <w:ind w:hanging="0" w:start="0"/>
              <w:rPr>
                <w:rFonts w:ascii="Arial" w:hAnsi="Arial" w:cs="Arial"/>
                <w:b w:val="false"/>
                <w:bCs w:val="false"/>
              </w:rPr>
            </w:pPr>
            <w:r>
              <w:rPr>
                <w:rFonts w:cs="Arial" w:ascii="Arial" w:hAnsi="Arial"/>
                <w:b w:val="false"/>
                <w:bCs w:val="false"/>
              </w:rPr>
            </w:r>
          </w:p>
        </w:tc>
        <w:tc>
          <w:tcPr>
            <w:tcW w:w="466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b/>
                <w:bCs/>
                <w:sz w:val="20"/>
              </w:rPr>
            </w:pPr>
            <w:r>
              <w:rPr>
                <w:rFonts w:cs="Arial" w:ascii="Arial" w:hAnsi="Arial"/>
                <w:b/>
                <w:bCs/>
                <w:sz w:val="20"/>
              </w:rPr>
              <w:t>DISTRIBUTED GENERATION</w:t>
            </w:r>
          </w:p>
        </w:tc>
        <w:tc>
          <w:tcPr>
            <w:tcW w:w="142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rPr>
            </w:pPr>
            <w:r>
              <w:rPr>
                <w:rFonts w:cs="Arial" w:ascii="Arial" w:hAnsi="Arial"/>
                <w:b/>
                <w:bCs/>
                <w:color w:val="000000"/>
                <w:sz w:val="20"/>
              </w:rPr>
            </w:r>
          </w:p>
        </w:tc>
        <w:tc>
          <w:tcPr>
            <w:tcW w:w="197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250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tc>
        <w:tc>
          <w:tcPr>
            <w:tcW w:w="2311" w:type="dxa"/>
            <w:gridSpan w:val="2"/>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ind w:start="360" w:end="0"/>
              <w:rPr>
                <w:rFonts w:ascii="Arial" w:hAnsi="Arial" w:cs="Arial"/>
                <w:color w:val="000000"/>
                <w:sz w:val="20"/>
              </w:rPr>
            </w:pPr>
            <w:r>
              <w:rPr>
                <w:rFonts w:cs="Arial" w:ascii="Arial" w:hAnsi="Arial"/>
                <w:color w:val="000000"/>
                <w:sz w:val="20"/>
              </w:rPr>
            </w:r>
          </w:p>
        </w:tc>
      </w:tr>
      <w:tr>
        <w:trPr/>
        <w:tc>
          <w:tcPr>
            <w:tcW w:w="138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AB61X (Alquist/</w:t>
            </w:r>
          </w:p>
          <w:p>
            <w:pPr>
              <w:pStyle w:val="Normal"/>
              <w:rPr>
                <w:rFonts w:ascii="Arial" w:hAnsi="Arial" w:cs="Arial"/>
                <w:sz w:val="20"/>
                <w:szCs w:val="20"/>
              </w:rPr>
            </w:pPr>
            <w:r>
              <w:rPr>
                <w:rFonts w:cs="Arial" w:ascii="Arial" w:hAnsi="Arial"/>
                <w:sz w:val="20"/>
                <w:szCs w:val="20"/>
              </w:rPr>
              <w:t>Simitian)</w:t>
            </w:r>
          </w:p>
        </w:tc>
        <w:tc>
          <w:tcPr>
            <w:tcW w:w="466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Distributed Generation - Removes barriers to support quick permitting, inter connections w/ grid.</w:t>
            </w:r>
          </w:p>
          <w:p>
            <w:pPr>
              <w:pStyle w:val="NormalWeb"/>
              <w:spacing w:before="280" w:after="0"/>
              <w:rPr>
                <w:rFonts w:ascii="Arial" w:hAnsi="Arial" w:cs="Arial"/>
                <w:sz w:val="20"/>
              </w:rPr>
            </w:pPr>
            <w:hyperlink r:id="rId12">
              <w:r>
                <w:rPr>
                  <w:rStyle w:val="Hyperlink"/>
                  <w:rFonts w:cs="Arial" w:ascii="Arial" w:hAnsi="Arial"/>
                  <w:sz w:val="20"/>
                </w:rPr>
                <w:t>http://info.sen.ca.gov/cgi-bin/postquery?bill_number=abx1_61&amp;sess=CUR&amp;house=B&amp;site=sen</w:t>
              </w:r>
            </w:hyperlink>
          </w:p>
        </w:tc>
        <w:tc>
          <w:tcPr>
            <w:tcW w:w="142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Support in concept</w:t>
            </w:r>
          </w:p>
        </w:tc>
        <w:tc>
          <w:tcPr>
            <w:tcW w:w="197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Stalled</w:t>
            </w:r>
          </w:p>
        </w:tc>
        <w:tc>
          <w:tcPr>
            <w:tcW w:w="250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No support from Assembly leadership</w:t>
            </w:r>
          </w:p>
        </w:tc>
        <w:tc>
          <w:tcPr>
            <w:tcW w:w="2311" w:type="dxa"/>
            <w:gridSpan w:val="2"/>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No letter</w:t>
            </w:r>
          </w:p>
          <w:p>
            <w:pPr>
              <w:pStyle w:val="Normal"/>
              <w:ind w:end="-70"/>
              <w:jc w:val="center"/>
              <w:rPr>
                <w:rFonts w:ascii="Arial" w:hAnsi="Arial" w:cs="Arial"/>
                <w:color w:val="000000"/>
                <w:sz w:val="20"/>
              </w:rPr>
            </w:pPr>
            <w:r>
              <w:rPr>
                <w:rFonts w:cs="Arial" w:ascii="Arial" w:hAnsi="Arial"/>
                <w:color w:val="000000"/>
                <w:sz w:val="20"/>
              </w:rPr>
              <w:t>Strategic support - final version not substantial improvements</w:t>
            </w:r>
          </w:p>
        </w:tc>
      </w:tr>
      <w:tr>
        <w:trPr/>
        <w:tc>
          <w:tcPr>
            <w:tcW w:w="138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rFonts w:ascii="Arial" w:hAnsi="Arial" w:cs="Arial"/>
                <w:color w:val="000000"/>
                <w:sz w:val="20"/>
                <w:szCs w:val="20"/>
              </w:rPr>
            </w:pPr>
            <w:r>
              <w:rPr>
                <w:rFonts w:cs="Arial" w:ascii="Arial" w:hAnsi="Arial"/>
                <w:color w:val="000000"/>
                <w:sz w:val="20"/>
                <w:szCs w:val="20"/>
              </w:rPr>
            </w:r>
          </w:p>
        </w:tc>
        <w:tc>
          <w:tcPr>
            <w:tcW w:w="466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b/>
                <w:bCs/>
                <w:sz w:val="20"/>
              </w:rPr>
            </w:pPr>
            <w:r>
              <w:rPr>
                <w:rFonts w:cs="Arial" w:ascii="Arial" w:hAnsi="Arial"/>
                <w:b/>
                <w:bCs/>
                <w:sz w:val="20"/>
              </w:rPr>
              <w:t>LD. MGMT/INTERRUPTIBLES</w:t>
            </w:r>
          </w:p>
        </w:tc>
        <w:tc>
          <w:tcPr>
            <w:tcW w:w="142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rPr>
            </w:pPr>
            <w:r>
              <w:rPr>
                <w:rFonts w:cs="Arial" w:ascii="Arial" w:hAnsi="Arial"/>
                <w:b/>
                <w:bCs/>
                <w:color w:val="000000"/>
                <w:sz w:val="20"/>
              </w:rPr>
            </w:r>
          </w:p>
        </w:tc>
        <w:tc>
          <w:tcPr>
            <w:tcW w:w="197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rPr>
            </w:pPr>
            <w:r>
              <w:rPr>
                <w:rFonts w:cs="Arial" w:ascii="Arial" w:hAnsi="Arial"/>
                <w:b/>
                <w:bCs/>
                <w:color w:val="000000"/>
                <w:sz w:val="20"/>
              </w:rPr>
            </w:r>
          </w:p>
        </w:tc>
        <w:tc>
          <w:tcPr>
            <w:tcW w:w="250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tc>
        <w:tc>
          <w:tcPr>
            <w:tcW w:w="22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tc>
        <w:tc>
          <w:tcPr>
            <w:tcW w:w="93" w:type="dxa"/>
            <w:tcBorders/>
            <w:tcMar>
              <w:top w:w="0" w:type="dxa"/>
              <w:start w:w="0" w:type="dxa"/>
              <w:bottom w:w="0" w:type="dxa"/>
              <w:end w:w="0" w:type="dxa"/>
            </w:tcMar>
          </w:tcPr>
          <w:p>
            <w:pPr>
              <w:pStyle w:val="Normal"/>
              <w:snapToGrid w:val="false"/>
              <w:rPr>
                <w:rFonts w:ascii="Arial" w:hAnsi="Arial" w:cs="Arial"/>
                <w:color w:val="000000"/>
                <w:sz w:val="20"/>
                <w:szCs w:val="20"/>
              </w:rPr>
            </w:pPr>
            <w:r>
              <w:rPr>
                <w:rFonts w:cs="Arial" w:ascii="Arial" w:hAnsi="Arial"/>
                <w:color w:val="000000"/>
                <w:sz w:val="20"/>
                <w:szCs w:val="20"/>
              </w:rPr>
            </w:r>
          </w:p>
        </w:tc>
      </w:tr>
      <w:tr>
        <w:trPr/>
        <w:tc>
          <w:tcPr>
            <w:tcW w:w="138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color w:val="000000"/>
                <w:sz w:val="20"/>
              </w:rPr>
              <w:t>ABX 31 (Wright)</w:t>
            </w:r>
          </w:p>
        </w:tc>
        <w:tc>
          <w:tcPr>
            <w:tcW w:w="466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Requires the CPUC to adopt by April 30, 2001 regulations to permit demand metered customers to participate in energy and ancillary services markets of the PX and ISO; allows for the continued operation of interruptible programs with heavy industrial customers until 12/31/03 and provides for an opt-out in the event rate increases above the system-wide average are imposed; and requires the CPUC to implement a Bridge Interruptible Program for customers who have met their annual cap hours or events of curtailment.</w:t>
            </w:r>
          </w:p>
          <w:p>
            <w:pPr>
              <w:pStyle w:val="NormalWeb"/>
              <w:spacing w:before="280" w:after="0"/>
              <w:rPr>
                <w:rFonts w:ascii="Arial" w:hAnsi="Arial" w:cs="Arial"/>
                <w:sz w:val="20"/>
              </w:rPr>
            </w:pPr>
            <w:hyperlink r:id="rId13">
              <w:r>
                <w:rPr>
                  <w:rStyle w:val="Hyperlink"/>
                  <w:rFonts w:cs="Arial" w:ascii="Arial" w:hAnsi="Arial"/>
                  <w:sz w:val="20"/>
                </w:rPr>
                <w:t>http://info.sen.ca.gov/cgi-bin/postquery?bill_number=abx1_31&amp;sess=CUR&amp;house=B&amp;site=sen</w:t>
              </w:r>
            </w:hyperlink>
          </w:p>
        </w:tc>
        <w:tc>
          <w:tcPr>
            <w:tcW w:w="142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 xml:space="preserve">Support </w:t>
            </w:r>
          </w:p>
        </w:tc>
        <w:tc>
          <w:tcPr>
            <w:tcW w:w="197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Stalled in Assy. Natural Resources</w:t>
            </w:r>
          </w:p>
        </w:tc>
        <w:tc>
          <w:tcPr>
            <w:tcW w:w="250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CLECA/CMTA</w:t>
            </w:r>
          </w:p>
          <w:p>
            <w:pPr>
              <w:pStyle w:val="Normal"/>
              <w:jc w:val="center"/>
              <w:rPr>
                <w:rFonts w:ascii="Arial" w:hAnsi="Arial" w:cs="Arial"/>
                <w:color w:val="000000"/>
                <w:sz w:val="20"/>
              </w:rPr>
            </w:pPr>
            <w:r>
              <w:rPr>
                <w:rFonts w:cs="Arial" w:ascii="Arial" w:hAnsi="Arial"/>
                <w:color w:val="000000"/>
                <w:sz w:val="20"/>
              </w:rPr>
              <w:t>Utilities; CIU</w:t>
            </w:r>
          </w:p>
          <w:p>
            <w:pPr>
              <w:pStyle w:val="Normal"/>
              <w:jc w:val="center"/>
              <w:rPr>
                <w:rFonts w:ascii="Arial" w:hAnsi="Arial" w:cs="Arial"/>
                <w:color w:val="000000"/>
                <w:sz w:val="20"/>
              </w:rPr>
            </w:pPr>
            <w:r>
              <w:rPr>
                <w:rFonts w:cs="Arial" w:ascii="Arial" w:hAnsi="Arial"/>
                <w:color w:val="000000"/>
                <w:sz w:val="20"/>
              </w:rPr>
              <w:t>TURN against</w:t>
            </w:r>
          </w:p>
        </w:tc>
        <w:tc>
          <w:tcPr>
            <w:tcW w:w="22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BodyText3"/>
              <w:tabs>
                <w:tab w:val="clear" w:pos="0"/>
              </w:tabs>
              <w:jc w:val="center"/>
              <w:rPr>
                <w:rFonts w:ascii="Arial" w:hAnsi="Arial" w:cs="Arial"/>
                <w:color w:val="000000"/>
                <w:sz w:val="20"/>
              </w:rPr>
            </w:pPr>
            <w:r>
              <w:rPr>
                <w:rFonts w:cs="Arial"/>
                <w:color w:val="000000"/>
                <w:sz w:val="20"/>
              </w:rPr>
            </w:r>
          </w:p>
          <w:p>
            <w:pPr>
              <w:pStyle w:val="BodyText3"/>
              <w:tabs>
                <w:tab w:val="clear" w:pos="0"/>
              </w:tabs>
              <w:jc w:val="center"/>
              <w:rPr/>
            </w:pPr>
            <w:r>
              <w:rPr/>
            </w:r>
          </w:p>
          <w:p>
            <w:pPr>
              <w:pStyle w:val="BodyText3"/>
              <w:tabs>
                <w:tab w:val="clear" w:pos="0"/>
              </w:tabs>
              <w:jc w:val="center"/>
              <w:rPr/>
            </w:pPr>
            <w:r>
              <w:rPr/>
              <w:t>No letter.</w:t>
            </w:r>
          </w:p>
          <w:p>
            <w:pPr>
              <w:pStyle w:val="Normal"/>
              <w:jc w:val="center"/>
              <w:rPr>
                <w:rFonts w:ascii="Arial" w:hAnsi="Arial" w:cs="Arial"/>
                <w:color w:val="000000"/>
                <w:sz w:val="20"/>
              </w:rPr>
            </w:pPr>
            <w:r>
              <w:rPr>
                <w:rFonts w:cs="Arial" w:ascii="Arial" w:hAnsi="Arial"/>
                <w:color w:val="000000"/>
                <w:sz w:val="20"/>
              </w:rPr>
              <w:t>Verbal support was provided.</w:t>
            </w:r>
          </w:p>
        </w:tc>
        <w:tc>
          <w:tcPr>
            <w:tcW w:w="93" w:type="dxa"/>
            <w:tcBorders/>
            <w:tcMar>
              <w:top w:w="0" w:type="dxa"/>
              <w:start w:w="0" w:type="dxa"/>
              <w:bottom w:w="0" w:type="dxa"/>
              <w:end w:w="0" w:type="dxa"/>
            </w:tcMar>
          </w:tcPr>
          <w:p>
            <w:pPr>
              <w:pStyle w:val="Normal"/>
              <w:snapToGrid w:val="false"/>
              <w:rPr>
                <w:rFonts w:ascii="Arial" w:hAnsi="Arial" w:cs="Arial"/>
                <w:color w:val="000000"/>
                <w:sz w:val="20"/>
                <w:szCs w:val="20"/>
              </w:rPr>
            </w:pPr>
            <w:r>
              <w:rPr>
                <w:rFonts w:cs="Arial" w:ascii="Arial" w:hAnsi="Arial"/>
                <w:color w:val="000000"/>
                <w:sz w:val="20"/>
                <w:szCs w:val="20"/>
              </w:rPr>
            </w:r>
          </w:p>
        </w:tc>
      </w:tr>
      <w:tr>
        <w:trPr/>
        <w:tc>
          <w:tcPr>
            <w:tcW w:w="138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rFonts w:ascii="Arial" w:hAnsi="Arial" w:cs="Arial"/>
                <w:color w:val="000000"/>
                <w:sz w:val="20"/>
                <w:szCs w:val="20"/>
              </w:rPr>
            </w:pPr>
            <w:r>
              <w:rPr>
                <w:rFonts w:cs="Arial" w:ascii="Arial" w:hAnsi="Arial"/>
                <w:color w:val="000000"/>
                <w:sz w:val="20"/>
                <w:szCs w:val="20"/>
              </w:rPr>
            </w:r>
          </w:p>
        </w:tc>
        <w:tc>
          <w:tcPr>
            <w:tcW w:w="466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280" w:after="0"/>
              <w:jc w:val="center"/>
              <w:rPr>
                <w:rFonts w:ascii="Arial" w:hAnsi="Arial" w:cs="Arial"/>
                <w:b/>
                <w:bCs/>
                <w:sz w:val="20"/>
              </w:rPr>
            </w:pPr>
            <w:r>
              <w:rPr>
                <w:rFonts w:cs="Arial" w:ascii="Arial" w:hAnsi="Arial"/>
                <w:b/>
                <w:bCs/>
                <w:sz w:val="20"/>
              </w:rPr>
              <w:t>CONSERVATION</w:t>
            </w:r>
          </w:p>
        </w:tc>
        <w:tc>
          <w:tcPr>
            <w:tcW w:w="142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b/>
                <w:bCs/>
                <w:color w:val="000000"/>
                <w:sz w:val="20"/>
              </w:rPr>
            </w:pPr>
            <w:r>
              <w:rPr>
                <w:rFonts w:cs="Arial" w:ascii="Arial" w:hAnsi="Arial"/>
                <w:b/>
                <w:bCs/>
                <w:color w:val="000000"/>
                <w:sz w:val="20"/>
              </w:rPr>
            </w:r>
          </w:p>
        </w:tc>
        <w:tc>
          <w:tcPr>
            <w:tcW w:w="197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jc w:val="center"/>
              <w:rPr>
                <w:rFonts w:ascii="Arial" w:hAnsi="Arial" w:cs="Arial"/>
                <w:color w:val="000000"/>
                <w:sz w:val="20"/>
              </w:rPr>
            </w:pPr>
            <w:r>
              <w:rPr>
                <w:rFonts w:cs="Arial" w:ascii="Arial" w:hAnsi="Arial"/>
                <w:color w:val="000000"/>
                <w:sz w:val="20"/>
              </w:rPr>
            </w:r>
          </w:p>
        </w:tc>
        <w:tc>
          <w:tcPr>
            <w:tcW w:w="250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tc>
        <w:tc>
          <w:tcPr>
            <w:tcW w:w="22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tc>
        <w:tc>
          <w:tcPr>
            <w:tcW w:w="93" w:type="dxa"/>
            <w:tcBorders/>
            <w:tcMar>
              <w:top w:w="0" w:type="dxa"/>
              <w:start w:w="0" w:type="dxa"/>
              <w:bottom w:w="0" w:type="dxa"/>
              <w:end w:w="0" w:type="dxa"/>
            </w:tcMar>
          </w:tcPr>
          <w:p>
            <w:pPr>
              <w:pStyle w:val="Normal"/>
              <w:snapToGrid w:val="false"/>
              <w:rPr>
                <w:rFonts w:ascii="Arial" w:hAnsi="Arial" w:cs="Arial"/>
                <w:color w:val="000000"/>
                <w:sz w:val="20"/>
                <w:szCs w:val="20"/>
              </w:rPr>
            </w:pPr>
            <w:r>
              <w:rPr>
                <w:rFonts w:cs="Arial" w:ascii="Arial" w:hAnsi="Arial"/>
                <w:color w:val="000000"/>
                <w:sz w:val="20"/>
                <w:szCs w:val="20"/>
              </w:rPr>
            </w:r>
          </w:p>
        </w:tc>
      </w:tr>
      <w:tr>
        <w:trPr/>
        <w:tc>
          <w:tcPr>
            <w:tcW w:w="138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rPr>
            </w:pPr>
            <w:r>
              <w:rPr>
                <w:rFonts w:cs="Arial" w:ascii="Arial" w:hAnsi="Arial"/>
                <w:sz w:val="20"/>
                <w:szCs w:val="20"/>
              </w:rPr>
              <w:t>SBX 5</w:t>
            </w:r>
            <w:r>
              <w:rPr>
                <w:rFonts w:cs="Arial" w:ascii="Arial" w:hAnsi="Arial"/>
                <w:sz w:val="20"/>
              </w:rPr>
              <w:t xml:space="preserve"> (Sher)</w:t>
            </w:r>
          </w:p>
        </w:tc>
        <w:tc>
          <w:tcPr>
            <w:tcW w:w="466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0" w:after="280"/>
              <w:rPr>
                <w:rFonts w:ascii="Arial" w:hAnsi="Arial" w:cs="Arial"/>
                <w:sz w:val="20"/>
              </w:rPr>
            </w:pPr>
            <w:r>
              <w:rPr>
                <w:rFonts w:cs="Arial" w:ascii="Arial" w:hAnsi="Arial"/>
                <w:sz w:val="20"/>
              </w:rPr>
              <w:t>$850 M in energy efficiency financing in various categories.</w:t>
            </w:r>
          </w:p>
          <w:p>
            <w:pPr>
              <w:pStyle w:val="NormalWeb"/>
              <w:spacing w:before="280" w:after="0"/>
              <w:rPr>
                <w:rFonts w:ascii="Arial" w:hAnsi="Arial" w:cs="Arial"/>
                <w:sz w:val="20"/>
              </w:rPr>
            </w:pPr>
            <w:hyperlink r:id="rId14">
              <w:r>
                <w:rPr>
                  <w:rStyle w:val="Hyperlink"/>
                  <w:rFonts w:cs="Arial" w:ascii="Arial" w:hAnsi="Arial"/>
                  <w:sz w:val="20"/>
                </w:rPr>
                <w:t>http://info.sen.ca.gov/cgi-bin/postquery?bill_number=sbx1_5&amp;sess=CUR&amp;house=B&amp;site=sen</w:t>
              </w:r>
            </w:hyperlink>
          </w:p>
        </w:tc>
        <w:tc>
          <w:tcPr>
            <w:tcW w:w="142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sz w:val="20"/>
              </w:rPr>
              <w:t>Support</w:t>
            </w:r>
          </w:p>
        </w:tc>
        <w:tc>
          <w:tcPr>
            <w:tcW w:w="197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rFonts w:ascii="Arial" w:hAnsi="Arial" w:cs="Arial"/>
                <w:color w:val="000000"/>
                <w:sz w:val="20"/>
              </w:rPr>
            </w:pPr>
            <w:r>
              <w:rPr>
                <w:rFonts w:cs="Arial" w:ascii="Arial" w:hAnsi="Arial"/>
                <w:color w:val="000000"/>
                <w:sz w:val="20"/>
              </w:rPr>
              <w:t>Signed into law</w:t>
            </w:r>
          </w:p>
        </w:tc>
        <w:tc>
          <w:tcPr>
            <w:tcW w:w="2507"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Currently seeking SB5X funding for various proposals such as load management, probabilistic decision tools.</w:t>
            </w:r>
          </w:p>
        </w:tc>
        <w:tc>
          <w:tcPr>
            <w:tcW w:w="22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snapToGrid w:val="false"/>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No letter.</w:t>
            </w:r>
          </w:p>
          <w:p>
            <w:pPr>
              <w:pStyle w:val="Normal"/>
              <w:jc w:val="center"/>
              <w:rPr>
                <w:rFonts w:ascii="Arial" w:hAnsi="Arial" w:cs="Arial"/>
                <w:color w:val="000000"/>
                <w:sz w:val="20"/>
              </w:rPr>
            </w:pPr>
            <w:r>
              <w:rPr>
                <w:rFonts w:cs="Arial" w:ascii="Arial" w:hAnsi="Arial"/>
                <w:color w:val="000000"/>
                <w:sz w:val="20"/>
              </w:rPr>
              <w:t>Verbal support was provided.</w:t>
            </w:r>
          </w:p>
        </w:tc>
        <w:tc>
          <w:tcPr>
            <w:tcW w:w="93" w:type="dxa"/>
            <w:tcBorders/>
            <w:tcMar>
              <w:top w:w="0" w:type="dxa"/>
              <w:start w:w="0" w:type="dxa"/>
              <w:bottom w:w="0" w:type="dxa"/>
              <w:end w:w="0" w:type="dxa"/>
            </w:tcMar>
          </w:tcPr>
          <w:p>
            <w:pPr>
              <w:pStyle w:val="Normal"/>
              <w:snapToGrid w:val="false"/>
              <w:rPr>
                <w:rFonts w:ascii="Arial" w:hAnsi="Arial" w:cs="Arial"/>
                <w:color w:val="000000"/>
                <w:sz w:val="20"/>
                <w:szCs w:val="20"/>
              </w:rPr>
            </w:pPr>
            <w:r>
              <w:rPr>
                <w:rFonts w:cs="Arial" w:ascii="Arial" w:hAnsi="Arial"/>
                <w:color w:val="000000"/>
                <w:sz w:val="20"/>
                <w:szCs w:val="20"/>
              </w:rPr>
            </w:r>
          </w:p>
        </w:tc>
      </w:tr>
    </w:tbl>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eastAsia="Times New Roman" w:cs="Arial"/>
          <w:szCs w:val="24"/>
        </w:rPr>
      </w:pPr>
      <w:r>
        <w:rPr>
          <w:rFonts w:eastAsia="Times New Roman" w:cs="Arial" w:ascii="Arial" w:hAnsi="Arial"/>
          <w:szCs w:val="24"/>
        </w:rPr>
      </w:r>
    </w:p>
    <w:sectPr>
      <w:type w:val="nextPage"/>
      <w:pgSz w:orient="landscape" w:w="15840" w:h="12240"/>
      <w:pgMar w:left="1440" w:right="1440" w:gutter="0" w:header="0" w:top="547"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000000"/>
      <w:sz w:val="20"/>
    </w:rPr>
  </w:style>
  <w:style w:type="paragraph" w:styleId="Heading2">
    <w:name w:val="heading 2"/>
    <w:basedOn w:val="Normal"/>
    <w:next w:val="Normal"/>
    <w:qFormat/>
    <w:pPr>
      <w:keepNext w:val="true"/>
      <w:numPr>
        <w:ilvl w:val="1"/>
        <w:numId w:val="1"/>
      </w:numPr>
      <w:ind w:firstLine="1068" w:start="-1068" w:end="0"/>
      <w:outlineLvl w:val="1"/>
    </w:pPr>
    <w:rPr>
      <w:b/>
      <w:bCs/>
      <w:sz w:val="20"/>
      <w:szCs w:val="20"/>
    </w:rPr>
  </w:style>
  <w:style w:type="paragraph" w:styleId="Heading3">
    <w:name w:val="heading 3"/>
    <w:basedOn w:val="Normal"/>
    <w:next w:val="Normal"/>
    <w:qFormat/>
    <w:pPr>
      <w:keepNext w:val="true"/>
      <w:numPr>
        <w:ilvl w:val="2"/>
        <w:numId w:val="1"/>
      </w:numPr>
      <w:jc w:val="center"/>
      <w:outlineLvl w:val="2"/>
    </w:pPr>
    <w:rPr>
      <w:b/>
      <w:bCs/>
      <w:color w:val="008000"/>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Indent">
    <w:name w:val="Body Text Indent"/>
    <w:basedOn w:val="Normal"/>
    <w:pPr>
      <w:spacing w:before="280" w:after="280"/>
      <w:ind w:hanging="0" w:start="360" w:end="0"/>
    </w:pPr>
    <w:rPr>
      <w:rFonts w:ascii="Arial" w:hAnsi="Arial" w:cs="Arial"/>
    </w:rPr>
  </w:style>
  <w:style w:type="paragraph" w:styleId="BodyText2">
    <w:name w:val="Body Text 2"/>
    <w:basedOn w:val="Normal"/>
    <w:qFormat/>
    <w:pPr>
      <w:jc w:val="center"/>
    </w:pPr>
    <w:rPr>
      <w:rFonts w:ascii="Arial" w:hAnsi="Arial" w:cs="Arial"/>
      <w:sz w:val="20"/>
      <w:szCs w:val="20"/>
    </w:rPr>
  </w:style>
  <w:style w:type="paragraph" w:styleId="BodyText3">
    <w:name w:val="Body Text 3"/>
    <w:basedOn w:val="Normal"/>
    <w:qFormat/>
    <w:pPr>
      <w:tabs>
        <w:tab w:val="clear" w:pos="720"/>
        <w:tab w:val="left" w:pos="0" w:leader="none"/>
      </w:tabs>
    </w:pPr>
    <w:rPr>
      <w:rFonts w:ascii="Arial" w:hAnsi="Arial" w:cs="Arial"/>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mg.org/htm%20/pr_3-08-01_board_nrg_position.htm" TargetMode="External"/><Relationship Id="rId3" Type="http://schemas.openxmlformats.org/officeDocument/2006/relationships/hyperlink" Target="http://svmg.org/htm%20/pr_3-08-01_board_nrg_position.htm" TargetMode="External"/><Relationship Id="rId4" Type="http://schemas.openxmlformats.org/officeDocument/2006/relationships/hyperlink" Target="http://svmg.org/htm%20/pr_3-08-01_board_nrg_position.htm" TargetMode="External"/><Relationship Id="rId5" Type="http://schemas.openxmlformats.org/officeDocument/2006/relationships/hyperlink" Target="http://svmg.org/htm%20/pr_3-08-01_board_nrg_position.htm" TargetMode="External"/><Relationship Id="rId6" Type="http://schemas.openxmlformats.org/officeDocument/2006/relationships/hyperlink" Target="http://svmg.org/htm%20/pr_3-08-01_board_nrg_position.htm" TargetMode="External"/><Relationship Id="rId7" Type="http://schemas.openxmlformats.org/officeDocument/2006/relationships/hyperlink" Target="http://216.136.191.69/power-pact.asp" TargetMode="External"/><Relationship Id="rId8" Type="http://schemas.openxmlformats.org/officeDocument/2006/relationships/hyperlink" Target="http://info.sen.ca.gov/cgi-bin/postquery?bill_number=abx1_32&amp;sess=CUR&amp;house=B&amp;site=sen" TargetMode="External"/><Relationship Id="rId9" Type="http://schemas.openxmlformats.org/officeDocument/2006/relationships/hyperlink" Target="http://info.sen.ca.gov/cgi-bin/postquery?bill_number=abx1_18&amp;sess=CUR&amp;house=B&amp;site=sen" TargetMode="External"/><Relationship Id="rId10" Type="http://schemas.openxmlformats.org/officeDocument/2006/relationships/hyperlink" Target="http://info.sen.ca.gov/cgi-bin/postquery?bill_number=sbx1_27&amp;sess=CUR&amp;house=B&amp;site=sen" TargetMode="External"/><Relationship Id="rId11" Type="http://schemas.openxmlformats.org/officeDocument/2006/relationships/hyperlink" Target="http://info.sen.ca.gov/cgi-bin/postquery?bill_number=sbx1_18&amp;sess=CUR&amp;house=B&amp;site=sen" TargetMode="External"/><Relationship Id="rId12" Type="http://schemas.openxmlformats.org/officeDocument/2006/relationships/hyperlink" Target="http://info.sen.ca.gov/cgi-bin/postquery?bill_number=abx1_61&amp;sess=CUR&amp;house=B&amp;site=sen" TargetMode="External"/><Relationship Id="rId13" Type="http://schemas.openxmlformats.org/officeDocument/2006/relationships/hyperlink" Target="http://info.sen.ca.gov/cgi-bin/postquery?bill_number=abx1_31&amp;sess=CUR&amp;house=B&amp;site=sen" TargetMode="External"/><Relationship Id="rId14" Type="http://schemas.openxmlformats.org/officeDocument/2006/relationships/hyperlink" Target="http://info.sen.ca.gov/cgi-bin/postquery?bill_number=sbx1_5&amp;sess=CUR&amp;house=B&amp;site=sen"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2001-06-14T19:52:00Z</dcterms:created>
  <dc:creator>Michelle Montague-Bruno</dc:creator>
  <dc:description/>
  <dc:language>en-CA</dc:language>
  <cp:lastModifiedBy>Administrator</cp:lastModifiedBy>
  <cp:lastPrinted>2001-06-14T15:00:00Z</cp:lastPrinted>
  <dcterms:modified xsi:type="dcterms:W3CDTF">2001-06-14T19:52:00Z</dcterms:modified>
  <cp:revision>2</cp:revision>
  <dc:subject/>
  <dc:title>BILL NUMBER </dc:title>
</cp:coreProperties>
</file>