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320"/>
          <w:tab w:val="clear" w:pos="8640"/>
        </w:tabs>
        <w:rPr>
          <w:b/>
          <w:bCs/>
        </w:rPr>
      </w:pPr>
      <w:r>
        <w:rPr>
          <w:b/>
          <w:bCs/>
        </w:rPr>
        <w:t>General Issues</w:t>
      </w:r>
    </w:p>
    <w:p>
      <w:pPr>
        <w:pStyle w:val="Header"/>
        <w:tabs>
          <w:tab w:val="clear" w:pos="4320"/>
          <w:tab w:val="clear" w:pos="8640"/>
        </w:tabs>
        <w:rPr>
          <w:b/>
          <w:bCs/>
        </w:rPr>
      </w:pPr>
      <w:r>
        <w:rPr>
          <w:b/>
          <w:bCs/>
        </w:rPr>
      </w:r>
    </w:p>
    <w:p>
      <w:pPr>
        <w:pStyle w:val="Header"/>
        <w:numPr>
          <w:ilvl w:val="0"/>
          <w:numId w:val="6"/>
        </w:numPr>
        <w:tabs>
          <w:tab w:val="clear" w:pos="4320"/>
          <w:tab w:val="clear" w:pos="8640"/>
        </w:tabs>
        <w:rPr/>
      </w:pPr>
      <w:r>
        <w:rPr/>
        <w:t>California continues to receive huge press given this summer’s high prices and threats to reliability.  Importantly, only customers in San Diego faced high prices (and now that the State has legislated lower prices, the impact has been significantly reduced).  While there were days when the electric grid was operating near its limits, the Cal ISO has to be commended for its management of reliability this summer (there may have been some blackouts but these were caused by transmission problems, not generation shortage).  In addition, this summer proves that reliability and competition are not fundamentally in conflict – the market responded when the Cal ISO needed power.</w:t>
      </w:r>
    </w:p>
    <w:p>
      <w:pPr>
        <w:pStyle w:val="Header"/>
        <w:tabs>
          <w:tab w:val="clear" w:pos="4320"/>
          <w:tab w:val="clear" w:pos="8640"/>
        </w:tabs>
        <w:rPr/>
      </w:pPr>
      <w:r>
        <w:rPr/>
      </w:r>
    </w:p>
    <w:p>
      <w:pPr>
        <w:pStyle w:val="Header"/>
        <w:numPr>
          <w:ilvl w:val="0"/>
          <w:numId w:val="6"/>
        </w:numPr>
        <w:tabs>
          <w:tab w:val="clear" w:pos="4320"/>
          <w:tab w:val="clear" w:pos="8640"/>
        </w:tabs>
        <w:rPr/>
      </w:pPr>
      <w:r>
        <w:rPr/>
        <w:t>Government Affairs continues to believe that the progress of electricity competition (both at wholesale and retail) will continue to move forward.    In fact, this crisis gives policymakers the necessary ammunition to “get it right”.  Most states are distinguishing themselves from California in how they intend to move forward with competition.  They are focused on getting it right.  The major states in the middle of implementation (Ohio and Texas) continue to move ahead.  Some states (Arkansas and Nevada) that had earlier decided to move forward are taking another look at when and how they will implement retail competition.</w:t>
      </w:r>
    </w:p>
    <w:p>
      <w:pPr>
        <w:pStyle w:val="Header"/>
        <w:tabs>
          <w:tab w:val="clear" w:pos="4320"/>
          <w:tab w:val="clear" w:pos="8640"/>
        </w:tabs>
        <w:rPr/>
      </w:pPr>
      <w:r>
        <w:rPr/>
      </w:r>
    </w:p>
    <w:p>
      <w:pPr>
        <w:pStyle w:val="Header"/>
        <w:numPr>
          <w:ilvl w:val="0"/>
          <w:numId w:val="6"/>
        </w:numPr>
        <w:tabs>
          <w:tab w:val="clear" w:pos="4320"/>
          <w:tab w:val="clear" w:pos="8640"/>
        </w:tabs>
        <w:rPr/>
      </w:pPr>
      <w:r>
        <w:rPr/>
        <w:t>In California, calls for re-regulation continue to be heard from some quarters, although most parties are now asking for re-regulation only until additional capacity is brought on-line in California.  There is a chance that a few California legislators could seek to overturn AB1890 (the state restructuring bill) in the next session, but we believe that most changes will be incremental.</w:t>
      </w:r>
    </w:p>
    <w:p>
      <w:pPr>
        <w:pStyle w:val="Header"/>
        <w:tabs>
          <w:tab w:val="clear" w:pos="4320"/>
          <w:tab w:val="clear" w:pos="8640"/>
        </w:tabs>
        <w:rPr/>
      </w:pPr>
      <w:r>
        <w:rPr/>
      </w:r>
    </w:p>
    <w:p>
      <w:pPr>
        <w:pStyle w:val="Header"/>
        <w:numPr>
          <w:ilvl w:val="0"/>
          <w:numId w:val="6"/>
        </w:numPr>
        <w:tabs>
          <w:tab w:val="clear" w:pos="4320"/>
          <w:tab w:val="clear" w:pos="8640"/>
        </w:tabs>
        <w:rPr/>
      </w:pPr>
      <w:r>
        <w:rPr/>
        <w:t>Enron continues to keep ahead of these developments.  We have the contacts and information to stay ahead of the curve.</w:t>
      </w:r>
    </w:p>
    <w:p>
      <w:pPr>
        <w:pStyle w:val="Header"/>
        <w:tabs>
          <w:tab w:val="clear" w:pos="4320"/>
          <w:tab w:val="clear" w:pos="8640"/>
        </w:tabs>
        <w:rPr/>
      </w:pPr>
      <w:r>
        <w:rPr/>
      </w:r>
    </w:p>
    <w:p>
      <w:pPr>
        <w:pStyle w:val="Heading2"/>
        <w:ind w:hanging="0" w:start="0"/>
        <w:rPr/>
      </w:pPr>
      <w:r>
        <w:rPr/>
        <w:t>FERC Activities</w:t>
      </w:r>
    </w:p>
    <w:p>
      <w:pPr>
        <w:pStyle w:val="Normal"/>
        <w:rPr/>
      </w:pPr>
      <w:r>
        <w:rPr/>
      </w:r>
    </w:p>
    <w:p>
      <w:pPr>
        <w:pStyle w:val="Header"/>
        <w:tabs>
          <w:tab w:val="clear" w:pos="4320"/>
          <w:tab w:val="clear" w:pos="8640"/>
        </w:tabs>
        <w:rPr/>
      </w:pPr>
      <w:r>
        <w:rPr/>
        <w:t xml:space="preserve">The following highlights some key events occurring before FERC.    </w:t>
      </w:r>
    </w:p>
    <w:p>
      <w:pPr>
        <w:pStyle w:val="Normal"/>
        <w:rPr/>
      </w:pPr>
      <w:r>
        <w:rPr/>
      </w:r>
    </w:p>
    <w:p>
      <w:pPr>
        <w:pStyle w:val="Heading1"/>
        <w:ind w:hanging="0" w:start="0"/>
        <w:rPr/>
      </w:pPr>
      <w:r>
        <w:rPr/>
        <w:t xml:space="preserve">FERC continues with its on-going Investigation of the Bulk Energy Market </w:t>
      </w:r>
    </w:p>
    <w:p>
      <w:pPr>
        <w:pStyle w:val="Normal"/>
        <w:rPr/>
      </w:pPr>
      <w:r>
        <w:rPr/>
      </w:r>
    </w:p>
    <w:p>
      <w:pPr>
        <w:pStyle w:val="Normal"/>
        <w:rPr/>
      </w:pPr>
      <w:r>
        <w:rPr/>
        <w:t xml:space="preserve">FERC Staff is preparing the California portion of its Investigation into Bulk Energy Markets.  It is anticipated that the report will be issued in early November.  FERC Staff is also working on understanding better other regional markets (SERC, ECAR, and MAIN) with a focus on whether or not Utilities are complying with non-discrimination standards, especially generation interconnection standards.  </w:t>
      </w:r>
    </w:p>
    <w:p>
      <w:pPr>
        <w:pStyle w:val="Normal"/>
        <w:rPr/>
      </w:pPr>
      <w:r>
        <w:rPr/>
      </w:r>
    </w:p>
    <w:p>
      <w:pPr>
        <w:pStyle w:val="Normal"/>
        <w:rPr/>
      </w:pPr>
      <w:r>
        <w:rPr/>
        <w:t>Enron Position:</w:t>
      </w:r>
    </w:p>
    <w:p>
      <w:pPr>
        <w:pStyle w:val="Normal"/>
        <w:numPr>
          <w:ilvl w:val="0"/>
          <w:numId w:val="4"/>
        </w:numPr>
        <w:tabs>
          <w:tab w:val="clear" w:pos="720"/>
          <w:tab w:val="left" w:pos="1080" w:leader="none"/>
        </w:tabs>
        <w:jc w:val="both"/>
        <w:rPr/>
      </w:pPr>
      <w:r>
        <w:rPr/>
        <w:t xml:space="preserve">The situation in California is the result of a number of issues – </w:t>
      </w:r>
    </w:p>
    <w:p>
      <w:pPr>
        <w:pStyle w:val="Normal"/>
        <w:numPr>
          <w:ilvl w:val="1"/>
          <w:numId w:val="11"/>
        </w:numPr>
        <w:jc w:val="both"/>
        <w:rPr/>
      </w:pPr>
      <w:r>
        <w:rPr/>
        <w:t>A booming economy has increased power demand in California and throughout the West well beyond earlier forecasts,</w:t>
      </w:r>
    </w:p>
    <w:p>
      <w:pPr>
        <w:pStyle w:val="Normal"/>
        <w:numPr>
          <w:ilvl w:val="1"/>
          <w:numId w:val="11"/>
        </w:numPr>
        <w:jc w:val="both"/>
        <w:rPr/>
      </w:pPr>
      <w:r>
        <w:rPr/>
        <w:t>Siting new power generation is very difficult in California, so supply has not kept pace with this rapidly growing demand</w:t>
      </w:r>
      <w:r>
        <w:rPr>
          <w:rStyle w:val="FootnoteCharacters"/>
          <w:rStyle w:val="FootnoteReference"/>
        </w:rPr>
        <w:footnoteReference w:id="2"/>
      </w:r>
      <w:r>
        <w:rPr/>
        <w:t>,</w:t>
      </w:r>
    </w:p>
    <w:p>
      <w:pPr>
        <w:pStyle w:val="Normal"/>
        <w:numPr>
          <w:ilvl w:val="1"/>
          <w:numId w:val="11"/>
        </w:numPr>
        <w:jc w:val="both"/>
        <w:rPr/>
      </w:pPr>
      <w:r>
        <w:rPr/>
        <w:t xml:space="preserve">Electricity production from Pacific Northwest hydro facilities has been lower than in recent years, thus sharpening the problem, </w:t>
      </w:r>
    </w:p>
    <w:p>
      <w:pPr>
        <w:pStyle w:val="BodyTextIndent"/>
        <w:numPr>
          <w:ilvl w:val="1"/>
          <w:numId w:val="11"/>
        </w:numPr>
        <w:jc w:val="both"/>
        <w:rPr>
          <w:rFonts w:ascii="Times New Roman" w:hAnsi="Times New Roman" w:cs="Times New Roman"/>
          <w:sz w:val="24"/>
        </w:rPr>
      </w:pPr>
      <w:r>
        <w:rPr>
          <w:rFonts w:cs="Times New Roman" w:ascii="Times New Roman" w:hAnsi="Times New Roman"/>
          <w:sz w:val="24"/>
        </w:rPr>
        <w:t>There is still very little consumer response to rising prices, and</w:t>
      </w:r>
    </w:p>
    <w:p>
      <w:pPr>
        <w:pStyle w:val="Normal"/>
        <w:numPr>
          <w:ilvl w:val="1"/>
          <w:numId w:val="11"/>
        </w:numPr>
        <w:rPr/>
      </w:pPr>
      <w:r>
        <w:rPr/>
        <w:t xml:space="preserve">Utilities were unable to manage the price risk associated with their default obligations.  </w:t>
      </w:r>
    </w:p>
    <w:p>
      <w:pPr>
        <w:pStyle w:val="Normal"/>
        <w:numPr>
          <w:ilvl w:val="0"/>
          <w:numId w:val="9"/>
        </w:numPr>
        <w:rPr/>
      </w:pPr>
      <w:r>
        <w:rPr/>
        <w:t>Utilities continue to ask for unreasonable amounts of time to work through generation interconnection studies.  FERC must take action and order better standards and actively enforce those standards.</w:t>
      </w:r>
    </w:p>
    <w:p>
      <w:pPr>
        <w:pStyle w:val="Normal"/>
        <w:numPr>
          <w:ilvl w:val="0"/>
          <w:numId w:val="9"/>
        </w:numPr>
        <w:rPr/>
      </w:pPr>
      <w:r>
        <w:rPr/>
        <w:t xml:space="preserve">Enron is working with the FERC on its Investigation with the hope that FERC repairs any problems in the markets.  </w:t>
      </w:r>
    </w:p>
    <w:p>
      <w:pPr>
        <w:pStyle w:val="Normal"/>
        <w:numPr>
          <w:ilvl w:val="0"/>
          <w:numId w:val="9"/>
        </w:numPr>
        <w:rPr/>
      </w:pPr>
      <w:r>
        <w:rPr/>
        <w:t xml:space="preserve">This summer’s problems highlight that now is the time to finish the job on wholesale electricity restructuring - </w:t>
      </w:r>
    </w:p>
    <w:p>
      <w:pPr>
        <w:pStyle w:val="Normal"/>
        <w:numPr>
          <w:ilvl w:val="1"/>
          <w:numId w:val="9"/>
        </w:numPr>
        <w:rPr/>
      </w:pPr>
      <w:r>
        <w:rPr/>
        <w:t>End the native load exception making all uses of the transmission network subject to the same rules and tariffs,</w:t>
      </w:r>
    </w:p>
    <w:p>
      <w:pPr>
        <w:pStyle w:val="Normal"/>
        <w:numPr>
          <w:ilvl w:val="1"/>
          <w:numId w:val="9"/>
        </w:numPr>
        <w:rPr/>
      </w:pPr>
      <w:r>
        <w:rPr/>
        <w:t>Mandate and enforce strict generation interconnection policies, and</w:t>
      </w:r>
    </w:p>
    <w:p>
      <w:pPr>
        <w:pStyle w:val="Normal"/>
        <w:numPr>
          <w:ilvl w:val="1"/>
          <w:numId w:val="9"/>
        </w:numPr>
        <w:rPr/>
      </w:pPr>
      <w:r>
        <w:rPr/>
        <w:t>Give FERC the authority to order divestiture when it finds market power.</w:t>
      </w:r>
    </w:p>
    <w:p>
      <w:pPr>
        <w:pStyle w:val="Normal"/>
        <w:rPr/>
      </w:pPr>
      <w:r>
        <w:rPr/>
      </w:r>
    </w:p>
    <w:p>
      <w:pPr>
        <w:pStyle w:val="Heading1"/>
        <w:ind w:hanging="0" w:start="0"/>
        <w:rPr/>
      </w:pPr>
      <w:r>
        <w:rPr/>
        <w:t>Chairman Hoecker discusses FERC’s ability to order refunds</w:t>
      </w:r>
    </w:p>
    <w:p>
      <w:pPr>
        <w:pStyle w:val="Normal"/>
        <w:rPr/>
      </w:pPr>
      <w:r>
        <w:rPr/>
      </w:r>
    </w:p>
    <w:p>
      <w:pPr>
        <w:pStyle w:val="Normal"/>
        <w:rPr/>
      </w:pPr>
      <w:r>
        <w:rPr/>
        <w:t xml:space="preserve">Earlier this month, before the House Committee on Government Reform, Chairman Hoecker indicated that FERC did not have the legal authority to order refunds in California.  Some members from California have submitted legislation to give FERC this authority (now referred to House Commerce committee) that does not appear to have enough support to get through this Congress.  </w:t>
      </w:r>
    </w:p>
    <w:p>
      <w:pPr>
        <w:pStyle w:val="Normal"/>
        <w:rPr/>
      </w:pPr>
      <w:r>
        <w:rPr/>
      </w:r>
    </w:p>
    <w:p>
      <w:pPr>
        <w:pStyle w:val="Normal"/>
        <w:rPr/>
      </w:pPr>
      <w:r>
        <w:rPr/>
        <w:t>Enron Position:</w:t>
      </w:r>
    </w:p>
    <w:p>
      <w:pPr>
        <w:pStyle w:val="Normal"/>
        <w:numPr>
          <w:ilvl w:val="0"/>
          <w:numId w:val="8"/>
        </w:numPr>
        <w:rPr/>
      </w:pPr>
      <w:r>
        <w:rPr/>
        <w:t xml:space="preserve">Now is not the time to fix blame, now is the time to fix the problems (see above list).  Calls for retroactive ratemaking are counterproductive given the issues facing this industry.  </w:t>
      </w:r>
    </w:p>
    <w:p>
      <w:pPr>
        <w:pStyle w:val="Normal"/>
        <w:numPr>
          <w:ilvl w:val="0"/>
          <w:numId w:val="8"/>
        </w:numPr>
        <w:rPr/>
      </w:pPr>
      <w:r>
        <w:rPr/>
        <w:t>Enron has operated within its authority under its Market-Based rate certificate and in no way feels that anyone can claim it owes refunds.</w:t>
      </w:r>
    </w:p>
    <w:p>
      <w:pPr>
        <w:pStyle w:val="Normal"/>
        <w:numPr>
          <w:ilvl w:val="0"/>
          <w:numId w:val="8"/>
        </w:numPr>
        <w:rPr/>
      </w:pPr>
      <w:r>
        <w:rPr/>
        <w:t>Confidential – Government Affairs does not believe that FERC Chairman Hoecker really seeks the authority to retroactively adjust rates.  Nor do we believe that Congress will ever grant this authority.  His discussion is simply a political statement.</w:t>
      </w:r>
    </w:p>
    <w:p>
      <w:pPr>
        <w:pStyle w:val="Normal"/>
        <w:rPr/>
      </w:pPr>
      <w:r>
        <w:rPr/>
      </w:r>
    </w:p>
    <w:p>
      <w:pPr>
        <w:pStyle w:val="Heading1"/>
        <w:ind w:hanging="0" w:start="0"/>
        <w:rPr/>
      </w:pPr>
      <w:r>
        <w:rPr/>
        <w:t>AEP and SPP respond to EPMI’s claim of abuse in AEP’s Market Based Rate Case</w:t>
      </w:r>
    </w:p>
    <w:p>
      <w:pPr>
        <w:pStyle w:val="Normal"/>
        <w:rPr/>
      </w:pPr>
      <w:r>
        <w:rPr/>
      </w:r>
    </w:p>
    <w:p>
      <w:pPr>
        <w:pStyle w:val="Normal"/>
        <w:rPr/>
      </w:pPr>
      <w:r>
        <w:rPr/>
        <w:t>EPMI submitted testimony in AEP’s Market-Based rate case providing testimony that AEP does not treat all parties in a non-discriminatory manner.  AEP and SPP (the Southwest Power Pool) responded to a number of our allegations making claims that our analysis was not a correct understanding of the data.  Fundamentally, EPMI is alleging that during critical times AEP posted zero Available Transmission Capacity (ATC) and then allowed its marketing affiliate to schedule transmission.</w:t>
      </w:r>
    </w:p>
    <w:p>
      <w:pPr>
        <w:pStyle w:val="Normal"/>
        <w:rPr/>
      </w:pPr>
      <w:r>
        <w:rPr/>
      </w:r>
    </w:p>
    <w:p>
      <w:pPr>
        <w:pStyle w:val="Normal"/>
        <w:rPr/>
      </w:pPr>
      <w:r>
        <w:rPr/>
        <w:t>Enron Position:</w:t>
      </w:r>
    </w:p>
    <w:p>
      <w:pPr>
        <w:pStyle w:val="Normal"/>
        <w:numPr>
          <w:ilvl w:val="0"/>
          <w:numId w:val="2"/>
        </w:numPr>
        <w:rPr/>
      </w:pPr>
      <w:r>
        <w:rPr/>
        <w:t xml:space="preserve">FERC must order that this case be set to hearing to resolve the material differences in the facts.  Even the AEP response to our initial claim indicates that there are facts in dispute.  </w:t>
      </w:r>
    </w:p>
    <w:p>
      <w:pPr>
        <w:pStyle w:val="Normal"/>
        <w:numPr>
          <w:ilvl w:val="0"/>
          <w:numId w:val="2"/>
        </w:numPr>
        <w:rPr/>
      </w:pPr>
      <w:r>
        <w:rPr/>
        <w:t>Before granting AEP market-based rate authority, FERC must order that AEP join a fully functioning RTO that is truly independent from AEP.</w:t>
      </w:r>
    </w:p>
    <w:p>
      <w:pPr>
        <w:pStyle w:val="Normal"/>
        <w:numPr>
          <w:ilvl w:val="0"/>
          <w:numId w:val="2"/>
        </w:numPr>
        <w:rPr/>
      </w:pPr>
      <w:r>
        <w:rPr/>
        <w:t>FERC’s current policy that assumes that all transmission market power is mitigated by filing an Open Access Transmission Tariff (OATT) must be changed.  The AEP situation clearly highlights that an OATT does not mitigate all transmission market power.</w:t>
      </w:r>
    </w:p>
    <w:p>
      <w:pPr>
        <w:pStyle w:val="Normal"/>
        <w:numPr>
          <w:ilvl w:val="0"/>
          <w:numId w:val="2"/>
        </w:numPr>
        <w:rPr/>
      </w:pPr>
      <w:r>
        <w:rPr/>
        <w:t xml:space="preserve">Enron intends to continue to challenge other utilities that abuse their market-based rate authority. </w:t>
      </w:r>
    </w:p>
    <w:p>
      <w:pPr>
        <w:pStyle w:val="Normal"/>
        <w:rPr/>
      </w:pPr>
      <w:r>
        <w:rPr/>
      </w:r>
    </w:p>
    <w:p>
      <w:pPr>
        <w:pStyle w:val="Heading1"/>
        <w:ind w:hanging="0" w:start="0"/>
        <w:rPr/>
      </w:pPr>
      <w:r>
        <w:rPr/>
        <w:t>Numerous utilities filed RTO proposals to meet the FERC Order 2000 timeline</w:t>
      </w:r>
    </w:p>
    <w:p>
      <w:pPr>
        <w:pStyle w:val="Normal"/>
        <w:rPr/>
      </w:pPr>
      <w:r>
        <w:rPr/>
      </w:r>
    </w:p>
    <w:p>
      <w:pPr>
        <w:pStyle w:val="BodyText"/>
        <w:rPr/>
      </w:pPr>
      <w:r>
        <w:rPr/>
        <w:t>In the initial phase of filings related to FERC Order 2000 (the RTO Order), utilities from throughout the country provided FERC and the market a glimpse of what we can expect to see implemented over the next 15 months.  FERC Order 2000 sought to have utilities inform FERC on October 15, 2000 what they intend to do to meet the “voluntary” guidelines.  Chairman Hoecker said last week that he would be severely disappointed if the utilities did not make significant strides toward fully complying with the spirit of Order 2000 in their October 15 filings.</w:t>
      </w:r>
    </w:p>
    <w:p>
      <w:pPr>
        <w:pStyle w:val="BodyText"/>
        <w:rPr/>
      </w:pPr>
      <w:r>
        <w:rPr/>
      </w:r>
    </w:p>
    <w:p>
      <w:pPr>
        <w:pStyle w:val="BodyText"/>
        <w:rPr/>
      </w:pPr>
      <w:r>
        <w:rPr/>
        <w:t>Enron Position:</w:t>
      </w:r>
    </w:p>
    <w:p>
      <w:pPr>
        <w:pStyle w:val="BodyText"/>
        <w:numPr>
          <w:ilvl w:val="0"/>
          <w:numId w:val="13"/>
        </w:numPr>
        <w:rPr/>
      </w:pPr>
      <w:r>
        <w:rPr/>
        <w:t>Enron hopes that FERC recognizes these filings for what they are – simply showing motion.  The utilities have failed to demonstrate a commitment to Order 2000.  FERC now has the evidence it needs to take firmer action to once and for all rid this industry of discrimination.</w:t>
      </w:r>
    </w:p>
    <w:p>
      <w:pPr>
        <w:pStyle w:val="BodyText"/>
        <w:numPr>
          <w:ilvl w:val="0"/>
          <w:numId w:val="13"/>
        </w:numPr>
        <w:rPr/>
      </w:pPr>
      <w:r>
        <w:rPr/>
        <w:t xml:space="preserve">Enron will not be satisfied until FERC mandates nondiscriminatory access.  We intend to protest every filing that does not meet this fundamental goal.  </w:t>
      </w:r>
    </w:p>
    <w:p>
      <w:pPr>
        <w:pStyle w:val="BodyText"/>
        <w:numPr>
          <w:ilvl w:val="0"/>
          <w:numId w:val="13"/>
        </w:numPr>
        <w:rPr/>
      </w:pPr>
      <w:r>
        <w:rPr/>
        <w:t xml:space="preserve">Key issues given what we know today – </w:t>
      </w:r>
    </w:p>
    <w:p>
      <w:pPr>
        <w:pStyle w:val="BodyText"/>
        <w:numPr>
          <w:ilvl w:val="1"/>
          <w:numId w:val="13"/>
        </w:numPr>
        <w:rPr/>
      </w:pPr>
      <w:r>
        <w:rPr/>
        <w:t>Most filings are very preliminary or internally inconsistent (Southern Transco)</w:t>
      </w:r>
    </w:p>
    <w:p>
      <w:pPr>
        <w:pStyle w:val="BodyText"/>
        <w:numPr>
          <w:ilvl w:val="1"/>
          <w:numId w:val="13"/>
        </w:numPr>
        <w:rPr/>
      </w:pPr>
      <w:r>
        <w:rPr/>
        <w:t>Many do not meet the characteristics of FERC Order 2000 in matters such as (1) independence (Florida RTO), (2) congestion management (GridSouth), and (3) sufficient size and scope (Alliance RTO).</w:t>
      </w:r>
    </w:p>
    <w:p>
      <w:pPr>
        <w:pStyle w:val="BodyText"/>
        <w:numPr>
          <w:ilvl w:val="1"/>
          <w:numId w:val="13"/>
        </w:numPr>
        <w:rPr/>
      </w:pPr>
      <w:r>
        <w:rPr/>
        <w:t xml:space="preserve">Not a single filing removes the native load exception, rather this critical set-aside is simply grandfathered.  </w:t>
      </w:r>
    </w:p>
    <w:p>
      <w:pPr>
        <w:pStyle w:val="BodyText"/>
        <w:ind w:start="420" w:end="0"/>
        <w:rPr/>
      </w:pPr>
      <w:r>
        <w:rPr/>
      </w:r>
    </w:p>
    <w:p>
      <w:pPr>
        <w:pStyle w:val="Normal"/>
        <w:rPr/>
      </w:pPr>
      <w:r>
        <w:rPr/>
      </w:r>
      <w:r>
        <w:br w:type="page"/>
      </w:r>
    </w:p>
    <w:p>
      <w:pPr>
        <w:pStyle w:val="Header"/>
        <w:tabs>
          <w:tab w:val="clear" w:pos="4320"/>
          <w:tab w:val="clear" w:pos="8640"/>
        </w:tabs>
        <w:rPr>
          <w:b/>
          <w:bCs/>
          <w:u w:val="single"/>
        </w:rPr>
      </w:pPr>
      <w:r>
        <w:rPr>
          <w:b/>
          <w:bCs/>
          <w:u w:val="single"/>
        </w:rPr>
        <w:t>California Issues</w:t>
      </w:r>
    </w:p>
    <w:p>
      <w:pPr>
        <w:pStyle w:val="Header"/>
        <w:tabs>
          <w:tab w:val="clear" w:pos="4320"/>
          <w:tab w:val="clear" w:pos="8640"/>
        </w:tabs>
        <w:rPr>
          <w:b/>
          <w:bCs/>
          <w:u w:val="single"/>
        </w:rPr>
      </w:pPr>
      <w:r>
        <w:rPr>
          <w:b/>
          <w:bCs/>
          <w:u w:val="single"/>
        </w:rPr>
      </w:r>
    </w:p>
    <w:p>
      <w:pPr>
        <w:pStyle w:val="Header"/>
        <w:tabs>
          <w:tab w:val="clear" w:pos="4320"/>
          <w:tab w:val="clear" w:pos="8640"/>
        </w:tabs>
        <w:rPr/>
      </w:pPr>
      <w:r>
        <w:rPr/>
        <w:t xml:space="preserve">The following highlights some key events occurring in California.    </w:t>
      </w:r>
    </w:p>
    <w:p>
      <w:pPr>
        <w:pStyle w:val="Header"/>
        <w:tabs>
          <w:tab w:val="clear" w:pos="4320"/>
          <w:tab w:val="clear" w:pos="8640"/>
        </w:tabs>
        <w:rPr/>
      </w:pPr>
      <w:r>
        <w:rPr/>
      </w:r>
    </w:p>
    <w:p>
      <w:pPr>
        <w:pStyle w:val="Header"/>
        <w:tabs>
          <w:tab w:val="clear" w:pos="4320"/>
          <w:tab w:val="clear" w:pos="8640"/>
        </w:tabs>
        <w:rPr>
          <w:b/>
          <w:bCs/>
          <w:i/>
          <w:i/>
          <w:iCs/>
        </w:rPr>
      </w:pPr>
      <w:r>
        <w:rPr>
          <w:b/>
          <w:bCs/>
          <w:i/>
          <w:iCs/>
        </w:rPr>
        <w:t>Groups continue to file at FERC complaining about “unreasonable” wholesale rates and seeking refunds</w:t>
      </w:r>
    </w:p>
    <w:p>
      <w:pPr>
        <w:pStyle w:val="Header"/>
        <w:tabs>
          <w:tab w:val="clear" w:pos="4320"/>
          <w:tab w:val="clear" w:pos="8640"/>
        </w:tabs>
        <w:rPr>
          <w:b/>
          <w:bCs/>
          <w:i/>
          <w:i/>
          <w:iCs/>
        </w:rPr>
      </w:pPr>
      <w:r>
        <w:rPr>
          <w:b/>
          <w:bCs/>
          <w:i/>
          <w:iCs/>
        </w:rPr>
      </w:r>
    </w:p>
    <w:p>
      <w:pPr>
        <w:pStyle w:val="Header"/>
        <w:tabs>
          <w:tab w:val="clear" w:pos="4320"/>
          <w:tab w:val="clear" w:pos="8640"/>
        </w:tabs>
        <w:rPr/>
      </w:pPr>
      <w:r>
        <w:rPr/>
        <w:t>The California Municipal Utilities Association (CMUA) was the most recent party asking FERC to find that the wholesale markets are “unworkable”.  These parties continue to ask FERC to re-regulate generation by returning to cost-of-service ratemaking while the electricity market works through its current difficulties.  FERC dismissed a similar complaint filed by San Diego Gas &amp; Electric earlier this summer (which made the same general arguments), although it did open an Investigation.  Depending on the filing party, there have been calls for refunds from generators.</w:t>
      </w:r>
    </w:p>
    <w:p>
      <w:pPr>
        <w:pStyle w:val="Header"/>
        <w:tabs>
          <w:tab w:val="clear" w:pos="4320"/>
          <w:tab w:val="clear" w:pos="8640"/>
        </w:tabs>
        <w:rPr/>
      </w:pPr>
      <w:r>
        <w:rPr/>
      </w:r>
    </w:p>
    <w:p>
      <w:pPr>
        <w:pStyle w:val="Header"/>
        <w:tabs>
          <w:tab w:val="clear" w:pos="4320"/>
          <w:tab w:val="clear" w:pos="8640"/>
        </w:tabs>
        <w:rPr/>
      </w:pPr>
      <w:r>
        <w:rPr/>
        <w:t>Enron Position</w:t>
      </w:r>
    </w:p>
    <w:p>
      <w:pPr>
        <w:pStyle w:val="Header"/>
        <w:numPr>
          <w:ilvl w:val="0"/>
          <w:numId w:val="10"/>
        </w:numPr>
        <w:tabs>
          <w:tab w:val="clear" w:pos="4320"/>
          <w:tab w:val="clear" w:pos="8640"/>
        </w:tabs>
        <w:rPr/>
      </w:pPr>
      <w:r>
        <w:rPr/>
        <w:t xml:space="preserve">Returning to cost-of-service regulation will not alleviate the problem in California that is driven by the laws of supply and demand – high load growth and no new generation capacity.  </w:t>
      </w:r>
    </w:p>
    <w:p>
      <w:pPr>
        <w:pStyle w:val="Header"/>
        <w:numPr>
          <w:ilvl w:val="0"/>
          <w:numId w:val="10"/>
        </w:numPr>
        <w:tabs>
          <w:tab w:val="clear" w:pos="4320"/>
          <w:tab w:val="clear" w:pos="8640"/>
        </w:tabs>
        <w:rPr/>
      </w:pPr>
      <w:r>
        <w:rPr/>
        <w:t xml:space="preserve">FERC does not have the authority to perform retroactive ratemaking (essentially provide refunds).  </w:t>
      </w:r>
    </w:p>
    <w:p>
      <w:pPr>
        <w:pStyle w:val="Header"/>
        <w:numPr>
          <w:ilvl w:val="0"/>
          <w:numId w:val="10"/>
        </w:numPr>
        <w:tabs>
          <w:tab w:val="clear" w:pos="4320"/>
          <w:tab w:val="clear" w:pos="8640"/>
        </w:tabs>
        <w:rPr/>
      </w:pPr>
      <w:r>
        <w:rPr/>
        <w:t>Enron’s affiliates, EPMI and EES, do not have market power in the Western power markets (as demonstrated in our Market Based Rate case) and therefore should continue to be allowed to sell at market-based rates.</w:t>
      </w:r>
    </w:p>
    <w:p>
      <w:pPr>
        <w:pStyle w:val="Header"/>
        <w:tabs>
          <w:tab w:val="clear" w:pos="4320"/>
          <w:tab w:val="clear" w:pos="8640"/>
        </w:tabs>
        <w:rPr/>
      </w:pPr>
      <w:r>
        <w:rPr/>
      </w:r>
    </w:p>
    <w:p>
      <w:pPr>
        <w:pStyle w:val="Header"/>
        <w:tabs>
          <w:tab w:val="clear" w:pos="4320"/>
          <w:tab w:val="clear" w:pos="8640"/>
        </w:tabs>
        <w:rPr>
          <w:b/>
          <w:bCs/>
          <w:i/>
          <w:i/>
          <w:iCs/>
        </w:rPr>
      </w:pPr>
      <w:r>
        <w:rPr>
          <w:b/>
          <w:bCs/>
          <w:i/>
          <w:iCs/>
        </w:rPr>
        <w:t>California electric utilities continue to seek $100/MW bid caps for Cal ISO markets – others call for cost-of-service ratemaking</w:t>
      </w:r>
    </w:p>
    <w:p>
      <w:pPr>
        <w:pStyle w:val="Header"/>
        <w:tabs>
          <w:tab w:val="clear" w:pos="4320"/>
          <w:tab w:val="clear" w:pos="8640"/>
        </w:tabs>
        <w:rPr>
          <w:b/>
          <w:bCs/>
          <w:i/>
          <w:i/>
          <w:iCs/>
        </w:rPr>
      </w:pPr>
      <w:r>
        <w:rPr>
          <w:b/>
          <w:bCs/>
          <w:i/>
          <w:iCs/>
        </w:rPr>
      </w:r>
    </w:p>
    <w:p>
      <w:pPr>
        <w:pStyle w:val="Header"/>
        <w:tabs>
          <w:tab w:val="clear" w:pos="4320"/>
          <w:tab w:val="clear" w:pos="8640"/>
        </w:tabs>
        <w:rPr/>
      </w:pPr>
      <w:r>
        <w:rPr/>
        <w:t>Given that PG&amp;E and SCE are losing millions of dollars every day, they continue to seek to reduce to $100/MW from $250/MW the price at which the Cal ISO can buy power.  PG&amp;E and SCE hope that a lower bid cap will minimize their total bill for electricity in meeting their default service obligation.  In addition, other parties continue to ask FERC to impose cost-of-service rates on all generators in California (and potentially on all market participants in the Western power markets).</w:t>
      </w:r>
    </w:p>
    <w:p>
      <w:pPr>
        <w:pStyle w:val="Header"/>
        <w:tabs>
          <w:tab w:val="clear" w:pos="4320"/>
          <w:tab w:val="clear" w:pos="8640"/>
        </w:tabs>
        <w:rPr/>
      </w:pPr>
      <w:r>
        <w:rPr/>
      </w:r>
    </w:p>
    <w:p>
      <w:pPr>
        <w:pStyle w:val="Header"/>
        <w:tabs>
          <w:tab w:val="clear" w:pos="4320"/>
          <w:tab w:val="clear" w:pos="8640"/>
        </w:tabs>
        <w:rPr/>
      </w:pPr>
      <w:r>
        <w:rPr/>
        <w:t>Enron Position</w:t>
      </w:r>
    </w:p>
    <w:p>
      <w:pPr>
        <w:pStyle w:val="Header"/>
        <w:numPr>
          <w:ilvl w:val="0"/>
          <w:numId w:val="7"/>
        </w:numPr>
        <w:tabs>
          <w:tab w:val="clear" w:pos="4320"/>
          <w:tab w:val="clear" w:pos="8640"/>
        </w:tabs>
        <w:rPr/>
      </w:pPr>
      <w:r>
        <w:rPr/>
        <w:t xml:space="preserve">Imposing this low of bid cap ($100/MW) could potentially keep generation from contributing to reliability this fall.  Given natural gas prices, the cost of environmental permits, and other O&amp;M, some generators would decide not to run. </w:t>
      </w:r>
    </w:p>
    <w:p>
      <w:pPr>
        <w:pStyle w:val="Header"/>
        <w:numPr>
          <w:ilvl w:val="0"/>
          <w:numId w:val="7"/>
        </w:numPr>
        <w:tabs>
          <w:tab w:val="clear" w:pos="4320"/>
          <w:tab w:val="clear" w:pos="8640"/>
        </w:tabs>
        <w:rPr/>
      </w:pPr>
      <w:r>
        <w:rPr/>
        <w:t>Lowering bid caps reduces the incentives for much needed generation capacity in California.</w:t>
      </w:r>
    </w:p>
    <w:p>
      <w:pPr>
        <w:pStyle w:val="Header"/>
        <w:numPr>
          <w:ilvl w:val="0"/>
          <w:numId w:val="7"/>
        </w:numPr>
        <w:tabs>
          <w:tab w:val="clear" w:pos="4320"/>
          <w:tab w:val="clear" w:pos="8640"/>
        </w:tabs>
        <w:rPr/>
      </w:pPr>
      <w:r>
        <w:rPr/>
        <w:t>Returning to cost-of-service rates will not help consumers.  Most of the generation divested in California was sold at 2x – 3x book value.  Using these values would not reduce prices.</w:t>
      </w:r>
    </w:p>
    <w:p>
      <w:pPr>
        <w:pStyle w:val="Header"/>
        <w:tabs>
          <w:tab w:val="clear" w:pos="4320"/>
          <w:tab w:val="clear" w:pos="8640"/>
        </w:tabs>
        <w:rPr/>
      </w:pPr>
      <w:r>
        <w:rPr/>
      </w:r>
      <w:r>
        <w:br w:type="page"/>
      </w:r>
    </w:p>
    <w:p>
      <w:pPr>
        <w:pStyle w:val="Header"/>
        <w:tabs>
          <w:tab w:val="clear" w:pos="4320"/>
          <w:tab w:val="clear" w:pos="8640"/>
        </w:tabs>
        <w:rPr>
          <w:b/>
          <w:bCs/>
          <w:i/>
          <w:i/>
          <w:iCs/>
        </w:rPr>
      </w:pPr>
      <w:r>
        <w:rPr>
          <w:b/>
          <w:bCs/>
          <w:i/>
          <w:iCs/>
        </w:rPr>
        <w:t>The CPUC continues to pursue its investigation of the bulk electricity markets and is now receiving data from its investigation</w:t>
      </w:r>
    </w:p>
    <w:p>
      <w:pPr>
        <w:pStyle w:val="Normal"/>
        <w:rPr>
          <w:b/>
          <w:bCs/>
          <w:i/>
          <w:i/>
          <w:iCs/>
        </w:rPr>
      </w:pPr>
      <w:r>
        <w:rPr>
          <w:b/>
          <w:bCs/>
          <w:i/>
          <w:iCs/>
        </w:rPr>
      </w:r>
    </w:p>
    <w:p>
      <w:pPr>
        <w:pStyle w:val="Normal"/>
        <w:rPr/>
      </w:pPr>
      <w:r>
        <w:rPr/>
        <w:t>The CPUC has issued subpoenas to almost 200 parties in the Western power markets that do business with the Cal ISO (EPMI, EES, and PGE received subpoenas).  The information the CPUC wants ranges from list of employees and affiliates to specific transaction and P&amp;L reports.  The CPUC intends to hand the data over to FERC to help the FERC complete its Investigation (with the hope that FERC will require refunds from those that made the most money this summer).</w:t>
      </w:r>
    </w:p>
    <w:p>
      <w:pPr>
        <w:pStyle w:val="Normal"/>
        <w:rPr/>
      </w:pPr>
      <w:r>
        <w:rPr/>
      </w:r>
    </w:p>
    <w:p>
      <w:pPr>
        <w:pStyle w:val="Normal"/>
        <w:rPr/>
      </w:pPr>
      <w:r>
        <w:rPr/>
        <w:t>Enron Position</w:t>
      </w:r>
    </w:p>
    <w:p>
      <w:pPr>
        <w:pStyle w:val="Normal"/>
        <w:numPr>
          <w:ilvl w:val="0"/>
          <w:numId w:val="3"/>
        </w:numPr>
        <w:rPr/>
      </w:pPr>
      <w:r>
        <w:rPr/>
        <w:t>We are cooperating with the CPUC in its Investigation (not much else to say).</w:t>
      </w:r>
    </w:p>
    <w:p>
      <w:pPr>
        <w:pStyle w:val="Normal"/>
        <w:numPr>
          <w:ilvl w:val="0"/>
          <w:numId w:val="3"/>
        </w:numPr>
        <w:rPr/>
      </w:pPr>
      <w:r>
        <w:rPr/>
        <w:t>Much of the information that the CPUC is asking for is information that Enron has been saying should be made public (primarily information related to bidding into the market).</w:t>
      </w:r>
    </w:p>
    <w:p>
      <w:pPr>
        <w:pStyle w:val="Normal"/>
        <w:numPr>
          <w:ilvl w:val="0"/>
          <w:numId w:val="3"/>
        </w:numPr>
        <w:rPr/>
      </w:pPr>
      <w:r>
        <w:rPr/>
        <w:t>Enron hopes that this Investigation leads to constructive results, not just more finger pointing.  Now is not the time to fix blame, now is the time to fix the problem.</w:t>
      </w:r>
    </w:p>
    <w:p>
      <w:pPr>
        <w:pStyle w:val="Normal"/>
        <w:rPr/>
      </w:pPr>
      <w:r>
        <w:rPr/>
      </w:r>
    </w:p>
    <w:p>
      <w:pPr>
        <w:pStyle w:val="Heading1"/>
        <w:ind w:hanging="0" w:start="0"/>
        <w:rPr/>
      </w:pPr>
      <w:r>
        <w:rPr/>
        <w:t>PG&amp;E has decided to buy forward power to stem its on-going losses</w:t>
      </w:r>
    </w:p>
    <w:p>
      <w:pPr>
        <w:pStyle w:val="Normal"/>
        <w:rPr/>
      </w:pPr>
      <w:r>
        <w:rPr/>
      </w:r>
    </w:p>
    <w:p>
      <w:pPr>
        <w:pStyle w:val="Normal"/>
        <w:rPr/>
      </w:pPr>
      <w:r>
        <w:rPr/>
        <w:t xml:space="preserve">PG&amp;E announced that it had signed contracts with suppliers for a 2-year period at $56/Mwh.  </w:t>
      </w:r>
    </w:p>
    <w:p>
      <w:pPr>
        <w:pStyle w:val="Normal"/>
        <w:rPr/>
      </w:pPr>
      <w:r>
        <w:rPr/>
      </w:r>
    </w:p>
    <w:p>
      <w:pPr>
        <w:pStyle w:val="Normal"/>
        <w:rPr/>
      </w:pPr>
      <w:r>
        <w:rPr/>
        <w:t>Enron Position</w:t>
      </w:r>
    </w:p>
    <w:p>
      <w:pPr>
        <w:pStyle w:val="Normal"/>
        <w:numPr>
          <w:ilvl w:val="0"/>
          <w:numId w:val="5"/>
        </w:numPr>
        <w:rPr/>
      </w:pPr>
      <w:r>
        <w:rPr/>
        <w:t>We have always supported the ability of the Utilities to hedge their price risk associated with their retail load.</w:t>
      </w:r>
    </w:p>
    <w:p>
      <w:pPr>
        <w:pStyle w:val="Normal"/>
        <w:numPr>
          <w:ilvl w:val="0"/>
          <w:numId w:val="5"/>
        </w:numPr>
        <w:rPr/>
      </w:pPr>
      <w:r>
        <w:rPr/>
        <w:t>This demonstrates the one of our key services – price risk management – is becoming more accepted by utilities.</w:t>
      </w:r>
    </w:p>
    <w:p>
      <w:pPr>
        <w:pStyle w:val="Normal"/>
        <w:rPr/>
      </w:pPr>
      <w:r>
        <w:rPr/>
      </w:r>
    </w:p>
    <w:p>
      <w:pPr>
        <w:pStyle w:val="Heading1"/>
        <w:ind w:hanging="0" w:start="0"/>
        <w:rPr/>
      </w:pPr>
      <w:r>
        <w:rPr/>
        <w:t>Cal ISO is now considering the offers it received from its Request for Bid for emergency energy</w:t>
      </w:r>
    </w:p>
    <w:p>
      <w:pPr>
        <w:pStyle w:val="Normal"/>
        <w:rPr/>
      </w:pPr>
      <w:r>
        <w:rPr/>
      </w:r>
    </w:p>
    <w:p>
      <w:pPr>
        <w:pStyle w:val="Normal"/>
        <w:rPr/>
      </w:pPr>
      <w:r>
        <w:rPr/>
        <w:t>The Cal ISO, in its role as supplier of last resort, is reviewing the offers it received for emergency energy.  The Cal ISO does not want to buy energy forward, but given the large amount of underscheduling in the day-ahead electricity market, the Cal ISO feels that this is the most prudent course to maintain reliability.</w:t>
      </w:r>
    </w:p>
    <w:p>
      <w:pPr>
        <w:pStyle w:val="Normal"/>
        <w:rPr/>
      </w:pPr>
      <w:r>
        <w:rPr/>
      </w:r>
    </w:p>
    <w:p>
      <w:pPr>
        <w:pStyle w:val="Normal"/>
        <w:rPr/>
      </w:pPr>
      <w:r>
        <w:rPr/>
        <w:t>Enron Position</w:t>
      </w:r>
    </w:p>
    <w:p>
      <w:pPr>
        <w:pStyle w:val="Normal"/>
        <w:numPr>
          <w:ilvl w:val="0"/>
          <w:numId w:val="12"/>
        </w:numPr>
        <w:rPr/>
      </w:pPr>
      <w:r>
        <w:rPr/>
        <w:t xml:space="preserve">Enron supports the Cal ISO in its role to maintain reliability.  The regulatory rules that are in place that create incentives for the utilities to underschedule their load in the day-ahead market should be changed.  Enron would rather not have the Cal ISO buy energy forward, but recognizes the difficult situation faced by the Cal ISO. </w:t>
      </w:r>
    </w:p>
    <w:p>
      <w:pPr>
        <w:pStyle w:val="Normal"/>
        <w:numPr>
          <w:ilvl w:val="0"/>
          <w:numId w:val="12"/>
        </w:numPr>
        <w:rPr/>
      </w:pPr>
      <w:r>
        <w:rPr>
          <w:u w:val="single"/>
        </w:rPr>
        <w:t>Confidential</w:t>
      </w:r>
      <w:r>
        <w:rPr/>
        <w:t xml:space="preserve"> - </w:t>
      </w:r>
      <w:r>
        <w:rPr>
          <w:color w:val="000000"/>
          <w:szCs w:val="20"/>
        </w:rPr>
        <w:t>EPMI learned last Friday that it has been chosen to engage in further negotiations with the Cal ISO for about 450 MWs "emergency resources."</w:t>
      </w:r>
    </w:p>
    <w:p>
      <w:pPr>
        <w:pStyle w:val="Normal"/>
        <w:rPr/>
      </w:pPr>
      <w:r>
        <w:rPr/>
        <w:br/>
      </w:r>
      <w:r>
        <w:rPr>
          <w:b/>
          <w:bCs/>
          <w:i/>
          <w:iCs/>
        </w:rPr>
        <w:t>California AG is investigating Reliant given their 3Q earnings release</w:t>
      </w:r>
    </w:p>
    <w:p>
      <w:pPr>
        <w:pStyle w:val="Normal"/>
        <w:rPr>
          <w:b/>
          <w:bCs/>
          <w:i/>
          <w:i/>
          <w:iCs/>
        </w:rPr>
      </w:pPr>
      <w:r>
        <w:rPr>
          <w:b/>
          <w:bCs/>
          <w:i/>
          <w:iCs/>
        </w:rPr>
      </w:r>
    </w:p>
    <w:p>
      <w:pPr>
        <w:pStyle w:val="Normal"/>
        <w:rPr/>
      </w:pPr>
      <w:r>
        <w:rPr/>
        <w:t>The California AG, Bill Lockyer, is reported to be investigating Reliant and one other generator related to allegations of criminal behavior.  Reliant’s earnings beat estimates by close to 25% and were $110 million over last year.  Reliant claims that unseasonable weather was the primary reason for the increase in profits.</w:t>
      </w:r>
    </w:p>
    <w:p>
      <w:pPr>
        <w:pStyle w:val="Normal"/>
        <w:rPr/>
      </w:pPr>
      <w:r>
        <w:rPr/>
      </w:r>
    </w:p>
    <w:p>
      <w:pPr>
        <w:pStyle w:val="Normal"/>
        <w:rPr/>
      </w:pPr>
      <w:r>
        <w:rPr/>
        <w:t>Enron Position</w:t>
      </w:r>
    </w:p>
    <w:p>
      <w:pPr>
        <w:pStyle w:val="Normal"/>
        <w:numPr>
          <w:ilvl w:val="0"/>
          <w:numId w:val="14"/>
        </w:numPr>
        <w:rPr/>
      </w:pPr>
      <w:r>
        <w:rPr/>
        <w:t>Enron is neither a net generator nor a net buyer in California markets.  Our unique perspective is that of a market maker.  For us to do our job, we need markets to function well.</w:t>
      </w:r>
    </w:p>
    <w:p>
      <w:pPr>
        <w:pStyle w:val="Normal"/>
        <w:numPr>
          <w:ilvl w:val="0"/>
          <w:numId w:val="14"/>
        </w:numPr>
        <w:rPr/>
      </w:pPr>
      <w:r>
        <w:rPr>
          <w:u w:val="single"/>
        </w:rPr>
        <w:t xml:space="preserve">Confidential </w:t>
      </w:r>
      <w:r>
        <w:rPr/>
        <w:t xml:space="preserve">– It is our understanding that at this time the AG is not interested in pursuing Enron.  </w:t>
      </w:r>
    </w:p>
    <w:p>
      <w:pPr>
        <w:pStyle w:val="Normal"/>
        <w:rPr/>
      </w:pPr>
      <w:r>
        <w:rPr/>
      </w:r>
    </w:p>
    <w:p>
      <w:pPr>
        <w:pStyle w:val="Header"/>
        <w:tabs>
          <w:tab w:val="clear" w:pos="4320"/>
          <w:tab w:val="clear" w:pos="8640"/>
        </w:tabs>
        <w:rPr/>
      </w:pPr>
      <w:r>
        <w:rPr/>
      </w:r>
    </w:p>
    <w:sectPr>
      <w:headerReference w:type="default" r:id="rId2"/>
      <w:footerReference w:type="default" r:id="rId3"/>
      <w:footnotePr>
        <w:numFmt w:val="decimal"/>
      </w:footnotePr>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b/>
        <w:bCs/>
      </w:rPr>
      <w:t>CONFIDENTIAL</w:t>
      <w:tab/>
    </w:r>
    <w:r>
      <w:rP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6</w:t>
    </w:r>
    <w:r>
      <w:rPr>
        <w:rStyle w:val="PageNumber"/>
        <w:sz w:val="20"/>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jc w:val="both"/>
        <w:rPr/>
      </w:pPr>
      <w:r>
        <w:rPr>
          <w:rStyle w:val="FootnoteCharacters"/>
        </w:rPr>
        <w:footnoteRef/>
      </w:r>
      <w:r>
        <w:rPr/>
        <w:t xml:space="preserve">   </w:t>
      </w:r>
      <w:r>
        <w:rPr/>
        <w:t>Even though suppliers have proposed to build about twice as much new capacity as needed to meet peak demand growth.</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bCs/>
        <w:sz w:val="28"/>
      </w:rPr>
    </w:pPr>
    <w:r>
      <w:rPr>
        <w:b/>
        <w:bCs/>
        <w:sz w:val="28"/>
      </w:rPr>
      <w:t>Recent Developments in Bulk Energy Markets</w:t>
    </w:r>
  </w:p>
  <w:p>
    <w:pPr>
      <w:pStyle w:val="Header"/>
      <w:rPr>
        <w:b/>
        <w:bCs/>
        <w:sz w:val="28"/>
      </w:rPr>
    </w:pPr>
    <w:r>
      <w:rPr>
        <w:b/>
        <w:bCs/>
        <w:sz w:val="28"/>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abstractNum w:abstractNumId="4">
    <w:lvl w:ilvl="0">
      <w:start w:val="1"/>
      <w:numFmt w:val="bullet"/>
      <w:lvlText w:val=""/>
      <w:lvlJc w:val="start"/>
      <w:pPr>
        <w:tabs>
          <w:tab w:val="num" w:pos="720"/>
        </w:tabs>
        <w:ind w:start="720" w:hanging="360"/>
      </w:pPr>
      <w:rPr>
        <w:rFonts w:ascii="Symbol" w:hAnsi="Symbol" w:cs="Symbol" w:hint="default"/>
        <w:color w:val="000000"/>
      </w:rPr>
    </w:lvl>
  </w:abstractNum>
  <w:abstractNum w:abstractNumId="5">
    <w:lvl w:ilvl="0">
      <w:start w:val="1"/>
      <w:numFmt w:val="bullet"/>
      <w:lvlText w:val=""/>
      <w:lvlJc w:val="start"/>
      <w:pPr>
        <w:tabs>
          <w:tab w:val="num" w:pos="720"/>
        </w:tabs>
        <w:ind w:start="720" w:hanging="360"/>
      </w:pPr>
      <w:rPr>
        <w:rFonts w:ascii="Symbol" w:hAnsi="Symbol" w:cs="Symbol" w:hint="default"/>
      </w:rPr>
    </w:lvl>
  </w:abstractNum>
  <w:abstractNum w:abstractNumId="6">
    <w:lvl w:ilvl="0">
      <w:start w:val="1"/>
      <w:numFmt w:val="bullet"/>
      <w:lvlText w:val="o"/>
      <w:lvlJc w:val="start"/>
      <w:pPr>
        <w:tabs>
          <w:tab w:val="num" w:pos="720"/>
        </w:tabs>
        <w:ind w:start="720" w:hanging="360"/>
      </w:pPr>
      <w:rPr>
        <w:rFonts w:ascii="Courier New" w:hAnsi="Courier New" w:cs="Courier New" w:hint="default"/>
      </w:rPr>
    </w:lvl>
  </w:abstractNum>
  <w:abstractNum w:abstractNumId="7">
    <w:lvl w:ilvl="0">
      <w:start w:val="1"/>
      <w:numFmt w:val="bullet"/>
      <w:lvlText w:val=""/>
      <w:lvlJc w:val="start"/>
      <w:pPr>
        <w:tabs>
          <w:tab w:val="num" w:pos="780"/>
        </w:tabs>
        <w:ind w:start="780" w:hanging="360"/>
      </w:pPr>
      <w:rPr>
        <w:rFonts w:ascii="Symbol" w:hAnsi="Symbol" w:cs="Symbol" w:hint="default"/>
      </w:rPr>
    </w:lvl>
  </w:abstractNum>
  <w:abstractNum w:abstractNumId="8">
    <w:lvl w:ilvl="0">
      <w:start w:val="1"/>
      <w:numFmt w:val="bullet"/>
      <w:lvlText w:val=""/>
      <w:lvlJc w:val="start"/>
      <w:pPr>
        <w:tabs>
          <w:tab w:val="num" w:pos="720"/>
        </w:tabs>
        <w:ind w:start="72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10">
    <w:lvl w:ilvl="0">
      <w:start w:val="1"/>
      <w:numFmt w:val="bullet"/>
      <w:lvlText w:val=""/>
      <w:lvlJc w:val="start"/>
      <w:pPr>
        <w:tabs>
          <w:tab w:val="num" w:pos="720"/>
        </w:tabs>
        <w:ind w:start="720" w:hanging="360"/>
      </w:pPr>
      <w:rPr>
        <w:rFonts w:ascii="Symbol" w:hAnsi="Symbol" w:cs="Symbol" w:hint="default"/>
      </w:rPr>
    </w:lvl>
  </w:abstractNum>
  <w:abstractNum w:abstractNumId="11">
    <w:lvl w:ilvl="0">
      <w:start w:val="1"/>
      <w:numFmt w:val="bullet"/>
      <w:lvlText w:val=""/>
      <w:lvlJc w:val="start"/>
      <w:pPr>
        <w:tabs>
          <w:tab w:val="num" w:pos="720"/>
        </w:tabs>
        <w:ind w:start="720" w:hanging="360"/>
      </w:pPr>
      <w:rPr>
        <w:rFonts w:ascii="Symbol" w:hAnsi="Symbol" w:cs="Symbol" w:hint="default"/>
        <w:color w:val="000000"/>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12">
    <w:lvl w:ilvl="0">
      <w:start w:val="1"/>
      <w:numFmt w:val="bullet"/>
      <w:lvlText w:val=""/>
      <w:lvlJc w:val="start"/>
      <w:pPr>
        <w:tabs>
          <w:tab w:val="num" w:pos="720"/>
        </w:tabs>
        <w:ind w:start="720" w:hanging="360"/>
      </w:pPr>
      <w:rPr>
        <w:rFonts w:ascii="Symbol" w:hAnsi="Symbol" w:cs="Symbol" w:hint="default"/>
      </w:rPr>
    </w:lvl>
  </w:abstractNum>
  <w:abstractNum w:abstractNumId="13">
    <w:lvl w:ilvl="0">
      <w:start w:val="1"/>
      <w:numFmt w:val="bullet"/>
      <w:lvlText w:val=""/>
      <w:lvlJc w:val="start"/>
      <w:pPr>
        <w:tabs>
          <w:tab w:val="num" w:pos="780"/>
        </w:tabs>
        <w:ind w:start="780" w:hanging="360"/>
      </w:pPr>
      <w:rPr>
        <w:rFonts w:ascii="Symbol" w:hAnsi="Symbol" w:cs="Symbol" w:hint="default"/>
      </w:rPr>
    </w:lvl>
    <w:lvl w:ilvl="1">
      <w:start w:val="1"/>
      <w:numFmt w:val="bullet"/>
      <w:lvlText w:val="o"/>
      <w:lvlJc w:val="start"/>
      <w:pPr>
        <w:tabs>
          <w:tab w:val="num" w:pos="1500"/>
        </w:tabs>
        <w:ind w:start="1500" w:hanging="360"/>
      </w:pPr>
      <w:rPr>
        <w:rFonts w:ascii="Courier New" w:hAnsi="Courier New" w:cs="Courier New" w:hint="default"/>
      </w:rPr>
    </w:lvl>
    <w:lvl w:ilvl="2">
      <w:start w:val="1"/>
      <w:numFmt w:val="bullet"/>
      <w:lvlText w:val=""/>
      <w:lvlJc w:val="start"/>
      <w:pPr>
        <w:tabs>
          <w:tab w:val="num" w:pos="2220"/>
        </w:tabs>
        <w:ind w:start="2220" w:hanging="360"/>
      </w:pPr>
      <w:rPr>
        <w:rFonts w:ascii="Wingdings" w:hAnsi="Wingdings" w:cs="Wingdings" w:hint="default"/>
      </w:rPr>
    </w:lvl>
    <w:lvl w:ilvl="3">
      <w:start w:val="1"/>
      <w:numFmt w:val="bullet"/>
      <w:lvlText w:val=""/>
      <w:lvlJc w:val="start"/>
      <w:pPr>
        <w:tabs>
          <w:tab w:val="num" w:pos="2940"/>
        </w:tabs>
        <w:ind w:start="2940" w:hanging="360"/>
      </w:pPr>
      <w:rPr>
        <w:rFonts w:ascii="Symbol" w:hAnsi="Symbol" w:cs="Symbol" w:hint="default"/>
      </w:rPr>
    </w:lvl>
    <w:lvl w:ilvl="4">
      <w:start w:val="1"/>
      <w:numFmt w:val="bullet"/>
      <w:lvlText w:val="o"/>
      <w:lvlJc w:val="start"/>
      <w:pPr>
        <w:tabs>
          <w:tab w:val="num" w:pos="3660"/>
        </w:tabs>
        <w:ind w:start="3660" w:hanging="360"/>
      </w:pPr>
      <w:rPr>
        <w:rFonts w:ascii="Courier New" w:hAnsi="Courier New" w:cs="Courier New" w:hint="default"/>
      </w:rPr>
    </w:lvl>
    <w:lvl w:ilvl="5">
      <w:start w:val="1"/>
      <w:numFmt w:val="bullet"/>
      <w:lvlText w:val=""/>
      <w:lvlJc w:val="start"/>
      <w:pPr>
        <w:tabs>
          <w:tab w:val="num" w:pos="4380"/>
        </w:tabs>
        <w:ind w:start="4380" w:hanging="360"/>
      </w:pPr>
      <w:rPr>
        <w:rFonts w:ascii="Wingdings" w:hAnsi="Wingdings" w:cs="Wingdings" w:hint="default"/>
      </w:rPr>
    </w:lvl>
    <w:lvl w:ilvl="6">
      <w:start w:val="1"/>
      <w:numFmt w:val="bullet"/>
      <w:lvlText w:val=""/>
      <w:lvlJc w:val="start"/>
      <w:pPr>
        <w:tabs>
          <w:tab w:val="num" w:pos="5100"/>
        </w:tabs>
        <w:ind w:start="5100" w:hanging="360"/>
      </w:pPr>
      <w:rPr>
        <w:rFonts w:ascii="Symbol" w:hAnsi="Symbol" w:cs="Symbol" w:hint="default"/>
      </w:rPr>
    </w:lvl>
    <w:lvl w:ilvl="7">
      <w:start w:val="1"/>
      <w:numFmt w:val="bullet"/>
      <w:lvlText w:val="o"/>
      <w:lvlJc w:val="start"/>
      <w:pPr>
        <w:tabs>
          <w:tab w:val="num" w:pos="5820"/>
        </w:tabs>
        <w:ind w:start="5820" w:hanging="360"/>
      </w:pPr>
      <w:rPr>
        <w:rFonts w:ascii="Courier New" w:hAnsi="Courier New" w:cs="Courier New" w:hint="default"/>
      </w:rPr>
    </w:lvl>
    <w:lvl w:ilvl="8">
      <w:start w:val="1"/>
      <w:numFmt w:val="bullet"/>
      <w:lvlText w:val=""/>
      <w:lvlJc w:val="start"/>
      <w:pPr>
        <w:tabs>
          <w:tab w:val="num" w:pos="6540"/>
        </w:tabs>
        <w:ind w:start="6540" w:hanging="360"/>
      </w:pPr>
      <w:rPr>
        <w:rFonts w:ascii="Wingdings" w:hAnsi="Wingdings" w:cs="Wingdings" w:hint="default"/>
      </w:rPr>
    </w:lvl>
  </w:abstractNum>
  <w:abstractNum w:abstractNumId="14">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i/>
      <w:iCs/>
    </w:rPr>
  </w:style>
  <w:style w:type="paragraph" w:styleId="Heading2">
    <w:name w:val="heading 2"/>
    <w:basedOn w:val="Normal"/>
    <w:next w:val="Normal"/>
    <w:qFormat/>
    <w:pPr>
      <w:keepNext w:val="true"/>
      <w:numPr>
        <w:ilvl w:val="1"/>
        <w:numId w:val="1"/>
      </w:numPr>
      <w:outlineLvl w:val="1"/>
    </w:pPr>
    <w:rPr>
      <w:b/>
      <w:bCs/>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color w:val="000000"/>
    </w:rPr>
  </w:style>
  <w:style w:type="character" w:styleId="WW8Num4z1">
    <w:name w:val="WW8Num4z1"/>
    <w:qFormat/>
    <w:rPr>
      <w:rFonts w:ascii="Symbol" w:hAnsi="Symbol" w:cs="Symbol"/>
    </w:rPr>
  </w:style>
  <w:style w:type="character" w:styleId="WW8Num4z2">
    <w:name w:val="WW8Num4z2"/>
    <w:qFormat/>
    <w:rPr>
      <w:rFonts w:ascii="Wingdings" w:hAnsi="Wingdings" w:cs="Wingdings"/>
    </w:rPr>
  </w:style>
  <w:style w:type="character" w:styleId="WW8Num4z4">
    <w:name w:val="WW8Num4z4"/>
    <w:qFormat/>
    <w:rPr>
      <w:rFonts w:ascii="Courier New" w:hAnsi="Courier New" w:cs="Courier New"/>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Courier New" w:hAnsi="Courier New" w:cs="Courier New"/>
    </w:rPr>
  </w:style>
  <w:style w:type="character" w:styleId="WW8Num6z2">
    <w:name w:val="WW8Num6z2"/>
    <w:qFormat/>
    <w:rPr>
      <w:rFonts w:ascii="Wingdings" w:hAnsi="Wingdings" w:cs="Wingdings"/>
    </w:rPr>
  </w:style>
  <w:style w:type="character" w:styleId="WW8Num6z3">
    <w:name w:val="WW8Num6z3"/>
    <w:qFormat/>
    <w:rPr>
      <w:rFonts w:ascii="Symbol" w:hAnsi="Symbol" w:cs="Symbol"/>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Courier New" w:hAnsi="Courier New" w:cs="Courier New"/>
    </w:rPr>
  </w:style>
  <w:style w:type="character" w:styleId="WW8Num10z2">
    <w:name w:val="WW8Num10z2"/>
    <w:qFormat/>
    <w:rPr>
      <w:rFonts w:ascii="Wingdings" w:hAnsi="Wingdings" w:cs="Wingdings"/>
    </w:rPr>
  </w:style>
  <w:style w:type="character" w:styleId="WW8Num10z3">
    <w:name w:val="WW8Num10z3"/>
    <w:qFormat/>
    <w:rPr>
      <w:rFonts w:ascii="Symbol" w:hAnsi="Symbol" w:cs="Symbol"/>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Symbol" w:hAnsi="Symbol" w:cs="Symbol"/>
      <w:color w:val="000000"/>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2z3">
    <w:name w:val="WW8Num12z3"/>
    <w:qFormat/>
    <w:rPr>
      <w:rFonts w:ascii="Symbol" w:hAnsi="Symbol" w:cs="Symbol"/>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5z0">
    <w:name w:val="WW8Num15z0"/>
    <w:qFormat/>
    <w:rPr>
      <w:rFonts w:ascii="Symbol" w:hAnsi="Symbol" w:cs="Symbol"/>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color w:val="00000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360" w:end="0"/>
    </w:pPr>
    <w:rPr>
      <w:rFonts w:ascii="Arial" w:hAnsi="Arial" w:cs="Arial"/>
      <w:color w:val="000000"/>
      <w:sz w:val="28"/>
    </w:rPr>
  </w:style>
  <w:style w:type="paragraph" w:styleId="FootnoteText">
    <w:name w:val="footnote text"/>
    <w:basedOn w:val="Normal"/>
    <w:pPr/>
    <w:rPr>
      <w:sz w:val="20"/>
      <w:szCs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2000-10-17T10:47:00Z</dcterms:created>
  <dc:creator>jsteffe</dc:creator>
  <dc:description/>
  <dc:language>en-CA</dc:language>
  <cp:lastModifiedBy>jsteffe</cp:lastModifiedBy>
  <cp:lastPrinted>2000-10-17T08:03:00Z</cp:lastPrinted>
  <dcterms:modified xsi:type="dcterms:W3CDTF">2000-10-17T10:47:00Z</dcterms:modified>
  <cp:revision>2</cp:revision>
  <dc:subject/>
  <dc:title>California Issues</dc:title>
</cp:coreProperties>
</file>