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0" w:after="60"/>
        <w:rPr>
          <w:sz w:val="2"/>
        </w:rPr>
      </w:pPr>
      <w:r>
        <w:rPr>
          <w:sz w:val="2"/>
        </w:rPr>
      </w:r>
      <w:r>
        <mc:AlternateContent>
          <mc:Choice Requires="wps">
            <w:drawing>
              <wp:anchor behindDoc="0" distT="0" distB="0" distL="114300" distR="114300" simplePos="0" locked="0" layoutInCell="0" allowOverlap="1" relativeHeight="2">
                <wp:simplePos x="0" y="0"/>
                <wp:positionH relativeFrom="page">
                  <wp:posOffset>1057910</wp:posOffset>
                </wp:positionH>
                <wp:positionV relativeFrom="paragraph">
                  <wp:posOffset>-647065</wp:posOffset>
                </wp:positionV>
                <wp:extent cx="3820160" cy="1979930"/>
                <wp:effectExtent l="0" t="0" r="0" b="0"/>
                <wp:wrapSquare wrapText="bothSides"/>
                <wp:docPr id="1" name="Frame1"/>
                <a:graphic xmlns:a="http://schemas.openxmlformats.org/drawingml/2006/main">
                  <a:graphicData uri="http://schemas.microsoft.com/office/word/2010/wordprocessingShape">
                    <wps:wsp>
                      <wps:cNvSpPr txBox="1"/>
                      <wps:spPr>
                        <a:xfrm>
                          <a:off x="0" y="0"/>
                          <a:ext cx="3820160" cy="1979930"/>
                        </a:xfrm>
                        <a:prstGeom prst="rect"/>
                        <a:solidFill>
                          <a:srgbClr val="FFFFFF">
                            <a:alpha val="0"/>
                          </a:srgbClr>
                        </a:solidFill>
                      </wps:spPr>
                      <wps:txbx>
                        <w:txbxContent>
                          <w:p>
                            <w:pPr>
                              <w:pStyle w:val="Normal"/>
                              <w:widowControl/>
                              <w:bidi w:val="0"/>
                              <w:spacing w:before="60" w:after="60"/>
                              <w:rPr/>
                            </w:pPr>
                            <w:r>
                              <w:rPr/>
                              <w:object w:dxaOrig="2387" w:dyaOrig="237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19.35pt;height:118.55pt" filled="f" o:ole="">
                                  <v:imagedata r:id="rId3" o:title=""/>
                                </v:shape>
                                <o:OLEObject Type="Embed" ProgID="" ShapeID="ole_rId2" DrawAspect="Content" ObjectID="_1333514757" r:id="rId2"/>
                              </w:object>
                            </w:r>
                          </w:p>
                          <w:p>
                            <w:pPr>
                              <w:pStyle w:val="Normal"/>
                              <w:rPr/>
                            </w:pPr>
                            <w:r>
                              <w:rPr/>
                            </w:r>
                          </w:p>
                          <w:p>
                            <w:pPr>
                              <w:pStyle w:val="Normal"/>
                              <w:spacing w:before="0" w:after="0"/>
                              <w:rPr>
                                <w:b/>
                                <w:sz w:val="24"/>
                              </w:rPr>
                            </w:pPr>
                            <w:r>
                              <w:rPr>
                                <w:b/>
                                <w:sz w:val="24"/>
                              </w:rPr>
                              <w:t>InterOffice Memo</w:t>
                            </w:r>
                          </w:p>
                        </w:txbxContent>
                      </wps:txbx>
                      <wps:bodyPr anchor="t" lIns="0" tIns="0" rIns="0" bIns="0">
                        <a:noAutofit/>
                      </wps:bodyPr>
                    </wps:wsp>
                  </a:graphicData>
                </a:graphic>
              </wp:anchor>
            </w:drawing>
          </mc:Choice>
          <mc:Fallback>
            <w:pict>
              <v:rect fillcolor="#FFFFFF" style="position:absolute;rotation:-0;width:300.8pt;height:155.9pt;mso-wrap-distance-left:9pt;mso-wrap-distance-right:9pt;mso-wrap-distance-top:0pt;mso-wrap-distance-bottom:0pt;margin-top:-50.95pt;mso-position-vertical-relative:text;margin-left:83.3pt;mso-position-horizontal-relative:page">
                <v:fill opacity="0f"/>
                <v:textbox inset="0in,0in,0in,0in">
                  <w:txbxContent>
                    <w:p>
                      <w:pPr>
                        <w:pStyle w:val="Normal"/>
                        <w:widowControl/>
                        <w:bidi w:val="0"/>
                        <w:spacing w:before="60" w:after="60"/>
                        <w:rPr/>
                      </w:pPr>
                      <w:r>
                        <w:rPr/>
                        <w:object w:dxaOrig="2387" w:dyaOrig="2371">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19.35pt;height:118.55pt" filled="f" o:ole="">
                            <v:imagedata r:id="rId5" o:title=""/>
                          </v:shape>
                          <o:OLEObject Type="Embed" ProgID="" ShapeID="ole_rId4" DrawAspect="Content" ObjectID="_2133114583" r:id="rId4"/>
                        </w:object>
                      </w:r>
                    </w:p>
                    <w:p>
                      <w:pPr>
                        <w:pStyle w:val="Normal"/>
                        <w:rPr/>
                      </w:pPr>
                      <w:r>
                        <w:rPr/>
                      </w:r>
                    </w:p>
                    <w:p>
                      <w:pPr>
                        <w:pStyle w:val="Normal"/>
                        <w:spacing w:before="0" w:after="0"/>
                        <w:rPr>
                          <w:b/>
                          <w:sz w:val="24"/>
                        </w:rPr>
                      </w:pPr>
                      <w:r>
                        <w:rPr>
                          <w:b/>
                          <w:sz w:val="24"/>
                        </w:rPr>
                        <w:t>InterOffice Memo</w:t>
                      </w:r>
                    </w:p>
                  </w:txbxContent>
                </v:textbox>
                <w10:wrap type="square"/>
              </v:rect>
            </w:pict>
          </mc:Fallback>
        </mc:AlternateContent>
      </w:r>
    </w:p>
    <w:tbl>
      <w:tblPr>
        <w:tblW w:w="8748" w:type="dxa"/>
        <w:jc w:val="start"/>
        <w:tblInd w:w="0" w:type="dxa"/>
        <w:tblLayout w:type="fixed"/>
        <w:tblCellMar>
          <w:top w:w="0" w:type="dxa"/>
          <w:start w:w="108" w:type="dxa"/>
          <w:bottom w:w="0" w:type="dxa"/>
          <w:end w:w="108" w:type="dxa"/>
        </w:tblCellMar>
      </w:tblPr>
      <w:tblGrid>
        <w:gridCol w:w="1188"/>
        <w:gridCol w:w="7560"/>
      </w:tblGrid>
      <w:tr>
        <w:trPr/>
        <w:tc>
          <w:tcPr>
            <w:tcW w:w="1188" w:type="dxa"/>
            <w:tcBorders/>
          </w:tcPr>
          <w:p>
            <w:pPr>
              <w:pStyle w:val="Normal"/>
              <w:spacing w:before="0" w:after="0"/>
              <w:rPr>
                <w:b/>
              </w:rPr>
            </w:pPr>
            <w:r>
              <w:rPr>
                <w:b/>
              </w:rPr>
              <w:t>To:</w:t>
            </w:r>
          </w:p>
        </w:tc>
        <w:tc>
          <w:tcPr>
            <w:tcW w:w="7560" w:type="dxa"/>
            <w:tcBorders/>
          </w:tcPr>
          <w:p>
            <w:pPr>
              <w:pStyle w:val="To"/>
              <w:spacing w:before="0" w:after="0"/>
              <w:rPr>
                <w:b/>
              </w:rPr>
            </w:pPr>
            <w:bookmarkStart w:id="0" w:name="To"/>
            <w:bookmarkEnd w:id="0"/>
            <w:r>
              <w:rPr>
                <w:b/>
              </w:rPr>
              <w:t>J. Uhl</w:t>
            </w:r>
          </w:p>
          <w:p>
            <w:pPr>
              <w:pStyle w:val="To"/>
              <w:spacing w:before="0" w:after="0"/>
              <w:rPr>
                <w:b/>
              </w:rPr>
            </w:pPr>
            <w:r>
              <w:rPr>
                <w:b/>
              </w:rPr>
              <w:t>J. Wilson</w:t>
            </w:r>
          </w:p>
        </w:tc>
      </w:tr>
      <w:tr>
        <w:trPr/>
        <w:tc>
          <w:tcPr>
            <w:tcW w:w="1188" w:type="dxa"/>
            <w:tcBorders/>
          </w:tcPr>
          <w:p>
            <w:pPr>
              <w:pStyle w:val="Normal"/>
              <w:spacing w:before="0" w:after="0"/>
              <w:rPr>
                <w:b/>
              </w:rPr>
            </w:pPr>
            <w:r>
              <w:rPr>
                <w:b/>
              </w:rPr>
              <w:t>From:</w:t>
            </w:r>
          </w:p>
        </w:tc>
        <w:tc>
          <w:tcPr>
            <w:tcW w:w="7560" w:type="dxa"/>
            <w:tcBorders/>
          </w:tcPr>
          <w:p>
            <w:pPr>
              <w:pStyle w:val="From"/>
              <w:spacing w:before="0" w:after="0"/>
              <w:rPr>
                <w:b/>
              </w:rPr>
            </w:pPr>
            <w:bookmarkStart w:id="1" w:name="From"/>
            <w:bookmarkEnd w:id="1"/>
            <w:r>
              <w:rPr>
                <w:b/>
              </w:rPr>
              <w:t>A. Ibrahim</w:t>
            </w:r>
          </w:p>
        </w:tc>
      </w:tr>
      <w:tr>
        <w:trPr/>
        <w:tc>
          <w:tcPr>
            <w:tcW w:w="1188" w:type="dxa"/>
            <w:tcBorders/>
          </w:tcPr>
          <w:p>
            <w:pPr>
              <w:pStyle w:val="Normal"/>
              <w:spacing w:before="0" w:after="0"/>
              <w:rPr>
                <w:b/>
              </w:rPr>
            </w:pPr>
            <w:r>
              <w:rPr>
                <w:b/>
              </w:rPr>
              <w:t>Date:</w:t>
            </w:r>
          </w:p>
        </w:tc>
        <w:tc>
          <w:tcPr>
            <w:tcW w:w="7560" w:type="dxa"/>
            <w:tcBorders/>
          </w:tcPr>
          <w:p>
            <w:pPr>
              <w:pStyle w:val="Date"/>
              <w:spacing w:before="0" w:after="0"/>
              <w:rPr>
                <w:b/>
              </w:rPr>
            </w:pPr>
            <w:r>
              <w:rPr>
                <w:b/>
              </w:rPr>
              <w:t>October 18, 1999</w:t>
            </w:r>
          </w:p>
        </w:tc>
      </w:tr>
      <w:tr>
        <w:trPr/>
        <w:tc>
          <w:tcPr>
            <w:tcW w:w="1188" w:type="dxa"/>
            <w:tcBorders>
              <w:bottom w:val="single" w:sz="18" w:space="0" w:color="000000"/>
            </w:tcBorders>
          </w:tcPr>
          <w:p>
            <w:pPr>
              <w:pStyle w:val="Normal"/>
              <w:spacing w:before="0" w:after="0"/>
              <w:rPr>
                <w:b/>
              </w:rPr>
            </w:pPr>
            <w:r>
              <w:rPr>
                <w:b/>
              </w:rPr>
              <w:t>Subject:</w:t>
            </w:r>
          </w:p>
        </w:tc>
        <w:tc>
          <w:tcPr>
            <w:tcW w:w="7560" w:type="dxa"/>
            <w:tcBorders>
              <w:bottom w:val="single" w:sz="18" w:space="0" w:color="000000"/>
            </w:tcBorders>
          </w:tcPr>
          <w:p>
            <w:pPr>
              <w:pStyle w:val="Subject"/>
              <w:spacing w:before="0" w:after="0"/>
              <w:rPr>
                <w:b/>
              </w:rPr>
            </w:pPr>
            <w:bookmarkStart w:id="2" w:name="Subject"/>
            <w:bookmarkEnd w:id="2"/>
            <w:r>
              <w:rPr>
                <w:b/>
              </w:rPr>
              <w:t>Panama – Regulatory Summary</w:t>
            </w:r>
          </w:p>
        </w:tc>
      </w:tr>
    </w:tbl>
    <w:p>
      <w:pPr>
        <w:pStyle w:val="Header"/>
        <w:tabs>
          <w:tab w:val="clear" w:pos="4320"/>
          <w:tab w:val="clear" w:pos="8640"/>
          <w:tab w:val="clear" w:pos="9000"/>
        </w:tabs>
        <w:rPr>
          <w:b/>
        </w:rPr>
      </w:pPr>
      <w:bookmarkStart w:id="3" w:name="StartOfMemo"/>
      <w:bookmarkEnd w:id="3"/>
      <w:r>
        <w:rPr>
          <w:b/>
        </w:rPr>
        <w:t>Overview:</w:t>
      </w:r>
    </w:p>
    <w:p>
      <w:pPr>
        <w:pStyle w:val="BodyText"/>
        <w:rPr>
          <w:sz w:val="20"/>
        </w:rPr>
      </w:pPr>
      <w:r>
        <w:rPr>
          <w:sz w:val="20"/>
        </w:rPr>
        <w:t xml:space="preserve">With around thousand MW installed capacity, the electric system in Panama is fully restructured in the sense of physical separation between competitive generation, transmission and distribution. Distribution companies have been in private hands since 1998 and are offering their products and services in an unbundled manner with access to large customers above ½ MW; distribution component is regulated and so are the rules of the commodity cost pass-through. The transmission service is also regulated with connection charges and zonal usage prices. </w:t>
      </w:r>
    </w:p>
    <w:p>
      <w:pPr>
        <w:pStyle w:val="BodyText"/>
        <w:rPr/>
      </w:pPr>
      <w:r>
        <w:rPr>
          <w:sz w:val="20"/>
        </w:rPr>
        <w:t xml:space="preserve">The Public Service Regulatory Entity </w:t>
      </w:r>
      <w:r>
        <w:rPr>
          <w:sz w:val="20"/>
        </w:rPr>
        <w:t xml:space="preserve"> (ENTE)—a State autonomous agency with its own legal capacity and assets--is directed and administered by a boards of directors made up of three principal members directors, appointed by the Executive Branch and ratified by the Legislative Assembly</w:t>
      </w:r>
      <w:r>
        <w:rPr>
          <w:sz w:val="20"/>
          <w:u w:val="single"/>
        </w:rPr>
        <w:t>,</w:t>
      </w:r>
      <w:r>
        <w:rPr>
          <w:sz w:val="20"/>
        </w:rPr>
        <w:t xml:space="preserve"> for a period of five years.  The Transmission Company’s dispatch center (CND) is responsible for the commercial administration of the Market which shall perform its activities impartially.     Further, the transmission company, till the year 2002, shall also play the role of the main purchaser of energy and capacity which the distribution companies must contract for their regulated customers.  Following this period, contracting for energy and capacity shall be performed on openly competitive basis.   </w:t>
      </w:r>
      <w:r>
        <mc:AlternateContent>
          <mc:Choice Requires="wps">
            <w:drawing>
              <wp:anchor behindDoc="0" distT="0" distB="0" distL="114935" distR="114935" simplePos="0" locked="0" layoutInCell="0" allowOverlap="1" relativeHeight="13">
                <wp:simplePos x="0" y="0"/>
                <wp:positionH relativeFrom="column">
                  <wp:posOffset>2601595</wp:posOffset>
                </wp:positionH>
                <wp:positionV relativeFrom="paragraph">
                  <wp:posOffset>210820</wp:posOffset>
                </wp:positionV>
                <wp:extent cx="2934970" cy="4142740"/>
                <wp:effectExtent l="0" t="0" r="0" b="0"/>
                <wp:wrapSquare wrapText="left"/>
                <wp:docPr id="2" name="Frame2"/>
                <a:graphic xmlns:a="http://schemas.openxmlformats.org/drawingml/2006/main">
                  <a:graphicData uri="http://schemas.microsoft.com/office/word/2010/wordprocessingShape">
                    <wps:wsp>
                      <wps:cNvSpPr txBox="1"/>
                      <wps:spPr>
                        <a:xfrm>
                          <a:off x="0" y="0"/>
                          <a:ext cx="2934970" cy="4142740"/>
                        </a:xfrm>
                        <a:prstGeom prst="rect"/>
                        <a:solidFill>
                          <a:srgbClr val="FFFFFF"/>
                        </a:solidFill>
                        <a:ln w="9525">
                          <a:solidFill>
                            <a:srgbClr val="000000"/>
                          </a:solidFill>
                        </a:ln>
                      </wps:spPr>
                      <wps:txbx>
                        <w:txbxContent>
                          <w:p>
                            <w:pPr>
                              <w:pStyle w:val="Header"/>
                              <w:tabs>
                                <w:tab w:val="clear" w:pos="4320"/>
                                <w:tab w:val="clear" w:pos="8640"/>
                                <w:tab w:val="clear" w:pos="9000"/>
                              </w:tabs>
                              <w:jc w:val="center"/>
                              <w:rPr>
                                <w:rFonts w:ascii="CG Times" w:hAnsi="CG Times" w:cs="CG Times"/>
                                <w:b/>
                              </w:rPr>
                            </w:pPr>
                            <w:r>
                              <w:rPr>
                                <w:rFonts w:cs="CG Times" w:ascii="CG Times" w:hAnsi="CG Times"/>
                                <w:b/>
                              </w:rPr>
                              <w:t xml:space="preserve">ENERGY OVERVIEW </w:t>
                            </w:r>
                          </w:p>
                          <w:p>
                            <w:pPr>
                              <w:pStyle w:val="Header"/>
                              <w:tabs>
                                <w:tab w:val="clear" w:pos="4320"/>
                                <w:tab w:val="clear" w:pos="8640"/>
                                <w:tab w:val="clear" w:pos="9000"/>
                              </w:tabs>
                              <w:rPr>
                                <w:rFonts w:ascii="CG Times" w:hAnsi="CG Times" w:cs="CG Times"/>
                                <w:b/>
                              </w:rPr>
                            </w:pPr>
                            <w:r>
                              <w:rPr>
                                <w:rFonts w:cs="CG Times" w:ascii="CG Times" w:hAnsi="CG Times"/>
                                <w:b/>
                              </w:rPr>
                              <w:t xml:space="preserve">Electric Generation Capacity: </w:t>
                              <w:tab/>
                              <w:t>960MW</w:t>
                            </w:r>
                          </w:p>
                          <w:p>
                            <w:pPr>
                              <w:pStyle w:val="Header"/>
                              <w:tabs>
                                <w:tab w:val="clear" w:pos="4320"/>
                                <w:tab w:val="clear" w:pos="8640"/>
                                <w:tab w:val="clear" w:pos="9000"/>
                              </w:tabs>
                              <w:rPr>
                                <w:rFonts w:ascii="CG Times" w:hAnsi="CG Times" w:cs="CG Times"/>
                                <w:b/>
                              </w:rPr>
                            </w:pPr>
                            <w:r>
                              <w:rPr>
                                <w:rFonts w:cs="CG Times" w:ascii="CG Times" w:hAnsi="CG Times"/>
                                <w:b/>
                              </w:rPr>
                              <w:t>Peak Load:</w:t>
                            </w:r>
                          </w:p>
                          <w:p>
                            <w:pPr>
                              <w:pStyle w:val="Header"/>
                              <w:tabs>
                                <w:tab w:val="clear" w:pos="4320"/>
                                <w:tab w:val="clear" w:pos="8640"/>
                                <w:tab w:val="clear" w:pos="9000"/>
                              </w:tabs>
                              <w:rPr>
                                <w:rFonts w:ascii="CG Times" w:hAnsi="CG Times" w:cs="CG Times"/>
                                <w:b/>
                              </w:rPr>
                            </w:pPr>
                            <w:r>
                              <w:rPr>
                                <w:rFonts w:cs="CG Times" w:ascii="CG Times" w:hAnsi="CG Times"/>
                                <w:b/>
                              </w:rPr>
                              <w:t>Thermal Generation:</w:t>
                            </w:r>
                          </w:p>
                          <w:p>
                            <w:pPr>
                              <w:pStyle w:val="Header"/>
                              <w:tabs>
                                <w:tab w:val="clear" w:pos="4320"/>
                                <w:tab w:val="clear" w:pos="8640"/>
                                <w:tab w:val="clear" w:pos="9000"/>
                              </w:tabs>
                              <w:rPr>
                                <w:rFonts w:ascii="CG Times" w:hAnsi="CG Times" w:cs="CG Times"/>
                                <w:b/>
                              </w:rPr>
                            </w:pPr>
                            <w:r>
                              <w:rPr>
                                <w:rFonts w:cs="CG Times" w:ascii="CG Times" w:hAnsi="CG Times"/>
                                <w:b/>
                              </w:rPr>
                              <w:t>Hydro Generation:</w:t>
                            </w:r>
                          </w:p>
                          <w:p>
                            <w:pPr>
                              <w:pStyle w:val="Header"/>
                              <w:tabs>
                                <w:tab w:val="clear" w:pos="4320"/>
                                <w:tab w:val="clear" w:pos="8640"/>
                                <w:tab w:val="clear" w:pos="9000"/>
                              </w:tabs>
                              <w:rPr>
                                <w:rFonts w:ascii="CG Times" w:hAnsi="CG Times" w:cs="CG Times"/>
                                <w:b/>
                              </w:rPr>
                            </w:pPr>
                            <w:r>
                              <w:rPr>
                                <w:rFonts w:cs="CG Times" w:ascii="CG Times" w:hAnsi="CG Times"/>
                                <w:b/>
                              </w:rPr>
                              <w:t>Electricity Consumed:</w:t>
                            </w:r>
                          </w:p>
                          <w:p>
                            <w:pPr>
                              <w:pStyle w:val="Header"/>
                              <w:tabs>
                                <w:tab w:val="clear" w:pos="4320"/>
                                <w:tab w:val="clear" w:pos="8640"/>
                                <w:tab w:val="clear" w:pos="9000"/>
                              </w:tabs>
                              <w:rPr>
                                <w:rFonts w:ascii="CG Times" w:hAnsi="CG Times" w:cs="CG Times"/>
                                <w:b/>
                              </w:rPr>
                            </w:pPr>
                            <w:r>
                              <w:rPr>
                                <w:rFonts w:cs="CG Times" w:ascii="CG Times" w:hAnsi="CG Times"/>
                                <w:b/>
                              </w:rPr>
                              <w:t>Customer Base:</w:t>
                              <w:tab/>
                              <w:tab/>
                              <w:tab/>
                              <w:t>450,000</w:t>
                            </w:r>
                          </w:p>
                          <w:p>
                            <w:pPr>
                              <w:pStyle w:val="Header"/>
                              <w:tabs>
                                <w:tab w:val="clear" w:pos="4320"/>
                                <w:tab w:val="clear" w:pos="8640"/>
                                <w:tab w:val="clear" w:pos="9000"/>
                              </w:tabs>
                              <w:rPr>
                                <w:rFonts w:ascii="CG Times" w:hAnsi="CG Times" w:cs="CG Times"/>
                                <w:b/>
                              </w:rPr>
                            </w:pPr>
                            <w:r>
                              <w:rPr>
                                <w:rFonts w:cs="CG Times" w:ascii="CG Times" w:hAnsi="CG Times"/>
                                <w:b/>
                              </w:rPr>
                              <w:t>Generators:</w:t>
                            </w:r>
                          </w:p>
                          <w:p>
                            <w:pPr>
                              <w:pStyle w:val="Header"/>
                              <w:tabs>
                                <w:tab w:val="clear" w:pos="4320"/>
                                <w:tab w:val="clear" w:pos="8640"/>
                                <w:tab w:val="clear" w:pos="9000"/>
                              </w:tabs>
                              <w:rPr>
                                <w:rFonts w:ascii="CG Times" w:hAnsi="CG Times" w:cs="CG Times"/>
                                <w:b/>
                              </w:rPr>
                            </w:pPr>
                            <w:r>
                              <w:rPr>
                                <w:rFonts w:cs="CG Times" w:ascii="CG Times" w:hAnsi="CG Times"/>
                                <w:b/>
                              </w:rPr>
                              <w:t>Distribution Co’s:</w:t>
                            </w:r>
                          </w:p>
                          <w:p>
                            <w:pPr>
                              <w:pStyle w:val="Header"/>
                              <w:tabs>
                                <w:tab w:val="clear" w:pos="4320"/>
                                <w:tab w:val="clear" w:pos="8640"/>
                                <w:tab w:val="clear" w:pos="9000"/>
                              </w:tabs>
                              <w:rPr>
                                <w:rFonts w:ascii="CG Times" w:hAnsi="CG Times" w:cs="CG Times"/>
                                <w:b/>
                              </w:rPr>
                            </w:pPr>
                            <w:r>
                              <w:rPr>
                                <w:rFonts w:cs="CG Times" w:ascii="CG Times" w:hAnsi="CG Times"/>
                                <w:b/>
                              </w:rPr>
                              <w:t>Major Transmission:</w:t>
                              <w:tab/>
                              <w:tab/>
                              <w:t>ETESA</w:t>
                            </w:r>
                          </w:p>
                          <w:p>
                            <w:pPr>
                              <w:pStyle w:val="Header"/>
                              <w:tabs>
                                <w:tab w:val="clear" w:pos="4320"/>
                                <w:tab w:val="clear" w:pos="8640"/>
                                <w:tab w:val="clear" w:pos="9000"/>
                              </w:tabs>
                              <w:rPr>
                                <w:rFonts w:ascii="CG Times" w:hAnsi="CG Times" w:cs="CG Times"/>
                                <w:b/>
                              </w:rPr>
                            </w:pPr>
                            <w:r>
                              <w:rPr>
                                <w:rFonts w:cs="CG Times" w:ascii="CG Times" w:hAnsi="CG Times"/>
                                <w:b/>
                              </w:rPr>
                              <w:t>Secondary Transmission:</w:t>
                            </w:r>
                          </w:p>
                          <w:p>
                            <w:pPr>
                              <w:pStyle w:val="Header"/>
                              <w:tabs>
                                <w:tab w:val="clear" w:pos="4320"/>
                                <w:tab w:val="clear" w:pos="8640"/>
                                <w:tab w:val="clear" w:pos="9000"/>
                              </w:tabs>
                              <w:rPr>
                                <w:rFonts w:ascii="CG Times" w:hAnsi="CG Times" w:cs="CG Times"/>
                                <w:b/>
                              </w:rPr>
                            </w:pPr>
                            <w:r>
                              <w:rPr>
                                <w:rFonts w:cs="CG Times" w:ascii="CG Times" w:hAnsi="CG Times"/>
                                <w:b/>
                              </w:rPr>
                              <w:t>Electricity Net Exports:</w:t>
                            </w:r>
                          </w:p>
                          <w:p>
                            <w:pPr>
                              <w:pStyle w:val="Header"/>
                              <w:tabs>
                                <w:tab w:val="clear" w:pos="4320"/>
                                <w:tab w:val="clear" w:pos="8640"/>
                                <w:tab w:val="clear" w:pos="9000"/>
                              </w:tabs>
                              <w:rPr>
                                <w:rFonts w:ascii="CG Times" w:hAnsi="CG Times" w:cs="CG Times"/>
                                <w:b/>
                              </w:rPr>
                            </w:pPr>
                            <w:r>
                              <w:rPr>
                                <w:rFonts w:cs="CG Times" w:ascii="CG Times" w:hAnsi="CG Times"/>
                                <w:b/>
                              </w:rPr>
                              <w:t xml:space="preserve">Intern’l Interties: </w:t>
                              <w:tab/>
                              <w:tab/>
                              <w:t xml:space="preserve">C. Rica </w:t>
                            </w:r>
                          </w:p>
                          <w:p>
                            <w:pPr>
                              <w:pStyle w:val="Header"/>
                              <w:tabs>
                                <w:tab w:val="clear" w:pos="4320"/>
                                <w:tab w:val="clear" w:pos="8640"/>
                                <w:tab w:val="clear" w:pos="9000"/>
                              </w:tabs>
                              <w:rPr>
                                <w:rFonts w:ascii="CG Times" w:hAnsi="CG Times" w:cs="CG Times"/>
                                <w:b/>
                              </w:rPr>
                            </w:pPr>
                            <w:r>
                              <w:rPr>
                                <w:rFonts w:cs="CG Times" w:ascii="CG Times" w:hAnsi="CG Times"/>
                                <w:b/>
                              </w:rPr>
                              <w:t xml:space="preserve">Regulatory Entity: </w:t>
                              <w:tab/>
                              <w:tab/>
                              <w:t>ENTE</w:t>
                            </w:r>
                          </w:p>
                          <w:p>
                            <w:pPr>
                              <w:pStyle w:val="Header"/>
                              <w:tabs>
                                <w:tab w:val="clear" w:pos="4320"/>
                                <w:tab w:val="clear" w:pos="8640"/>
                                <w:tab w:val="clear" w:pos="9000"/>
                              </w:tabs>
                              <w:rPr>
                                <w:rFonts w:ascii="CG Times" w:hAnsi="CG Times" w:cs="CG Times"/>
                                <w:b/>
                              </w:rPr>
                            </w:pPr>
                            <w:r>
                              <w:rPr>
                                <w:rFonts w:cs="CG Times" w:ascii="CG Times" w:hAnsi="CG Times"/>
                                <w:b/>
                              </w:rPr>
                              <w:t xml:space="preserve">Regulatory Ranking:  </w:t>
                              <w:tab/>
                              <w:tab/>
                              <w:t>3,3,2,8</w:t>
                            </w:r>
                          </w:p>
                          <w:p>
                            <w:pPr>
                              <w:pStyle w:val="Header"/>
                              <w:tabs>
                                <w:tab w:val="clear" w:pos="4320"/>
                                <w:tab w:val="clear" w:pos="8640"/>
                                <w:tab w:val="clear" w:pos="9000"/>
                              </w:tabs>
                              <w:rPr>
                                <w:rFonts w:ascii="CG Times" w:hAnsi="CG Times" w:cs="CG Times"/>
                                <w:b/>
                              </w:rPr>
                            </w:pPr>
                            <w:r>
                              <w:rPr>
                                <w:rFonts w:cs="CG Times" w:ascii="CG Times" w:hAnsi="CG Times"/>
                                <w:b/>
                              </w:rPr>
                              <w:t xml:space="preserve">Natural Gas Reserves: </w:t>
                              <w:tab/>
                              <w:tab/>
                              <w:t>None</w:t>
                            </w:r>
                          </w:p>
                          <w:p>
                            <w:pPr>
                              <w:pStyle w:val="Header"/>
                              <w:tabs>
                                <w:tab w:val="clear" w:pos="4320"/>
                                <w:tab w:val="clear" w:pos="8640"/>
                                <w:tab w:val="clear" w:pos="9000"/>
                              </w:tabs>
                              <w:rPr>
                                <w:rFonts w:ascii="CG Times" w:hAnsi="CG Times" w:cs="CG Times"/>
                                <w:b/>
                              </w:rPr>
                            </w:pPr>
                            <w:r>
                              <w:rPr>
                                <w:rFonts w:cs="CG Times" w:ascii="CG Times" w:hAnsi="CG Times"/>
                                <w:b/>
                              </w:rPr>
                              <w:t xml:space="preserve">Natural Gas Production: </w:t>
                              <w:tab/>
                              <w:t>None</w:t>
                            </w:r>
                          </w:p>
                          <w:p>
                            <w:pPr>
                              <w:pStyle w:val="Header"/>
                              <w:tabs>
                                <w:tab w:val="clear" w:pos="4320"/>
                                <w:tab w:val="clear" w:pos="8640"/>
                                <w:tab w:val="clear" w:pos="9000"/>
                              </w:tabs>
                              <w:rPr>
                                <w:rFonts w:ascii="CG Times" w:hAnsi="CG Times" w:cs="CG Times"/>
                                <w:b/>
                              </w:rPr>
                            </w:pPr>
                            <w:r>
                              <w:rPr>
                                <w:rFonts w:cs="CG Times" w:ascii="CG Times" w:hAnsi="CG Times"/>
                                <w:b/>
                              </w:rPr>
                              <w:t>Natural Gas Consumption:</w:t>
                              <w:tab/>
                              <w:t>None</w:t>
                            </w:r>
                          </w:p>
                          <w:p>
                            <w:pPr>
                              <w:pStyle w:val="Header"/>
                              <w:tabs>
                                <w:tab w:val="clear" w:pos="4320"/>
                                <w:tab w:val="clear" w:pos="8640"/>
                                <w:tab w:val="clear" w:pos="9000"/>
                              </w:tabs>
                              <w:rPr>
                                <w:rFonts w:ascii="CG Times" w:hAnsi="CG Times" w:cs="CG Times"/>
                                <w:b/>
                              </w:rPr>
                            </w:pPr>
                            <w:r>
                              <w:rPr>
                                <w:rFonts w:cs="CG Times" w:ascii="CG Times" w:hAnsi="CG Times"/>
                                <w:b/>
                              </w:rPr>
                              <w:t>Coal Reserves:</w:t>
                              <w:tab/>
                              <w:tab/>
                              <w:tab/>
                              <w:t>None</w:t>
                            </w:r>
                          </w:p>
                          <w:p>
                            <w:pPr>
                              <w:pStyle w:val="Header"/>
                              <w:tabs>
                                <w:tab w:val="clear" w:pos="4320"/>
                                <w:tab w:val="clear" w:pos="8640"/>
                                <w:tab w:val="clear" w:pos="9000"/>
                              </w:tabs>
                              <w:rPr>
                                <w:rFonts w:ascii="CG Times" w:hAnsi="CG Times" w:cs="CG Times"/>
                                <w:b/>
                              </w:rPr>
                            </w:pPr>
                            <w:r>
                              <w:rPr>
                                <w:rFonts w:cs="CG Times" w:ascii="CG Times" w:hAnsi="CG Times"/>
                                <w:b/>
                              </w:rPr>
                              <w:t xml:space="preserve">Coal Production: </w:t>
                              <w:tab/>
                              <w:tab/>
                              <w:t>None</w:t>
                            </w:r>
                          </w:p>
                          <w:p>
                            <w:pPr>
                              <w:pStyle w:val="Header"/>
                              <w:tabs>
                                <w:tab w:val="clear" w:pos="4320"/>
                                <w:tab w:val="clear" w:pos="8640"/>
                                <w:tab w:val="clear" w:pos="9000"/>
                              </w:tabs>
                              <w:rPr>
                                <w:rFonts w:ascii="CG Times" w:hAnsi="CG Times" w:cs="CG Times"/>
                                <w:b/>
                              </w:rPr>
                            </w:pPr>
                            <w:r>
                              <w:rPr>
                                <w:rFonts w:cs="CG Times" w:ascii="CG Times" w:hAnsi="CG Times"/>
                                <w:b/>
                              </w:rPr>
                              <w:t>Coal Consumption:</w:t>
                              <w:tab/>
                              <w:tab/>
                              <w:t>Negligible</w:t>
                            </w:r>
                          </w:p>
                          <w:p>
                            <w:pPr>
                              <w:pStyle w:val="Header"/>
                              <w:tabs>
                                <w:tab w:val="clear" w:pos="4320"/>
                                <w:tab w:val="clear" w:pos="8640"/>
                                <w:tab w:val="clear" w:pos="9000"/>
                              </w:tabs>
                              <w:rPr>
                                <w:rFonts w:ascii="CG Times" w:hAnsi="CG Times" w:cs="CG Times"/>
                                <w:b/>
                              </w:rPr>
                            </w:pPr>
                            <w:r>
                              <w:rPr>
                                <w:rFonts w:cs="CG Times" w:ascii="CG Times" w:hAnsi="CG Times"/>
                                <w:b/>
                              </w:rPr>
                              <w:t>Proven Oil Reserves:</w:t>
                              <w:tab/>
                              <w:tab/>
                              <w:t>None</w:t>
                            </w:r>
                          </w:p>
                          <w:p>
                            <w:pPr>
                              <w:pStyle w:val="Header"/>
                              <w:tabs>
                                <w:tab w:val="clear" w:pos="4320"/>
                                <w:tab w:val="clear" w:pos="8640"/>
                                <w:tab w:val="clear" w:pos="9000"/>
                              </w:tabs>
                              <w:rPr>
                                <w:rFonts w:ascii="CG Times" w:hAnsi="CG Times" w:cs="CG Times"/>
                                <w:b/>
                              </w:rPr>
                            </w:pPr>
                            <w:r>
                              <w:rPr>
                                <w:rFonts w:cs="CG Times" w:ascii="CG Times" w:hAnsi="CG Times"/>
                                <w:b/>
                              </w:rPr>
                              <w:t xml:space="preserve">Oil Production: </w:t>
                              <w:tab/>
                              <w:tab/>
                              <w:tab/>
                              <w:t>None</w:t>
                            </w:r>
                          </w:p>
                          <w:p>
                            <w:pPr>
                              <w:pStyle w:val="Header"/>
                              <w:tabs>
                                <w:tab w:val="clear" w:pos="4320"/>
                                <w:tab w:val="clear" w:pos="8640"/>
                                <w:tab w:val="clear" w:pos="9000"/>
                              </w:tabs>
                              <w:rPr>
                                <w:rFonts w:ascii="CG Times" w:hAnsi="CG Times" w:cs="CG Times"/>
                                <w:b/>
                              </w:rPr>
                            </w:pPr>
                            <w:r>
                              <w:rPr>
                                <w:rFonts w:cs="CG Times" w:ascii="CG Times" w:hAnsi="CG Times"/>
                                <w:b/>
                              </w:rPr>
                              <w:t xml:space="preserve">Oil Consumption: </w:t>
                            </w:r>
                          </w:p>
                          <w:p>
                            <w:pPr>
                              <w:pStyle w:val="Header"/>
                              <w:tabs>
                                <w:tab w:val="clear" w:pos="4320"/>
                                <w:tab w:val="clear" w:pos="8640"/>
                                <w:tab w:val="clear" w:pos="9000"/>
                              </w:tabs>
                              <w:rPr>
                                <w:rFonts w:ascii="CG Times" w:hAnsi="CG Times" w:cs="CG Times"/>
                                <w:b/>
                              </w:rPr>
                            </w:pPr>
                            <w:r>
                              <w:rPr>
                                <w:rFonts w:cs="CG Times" w:ascii="CG Times" w:hAnsi="CG Times"/>
                                <w:b/>
                              </w:rPr>
                              <w:t>Crude oil Refining Capacity:</w:t>
                            </w:r>
                          </w:p>
                          <w:p>
                            <w:pPr>
                              <w:pStyle w:val="Header"/>
                              <w:tabs>
                                <w:tab w:val="clear" w:pos="4320"/>
                                <w:tab w:val="clear" w:pos="8640"/>
                                <w:tab w:val="clear" w:pos="9000"/>
                              </w:tabs>
                              <w:rPr>
                                <w:rFonts w:ascii="CG Times" w:hAnsi="CG Times" w:cs="CG Times"/>
                                <w:sz w:val="16"/>
                              </w:rPr>
                            </w:pPr>
                            <w:r>
                              <w:rPr>
                                <w:rFonts w:cs="CG Times" w:ascii="CG Times" w:hAnsi="CG Times"/>
                                <w:sz w:val="16"/>
                              </w:rPr>
                              <w:t>Source: EIA</w:t>
                            </w:r>
                          </w:p>
                          <w:p>
                            <w:pPr>
                              <w:pStyle w:val="Normal"/>
                              <w:spacing w:before="60" w:after="60"/>
                              <w:rPr>
                                <w:rFonts w:ascii="CG Times" w:hAnsi="CG Times" w:cs="CG Times"/>
                                <w:sz w:val="16"/>
                              </w:rPr>
                            </w:pPr>
                            <w:r>
                              <w:rPr>
                                <w:rFonts w:cs="CG Times" w:ascii="CG Times" w:hAnsi="CG Times"/>
                                <w:sz w:val="16"/>
                              </w:rPr>
                            </w:r>
                          </w:p>
                        </w:txbxContent>
                      </wps:txbx>
                      <wps:bodyPr anchor="t" lIns="91440" tIns="45720" rIns="91440" bIns="45720">
                        <a:noAutofit/>
                      </wps:bodyPr>
                    </wps:wsp>
                  </a:graphicData>
                </a:graphic>
              </wp:anchor>
            </w:drawing>
          </mc:Choice>
          <mc:Fallback>
            <w:pict>
              <v:rect fillcolor="#FFFFFF" strokecolor="#000000" strokeweight="0pt" style="position:absolute;rotation:-0;width:231.1pt;height:326.2pt;mso-wrap-distance-left:9.05pt;mso-wrap-distance-right:9.05pt;mso-wrap-distance-top:0pt;mso-wrap-distance-bottom:0pt;margin-top:16.6pt;mso-position-vertical-relative:text;margin-left:204.85pt;mso-position-horizontal-relative:text">
                <v:textbox>
                  <w:txbxContent>
                    <w:p>
                      <w:pPr>
                        <w:pStyle w:val="Header"/>
                        <w:tabs>
                          <w:tab w:val="clear" w:pos="4320"/>
                          <w:tab w:val="clear" w:pos="8640"/>
                          <w:tab w:val="clear" w:pos="9000"/>
                        </w:tabs>
                        <w:jc w:val="center"/>
                        <w:rPr>
                          <w:rFonts w:ascii="CG Times" w:hAnsi="CG Times" w:cs="CG Times"/>
                          <w:b/>
                        </w:rPr>
                      </w:pPr>
                      <w:r>
                        <w:rPr>
                          <w:rFonts w:cs="CG Times" w:ascii="CG Times" w:hAnsi="CG Times"/>
                          <w:b/>
                        </w:rPr>
                        <w:t xml:space="preserve">ENERGY OVERVIEW </w:t>
                      </w:r>
                    </w:p>
                    <w:p>
                      <w:pPr>
                        <w:pStyle w:val="Header"/>
                        <w:tabs>
                          <w:tab w:val="clear" w:pos="4320"/>
                          <w:tab w:val="clear" w:pos="8640"/>
                          <w:tab w:val="clear" w:pos="9000"/>
                        </w:tabs>
                        <w:rPr>
                          <w:rFonts w:ascii="CG Times" w:hAnsi="CG Times" w:cs="CG Times"/>
                          <w:b/>
                        </w:rPr>
                      </w:pPr>
                      <w:r>
                        <w:rPr>
                          <w:rFonts w:cs="CG Times" w:ascii="CG Times" w:hAnsi="CG Times"/>
                          <w:b/>
                        </w:rPr>
                        <w:t xml:space="preserve">Electric Generation Capacity: </w:t>
                        <w:tab/>
                        <w:t>960MW</w:t>
                      </w:r>
                    </w:p>
                    <w:p>
                      <w:pPr>
                        <w:pStyle w:val="Header"/>
                        <w:tabs>
                          <w:tab w:val="clear" w:pos="4320"/>
                          <w:tab w:val="clear" w:pos="8640"/>
                          <w:tab w:val="clear" w:pos="9000"/>
                        </w:tabs>
                        <w:rPr>
                          <w:rFonts w:ascii="CG Times" w:hAnsi="CG Times" w:cs="CG Times"/>
                          <w:b/>
                        </w:rPr>
                      </w:pPr>
                      <w:r>
                        <w:rPr>
                          <w:rFonts w:cs="CG Times" w:ascii="CG Times" w:hAnsi="CG Times"/>
                          <w:b/>
                        </w:rPr>
                        <w:t>Peak Load:</w:t>
                      </w:r>
                    </w:p>
                    <w:p>
                      <w:pPr>
                        <w:pStyle w:val="Header"/>
                        <w:tabs>
                          <w:tab w:val="clear" w:pos="4320"/>
                          <w:tab w:val="clear" w:pos="8640"/>
                          <w:tab w:val="clear" w:pos="9000"/>
                        </w:tabs>
                        <w:rPr>
                          <w:rFonts w:ascii="CG Times" w:hAnsi="CG Times" w:cs="CG Times"/>
                          <w:b/>
                        </w:rPr>
                      </w:pPr>
                      <w:r>
                        <w:rPr>
                          <w:rFonts w:cs="CG Times" w:ascii="CG Times" w:hAnsi="CG Times"/>
                          <w:b/>
                        </w:rPr>
                        <w:t>Thermal Generation:</w:t>
                      </w:r>
                    </w:p>
                    <w:p>
                      <w:pPr>
                        <w:pStyle w:val="Header"/>
                        <w:tabs>
                          <w:tab w:val="clear" w:pos="4320"/>
                          <w:tab w:val="clear" w:pos="8640"/>
                          <w:tab w:val="clear" w:pos="9000"/>
                        </w:tabs>
                        <w:rPr>
                          <w:rFonts w:ascii="CG Times" w:hAnsi="CG Times" w:cs="CG Times"/>
                          <w:b/>
                        </w:rPr>
                      </w:pPr>
                      <w:r>
                        <w:rPr>
                          <w:rFonts w:cs="CG Times" w:ascii="CG Times" w:hAnsi="CG Times"/>
                          <w:b/>
                        </w:rPr>
                        <w:t>Hydro Generation:</w:t>
                      </w:r>
                    </w:p>
                    <w:p>
                      <w:pPr>
                        <w:pStyle w:val="Header"/>
                        <w:tabs>
                          <w:tab w:val="clear" w:pos="4320"/>
                          <w:tab w:val="clear" w:pos="8640"/>
                          <w:tab w:val="clear" w:pos="9000"/>
                        </w:tabs>
                        <w:rPr>
                          <w:rFonts w:ascii="CG Times" w:hAnsi="CG Times" w:cs="CG Times"/>
                          <w:b/>
                        </w:rPr>
                      </w:pPr>
                      <w:r>
                        <w:rPr>
                          <w:rFonts w:cs="CG Times" w:ascii="CG Times" w:hAnsi="CG Times"/>
                          <w:b/>
                        </w:rPr>
                        <w:t>Electricity Consumed:</w:t>
                      </w:r>
                    </w:p>
                    <w:p>
                      <w:pPr>
                        <w:pStyle w:val="Header"/>
                        <w:tabs>
                          <w:tab w:val="clear" w:pos="4320"/>
                          <w:tab w:val="clear" w:pos="8640"/>
                          <w:tab w:val="clear" w:pos="9000"/>
                        </w:tabs>
                        <w:rPr>
                          <w:rFonts w:ascii="CG Times" w:hAnsi="CG Times" w:cs="CG Times"/>
                          <w:b/>
                        </w:rPr>
                      </w:pPr>
                      <w:r>
                        <w:rPr>
                          <w:rFonts w:cs="CG Times" w:ascii="CG Times" w:hAnsi="CG Times"/>
                          <w:b/>
                        </w:rPr>
                        <w:t>Customer Base:</w:t>
                        <w:tab/>
                        <w:tab/>
                        <w:tab/>
                        <w:t>450,000</w:t>
                      </w:r>
                    </w:p>
                    <w:p>
                      <w:pPr>
                        <w:pStyle w:val="Header"/>
                        <w:tabs>
                          <w:tab w:val="clear" w:pos="4320"/>
                          <w:tab w:val="clear" w:pos="8640"/>
                          <w:tab w:val="clear" w:pos="9000"/>
                        </w:tabs>
                        <w:rPr>
                          <w:rFonts w:ascii="CG Times" w:hAnsi="CG Times" w:cs="CG Times"/>
                          <w:b/>
                        </w:rPr>
                      </w:pPr>
                      <w:r>
                        <w:rPr>
                          <w:rFonts w:cs="CG Times" w:ascii="CG Times" w:hAnsi="CG Times"/>
                          <w:b/>
                        </w:rPr>
                        <w:t>Generators:</w:t>
                      </w:r>
                    </w:p>
                    <w:p>
                      <w:pPr>
                        <w:pStyle w:val="Header"/>
                        <w:tabs>
                          <w:tab w:val="clear" w:pos="4320"/>
                          <w:tab w:val="clear" w:pos="8640"/>
                          <w:tab w:val="clear" w:pos="9000"/>
                        </w:tabs>
                        <w:rPr>
                          <w:rFonts w:ascii="CG Times" w:hAnsi="CG Times" w:cs="CG Times"/>
                          <w:b/>
                        </w:rPr>
                      </w:pPr>
                      <w:r>
                        <w:rPr>
                          <w:rFonts w:cs="CG Times" w:ascii="CG Times" w:hAnsi="CG Times"/>
                          <w:b/>
                        </w:rPr>
                        <w:t>Distribution Co’s:</w:t>
                      </w:r>
                    </w:p>
                    <w:p>
                      <w:pPr>
                        <w:pStyle w:val="Header"/>
                        <w:tabs>
                          <w:tab w:val="clear" w:pos="4320"/>
                          <w:tab w:val="clear" w:pos="8640"/>
                          <w:tab w:val="clear" w:pos="9000"/>
                        </w:tabs>
                        <w:rPr>
                          <w:rFonts w:ascii="CG Times" w:hAnsi="CG Times" w:cs="CG Times"/>
                          <w:b/>
                        </w:rPr>
                      </w:pPr>
                      <w:r>
                        <w:rPr>
                          <w:rFonts w:cs="CG Times" w:ascii="CG Times" w:hAnsi="CG Times"/>
                          <w:b/>
                        </w:rPr>
                        <w:t>Major Transmission:</w:t>
                        <w:tab/>
                        <w:tab/>
                        <w:t>ETESA</w:t>
                      </w:r>
                    </w:p>
                    <w:p>
                      <w:pPr>
                        <w:pStyle w:val="Header"/>
                        <w:tabs>
                          <w:tab w:val="clear" w:pos="4320"/>
                          <w:tab w:val="clear" w:pos="8640"/>
                          <w:tab w:val="clear" w:pos="9000"/>
                        </w:tabs>
                        <w:rPr>
                          <w:rFonts w:ascii="CG Times" w:hAnsi="CG Times" w:cs="CG Times"/>
                          <w:b/>
                        </w:rPr>
                      </w:pPr>
                      <w:r>
                        <w:rPr>
                          <w:rFonts w:cs="CG Times" w:ascii="CG Times" w:hAnsi="CG Times"/>
                          <w:b/>
                        </w:rPr>
                        <w:t>Secondary Transmission:</w:t>
                      </w:r>
                    </w:p>
                    <w:p>
                      <w:pPr>
                        <w:pStyle w:val="Header"/>
                        <w:tabs>
                          <w:tab w:val="clear" w:pos="4320"/>
                          <w:tab w:val="clear" w:pos="8640"/>
                          <w:tab w:val="clear" w:pos="9000"/>
                        </w:tabs>
                        <w:rPr>
                          <w:rFonts w:ascii="CG Times" w:hAnsi="CG Times" w:cs="CG Times"/>
                          <w:b/>
                        </w:rPr>
                      </w:pPr>
                      <w:r>
                        <w:rPr>
                          <w:rFonts w:cs="CG Times" w:ascii="CG Times" w:hAnsi="CG Times"/>
                          <w:b/>
                        </w:rPr>
                        <w:t>Electricity Net Exports:</w:t>
                      </w:r>
                    </w:p>
                    <w:p>
                      <w:pPr>
                        <w:pStyle w:val="Header"/>
                        <w:tabs>
                          <w:tab w:val="clear" w:pos="4320"/>
                          <w:tab w:val="clear" w:pos="8640"/>
                          <w:tab w:val="clear" w:pos="9000"/>
                        </w:tabs>
                        <w:rPr>
                          <w:rFonts w:ascii="CG Times" w:hAnsi="CG Times" w:cs="CG Times"/>
                          <w:b/>
                        </w:rPr>
                      </w:pPr>
                      <w:r>
                        <w:rPr>
                          <w:rFonts w:cs="CG Times" w:ascii="CG Times" w:hAnsi="CG Times"/>
                          <w:b/>
                        </w:rPr>
                        <w:t xml:space="preserve">Intern’l Interties: </w:t>
                        <w:tab/>
                        <w:tab/>
                        <w:t xml:space="preserve">C. Rica </w:t>
                      </w:r>
                    </w:p>
                    <w:p>
                      <w:pPr>
                        <w:pStyle w:val="Header"/>
                        <w:tabs>
                          <w:tab w:val="clear" w:pos="4320"/>
                          <w:tab w:val="clear" w:pos="8640"/>
                          <w:tab w:val="clear" w:pos="9000"/>
                        </w:tabs>
                        <w:rPr>
                          <w:rFonts w:ascii="CG Times" w:hAnsi="CG Times" w:cs="CG Times"/>
                          <w:b/>
                        </w:rPr>
                      </w:pPr>
                      <w:r>
                        <w:rPr>
                          <w:rFonts w:cs="CG Times" w:ascii="CG Times" w:hAnsi="CG Times"/>
                          <w:b/>
                        </w:rPr>
                        <w:t xml:space="preserve">Regulatory Entity: </w:t>
                        <w:tab/>
                        <w:tab/>
                        <w:t>ENTE</w:t>
                      </w:r>
                    </w:p>
                    <w:p>
                      <w:pPr>
                        <w:pStyle w:val="Header"/>
                        <w:tabs>
                          <w:tab w:val="clear" w:pos="4320"/>
                          <w:tab w:val="clear" w:pos="8640"/>
                          <w:tab w:val="clear" w:pos="9000"/>
                        </w:tabs>
                        <w:rPr>
                          <w:rFonts w:ascii="CG Times" w:hAnsi="CG Times" w:cs="CG Times"/>
                          <w:b/>
                        </w:rPr>
                      </w:pPr>
                      <w:r>
                        <w:rPr>
                          <w:rFonts w:cs="CG Times" w:ascii="CG Times" w:hAnsi="CG Times"/>
                          <w:b/>
                        </w:rPr>
                        <w:t xml:space="preserve">Regulatory Ranking:  </w:t>
                        <w:tab/>
                        <w:tab/>
                        <w:t>3,3,2,8</w:t>
                      </w:r>
                    </w:p>
                    <w:p>
                      <w:pPr>
                        <w:pStyle w:val="Header"/>
                        <w:tabs>
                          <w:tab w:val="clear" w:pos="4320"/>
                          <w:tab w:val="clear" w:pos="8640"/>
                          <w:tab w:val="clear" w:pos="9000"/>
                        </w:tabs>
                        <w:rPr>
                          <w:rFonts w:ascii="CG Times" w:hAnsi="CG Times" w:cs="CG Times"/>
                          <w:b/>
                        </w:rPr>
                      </w:pPr>
                      <w:r>
                        <w:rPr>
                          <w:rFonts w:cs="CG Times" w:ascii="CG Times" w:hAnsi="CG Times"/>
                          <w:b/>
                        </w:rPr>
                        <w:t xml:space="preserve">Natural Gas Reserves: </w:t>
                        <w:tab/>
                        <w:tab/>
                        <w:t>None</w:t>
                      </w:r>
                    </w:p>
                    <w:p>
                      <w:pPr>
                        <w:pStyle w:val="Header"/>
                        <w:tabs>
                          <w:tab w:val="clear" w:pos="4320"/>
                          <w:tab w:val="clear" w:pos="8640"/>
                          <w:tab w:val="clear" w:pos="9000"/>
                        </w:tabs>
                        <w:rPr>
                          <w:rFonts w:ascii="CG Times" w:hAnsi="CG Times" w:cs="CG Times"/>
                          <w:b/>
                        </w:rPr>
                      </w:pPr>
                      <w:r>
                        <w:rPr>
                          <w:rFonts w:cs="CG Times" w:ascii="CG Times" w:hAnsi="CG Times"/>
                          <w:b/>
                        </w:rPr>
                        <w:t xml:space="preserve">Natural Gas Production: </w:t>
                        <w:tab/>
                        <w:t>None</w:t>
                      </w:r>
                    </w:p>
                    <w:p>
                      <w:pPr>
                        <w:pStyle w:val="Header"/>
                        <w:tabs>
                          <w:tab w:val="clear" w:pos="4320"/>
                          <w:tab w:val="clear" w:pos="8640"/>
                          <w:tab w:val="clear" w:pos="9000"/>
                        </w:tabs>
                        <w:rPr>
                          <w:rFonts w:ascii="CG Times" w:hAnsi="CG Times" w:cs="CG Times"/>
                          <w:b/>
                        </w:rPr>
                      </w:pPr>
                      <w:r>
                        <w:rPr>
                          <w:rFonts w:cs="CG Times" w:ascii="CG Times" w:hAnsi="CG Times"/>
                          <w:b/>
                        </w:rPr>
                        <w:t>Natural Gas Consumption:</w:t>
                        <w:tab/>
                        <w:t>None</w:t>
                      </w:r>
                    </w:p>
                    <w:p>
                      <w:pPr>
                        <w:pStyle w:val="Header"/>
                        <w:tabs>
                          <w:tab w:val="clear" w:pos="4320"/>
                          <w:tab w:val="clear" w:pos="8640"/>
                          <w:tab w:val="clear" w:pos="9000"/>
                        </w:tabs>
                        <w:rPr>
                          <w:rFonts w:ascii="CG Times" w:hAnsi="CG Times" w:cs="CG Times"/>
                          <w:b/>
                        </w:rPr>
                      </w:pPr>
                      <w:r>
                        <w:rPr>
                          <w:rFonts w:cs="CG Times" w:ascii="CG Times" w:hAnsi="CG Times"/>
                          <w:b/>
                        </w:rPr>
                        <w:t>Coal Reserves:</w:t>
                        <w:tab/>
                        <w:tab/>
                        <w:tab/>
                        <w:t>None</w:t>
                      </w:r>
                    </w:p>
                    <w:p>
                      <w:pPr>
                        <w:pStyle w:val="Header"/>
                        <w:tabs>
                          <w:tab w:val="clear" w:pos="4320"/>
                          <w:tab w:val="clear" w:pos="8640"/>
                          <w:tab w:val="clear" w:pos="9000"/>
                        </w:tabs>
                        <w:rPr>
                          <w:rFonts w:ascii="CG Times" w:hAnsi="CG Times" w:cs="CG Times"/>
                          <w:b/>
                        </w:rPr>
                      </w:pPr>
                      <w:r>
                        <w:rPr>
                          <w:rFonts w:cs="CG Times" w:ascii="CG Times" w:hAnsi="CG Times"/>
                          <w:b/>
                        </w:rPr>
                        <w:t xml:space="preserve">Coal Production: </w:t>
                        <w:tab/>
                        <w:tab/>
                        <w:t>None</w:t>
                      </w:r>
                    </w:p>
                    <w:p>
                      <w:pPr>
                        <w:pStyle w:val="Header"/>
                        <w:tabs>
                          <w:tab w:val="clear" w:pos="4320"/>
                          <w:tab w:val="clear" w:pos="8640"/>
                          <w:tab w:val="clear" w:pos="9000"/>
                        </w:tabs>
                        <w:rPr>
                          <w:rFonts w:ascii="CG Times" w:hAnsi="CG Times" w:cs="CG Times"/>
                          <w:b/>
                        </w:rPr>
                      </w:pPr>
                      <w:r>
                        <w:rPr>
                          <w:rFonts w:cs="CG Times" w:ascii="CG Times" w:hAnsi="CG Times"/>
                          <w:b/>
                        </w:rPr>
                        <w:t>Coal Consumption:</w:t>
                        <w:tab/>
                        <w:tab/>
                        <w:t>Negligible</w:t>
                      </w:r>
                    </w:p>
                    <w:p>
                      <w:pPr>
                        <w:pStyle w:val="Header"/>
                        <w:tabs>
                          <w:tab w:val="clear" w:pos="4320"/>
                          <w:tab w:val="clear" w:pos="8640"/>
                          <w:tab w:val="clear" w:pos="9000"/>
                        </w:tabs>
                        <w:rPr>
                          <w:rFonts w:ascii="CG Times" w:hAnsi="CG Times" w:cs="CG Times"/>
                          <w:b/>
                        </w:rPr>
                      </w:pPr>
                      <w:r>
                        <w:rPr>
                          <w:rFonts w:cs="CG Times" w:ascii="CG Times" w:hAnsi="CG Times"/>
                          <w:b/>
                        </w:rPr>
                        <w:t>Proven Oil Reserves:</w:t>
                        <w:tab/>
                        <w:tab/>
                        <w:t>None</w:t>
                      </w:r>
                    </w:p>
                    <w:p>
                      <w:pPr>
                        <w:pStyle w:val="Header"/>
                        <w:tabs>
                          <w:tab w:val="clear" w:pos="4320"/>
                          <w:tab w:val="clear" w:pos="8640"/>
                          <w:tab w:val="clear" w:pos="9000"/>
                        </w:tabs>
                        <w:rPr>
                          <w:rFonts w:ascii="CG Times" w:hAnsi="CG Times" w:cs="CG Times"/>
                          <w:b/>
                        </w:rPr>
                      </w:pPr>
                      <w:r>
                        <w:rPr>
                          <w:rFonts w:cs="CG Times" w:ascii="CG Times" w:hAnsi="CG Times"/>
                          <w:b/>
                        </w:rPr>
                        <w:t xml:space="preserve">Oil Production: </w:t>
                        <w:tab/>
                        <w:tab/>
                        <w:tab/>
                        <w:t>None</w:t>
                      </w:r>
                    </w:p>
                    <w:p>
                      <w:pPr>
                        <w:pStyle w:val="Header"/>
                        <w:tabs>
                          <w:tab w:val="clear" w:pos="4320"/>
                          <w:tab w:val="clear" w:pos="8640"/>
                          <w:tab w:val="clear" w:pos="9000"/>
                        </w:tabs>
                        <w:rPr>
                          <w:rFonts w:ascii="CG Times" w:hAnsi="CG Times" w:cs="CG Times"/>
                          <w:b/>
                        </w:rPr>
                      </w:pPr>
                      <w:r>
                        <w:rPr>
                          <w:rFonts w:cs="CG Times" w:ascii="CG Times" w:hAnsi="CG Times"/>
                          <w:b/>
                        </w:rPr>
                        <w:t xml:space="preserve">Oil Consumption: </w:t>
                      </w:r>
                    </w:p>
                    <w:p>
                      <w:pPr>
                        <w:pStyle w:val="Header"/>
                        <w:tabs>
                          <w:tab w:val="clear" w:pos="4320"/>
                          <w:tab w:val="clear" w:pos="8640"/>
                          <w:tab w:val="clear" w:pos="9000"/>
                        </w:tabs>
                        <w:rPr>
                          <w:rFonts w:ascii="CG Times" w:hAnsi="CG Times" w:cs="CG Times"/>
                          <w:b/>
                        </w:rPr>
                      </w:pPr>
                      <w:r>
                        <w:rPr>
                          <w:rFonts w:cs="CG Times" w:ascii="CG Times" w:hAnsi="CG Times"/>
                          <w:b/>
                        </w:rPr>
                        <w:t>Crude oil Refining Capacity:</w:t>
                      </w:r>
                    </w:p>
                    <w:p>
                      <w:pPr>
                        <w:pStyle w:val="Header"/>
                        <w:tabs>
                          <w:tab w:val="clear" w:pos="4320"/>
                          <w:tab w:val="clear" w:pos="8640"/>
                          <w:tab w:val="clear" w:pos="9000"/>
                        </w:tabs>
                        <w:rPr>
                          <w:rFonts w:ascii="CG Times" w:hAnsi="CG Times" w:cs="CG Times"/>
                          <w:sz w:val="16"/>
                        </w:rPr>
                      </w:pPr>
                      <w:r>
                        <w:rPr>
                          <w:rFonts w:cs="CG Times" w:ascii="CG Times" w:hAnsi="CG Times"/>
                          <w:sz w:val="16"/>
                        </w:rPr>
                        <w:t>Source: EIA</w:t>
                      </w:r>
                    </w:p>
                    <w:p>
                      <w:pPr>
                        <w:pStyle w:val="Normal"/>
                        <w:spacing w:before="60" w:after="60"/>
                        <w:rPr>
                          <w:rFonts w:ascii="CG Times" w:hAnsi="CG Times" w:cs="CG Times"/>
                          <w:sz w:val="16"/>
                        </w:rPr>
                      </w:pPr>
                      <w:r>
                        <w:rPr>
                          <w:rFonts w:cs="CG Times" w:ascii="CG Times" w:hAnsi="CG Times"/>
                          <w:sz w:val="16"/>
                        </w:rPr>
                      </w:r>
                    </w:p>
                  </w:txbxContent>
                </v:textbox>
                <w10:wrap type="square" side="left"/>
              </v:rect>
            </w:pict>
          </mc:Fallback>
        </mc:AlternateContent>
      </w:r>
    </w:p>
    <w:p>
      <w:pPr>
        <w:pStyle w:val="BodyText"/>
        <w:rPr>
          <w:sz w:val="20"/>
        </w:rPr>
      </w:pPr>
      <w:r>
        <w:rPr>
          <w:sz w:val="20"/>
        </w:rPr>
        <w:t>International transactions via a single 230 kV line with Costa Rica are currently taking place.</w:t>
      </w:r>
    </w:p>
    <w:p>
      <w:pPr>
        <w:pStyle w:val="Heading1"/>
        <w:numPr>
          <w:ilvl w:val="0"/>
          <w:numId w:val="16"/>
        </w:numPr>
        <w:rPr>
          <w:sz w:val="20"/>
        </w:rPr>
      </w:pPr>
      <w:r>
        <w:rPr>
          <w:sz w:val="20"/>
        </w:rPr>
        <w:t>The Regulatory Framework</w:t>
      </w:r>
    </w:p>
    <w:p>
      <w:pPr>
        <w:pStyle w:val="Heading3"/>
        <w:numPr>
          <w:ilvl w:val="1"/>
          <w:numId w:val="16"/>
        </w:numPr>
        <w:rPr/>
      </w:pPr>
      <w:r>
        <w:rPr/>
        <w:t>Major Laws</w:t>
      </w:r>
    </w:p>
    <w:p>
      <w:pPr>
        <w:pStyle w:val="Header"/>
        <w:numPr>
          <w:ilvl w:val="0"/>
          <w:numId w:val="11"/>
        </w:numPr>
        <w:tabs>
          <w:tab w:val="clear" w:pos="4320"/>
          <w:tab w:val="clear" w:pos="8640"/>
          <w:tab w:val="clear" w:pos="9000"/>
        </w:tabs>
        <w:ind w:hanging="374" w:start="890" w:end="0"/>
        <w:jc w:val="both"/>
        <w:rPr/>
      </w:pPr>
      <w:r>
        <w:rPr/>
        <w:t>Law No.6 – The Provision of Public Electricity Service</w:t>
      </w:r>
    </w:p>
    <w:p>
      <w:pPr>
        <w:pStyle w:val="Header"/>
        <w:numPr>
          <w:ilvl w:val="0"/>
          <w:numId w:val="11"/>
        </w:numPr>
        <w:tabs>
          <w:tab w:val="clear" w:pos="4320"/>
          <w:tab w:val="clear" w:pos="8640"/>
          <w:tab w:val="clear" w:pos="9000"/>
        </w:tabs>
        <w:ind w:hanging="374" w:start="890" w:end="0"/>
        <w:jc w:val="both"/>
        <w:rPr/>
      </w:pPr>
      <w:r>
        <w:rPr/>
        <w:t>Decree Law No. 10 – Modification some Articles of Law 6</w:t>
      </w:r>
    </w:p>
    <w:p>
      <w:pPr>
        <w:pStyle w:val="Header"/>
        <w:numPr>
          <w:ilvl w:val="0"/>
          <w:numId w:val="11"/>
        </w:numPr>
        <w:tabs>
          <w:tab w:val="clear" w:pos="4320"/>
          <w:tab w:val="clear" w:pos="8640"/>
          <w:tab w:val="clear" w:pos="9000"/>
        </w:tabs>
        <w:ind w:hanging="374" w:start="890" w:end="0"/>
        <w:jc w:val="both"/>
        <w:rPr/>
      </w:pPr>
      <w:r>
        <w:rPr/>
        <w:t>Law No. 26 – Creating the Public Service Regulatory Entity</w:t>
      </w:r>
    </w:p>
    <w:p>
      <w:pPr>
        <w:pStyle w:val="Header"/>
        <w:numPr>
          <w:ilvl w:val="0"/>
          <w:numId w:val="11"/>
        </w:numPr>
        <w:tabs>
          <w:tab w:val="clear" w:pos="4320"/>
          <w:tab w:val="clear" w:pos="8640"/>
          <w:tab w:val="clear" w:pos="9000"/>
        </w:tabs>
        <w:ind w:hanging="374" w:start="890" w:end="0"/>
        <w:jc w:val="both"/>
        <w:rPr>
          <w:b/>
        </w:rPr>
      </w:pPr>
      <w:r>
        <w:rPr/>
        <w:t xml:space="preserve">   </w:t>
      </w:r>
      <w:r>
        <w:rPr/>
        <w:t>Executive Decree No. 22. The Framework for Rendering of the Electricity Service</w:t>
      </w:r>
    </w:p>
    <w:p>
      <w:pPr>
        <w:pStyle w:val="Header"/>
        <w:numPr>
          <w:ilvl w:val="1"/>
          <w:numId w:val="16"/>
        </w:numPr>
        <w:tabs>
          <w:tab w:val="clear" w:pos="4320"/>
          <w:tab w:val="clear" w:pos="8640"/>
          <w:tab w:val="clear" w:pos="9000"/>
        </w:tabs>
        <w:rPr>
          <w:b/>
        </w:rPr>
      </w:pPr>
      <w:r>
        <w:rPr>
          <w:b/>
        </w:rPr>
        <w:t>Major Regulatory Entities</w:t>
      </w:r>
    </w:p>
    <w:p>
      <w:pPr>
        <w:pStyle w:val="Header"/>
        <w:tabs>
          <w:tab w:val="clear" w:pos="4320"/>
          <w:tab w:val="clear" w:pos="8640"/>
          <w:tab w:val="clear" w:pos="9000"/>
        </w:tabs>
        <w:rPr>
          <w:b/>
        </w:rPr>
      </w:pPr>
      <w:r>
        <w:rPr>
          <w:b/>
        </w:rPr>
        <w:tab/>
      </w:r>
      <w:r>
        <w:rPr/>
        <w:t xml:space="preserve">   The Public Sector Regulatory Entity – ENTE</w:t>
      </w:r>
    </w:p>
    <w:p>
      <w:pPr>
        <w:pStyle w:val="Header"/>
        <w:numPr>
          <w:ilvl w:val="1"/>
          <w:numId w:val="16"/>
        </w:numPr>
        <w:tabs>
          <w:tab w:val="clear" w:pos="4320"/>
          <w:tab w:val="clear" w:pos="8640"/>
          <w:tab w:val="clear" w:pos="9000"/>
        </w:tabs>
        <w:rPr>
          <w:b/>
        </w:rPr>
      </w:pPr>
      <w:r>
        <w:rPr>
          <w:b/>
        </w:rPr>
        <w:t xml:space="preserve">General Principles: </w:t>
      </w:r>
    </w:p>
    <w:p>
      <w:pPr>
        <w:pStyle w:val="Header"/>
        <w:numPr>
          <w:ilvl w:val="0"/>
          <w:numId w:val="11"/>
        </w:numPr>
        <w:tabs>
          <w:tab w:val="clear" w:pos="4320"/>
          <w:tab w:val="clear" w:pos="8640"/>
          <w:tab w:val="clear" w:pos="9000"/>
        </w:tabs>
        <w:jc w:val="both"/>
        <w:rPr/>
      </w:pPr>
      <w:r>
        <w:rPr/>
        <w:t>Ensuring service quality</w:t>
      </w:r>
    </w:p>
    <w:p>
      <w:pPr>
        <w:pStyle w:val="Header"/>
        <w:numPr>
          <w:ilvl w:val="0"/>
          <w:numId w:val="11"/>
        </w:numPr>
        <w:tabs>
          <w:tab w:val="clear" w:pos="4320"/>
          <w:tab w:val="clear" w:pos="8640"/>
          <w:tab w:val="clear" w:pos="9000"/>
        </w:tabs>
        <w:jc w:val="both"/>
        <w:rPr/>
      </w:pPr>
      <w:r>
        <w:rPr/>
        <w:t>Promote expansion of service</w:t>
      </w:r>
    </w:p>
    <w:p>
      <w:pPr>
        <w:pStyle w:val="Header"/>
        <w:numPr>
          <w:ilvl w:val="0"/>
          <w:numId w:val="11"/>
        </w:numPr>
        <w:tabs>
          <w:tab w:val="clear" w:pos="4320"/>
          <w:tab w:val="clear" w:pos="8640"/>
          <w:tab w:val="clear" w:pos="9000"/>
        </w:tabs>
        <w:jc w:val="both"/>
        <w:rPr/>
      </w:pPr>
      <w:r>
        <w:rPr/>
        <w:t>Guarantee free competition in the activities covered under the law</w:t>
      </w:r>
    </w:p>
    <w:p>
      <w:pPr>
        <w:pStyle w:val="Header"/>
        <w:numPr>
          <w:ilvl w:val="0"/>
          <w:numId w:val="11"/>
        </w:numPr>
        <w:tabs>
          <w:tab w:val="clear" w:pos="4320"/>
          <w:tab w:val="clear" w:pos="8640"/>
          <w:tab w:val="clear" w:pos="9000"/>
        </w:tabs>
        <w:jc w:val="both"/>
        <w:rPr/>
      </w:pPr>
      <w:r>
        <w:rPr/>
        <w:t>Regulate service where there is no competition.</w:t>
      </w:r>
    </w:p>
    <w:p>
      <w:pPr>
        <w:pStyle w:val="Header"/>
        <w:numPr>
          <w:ilvl w:val="0"/>
          <w:numId w:val="11"/>
        </w:numPr>
        <w:tabs>
          <w:tab w:val="clear" w:pos="4320"/>
          <w:tab w:val="clear" w:pos="8640"/>
          <w:tab w:val="clear" w:pos="9000"/>
        </w:tabs>
        <w:jc w:val="both"/>
        <w:rPr/>
      </w:pPr>
      <w:r>
        <w:rPr/>
        <w:t>Expanding the market to attain economics of scale</w:t>
      </w:r>
    </w:p>
    <w:p>
      <w:pPr>
        <w:pStyle w:val="Header"/>
        <w:numPr>
          <w:ilvl w:val="0"/>
          <w:numId w:val="11"/>
        </w:numPr>
        <w:tabs>
          <w:tab w:val="clear" w:pos="4320"/>
          <w:tab w:val="clear" w:pos="8640"/>
          <w:tab w:val="clear" w:pos="9000"/>
        </w:tabs>
        <w:jc w:val="both"/>
        <w:rPr/>
      </w:pPr>
      <w:r>
        <w:rPr/>
        <w:t>Protect the environment</w:t>
      </w:r>
    </w:p>
    <w:p>
      <w:pPr>
        <w:pStyle w:val="Header"/>
        <w:numPr>
          <w:ilvl w:val="0"/>
          <w:numId w:val="11"/>
        </w:numPr>
        <w:tabs>
          <w:tab w:val="clear" w:pos="4320"/>
          <w:tab w:val="clear" w:pos="8640"/>
          <w:tab w:val="clear" w:pos="9000"/>
        </w:tabs>
        <w:jc w:val="both"/>
        <w:rPr/>
      </w:pPr>
      <w:r>
        <w:rPr/>
        <w:t>Guarantee public service in non-economic connection areas.</w:t>
      </w:r>
    </w:p>
    <w:p>
      <w:pPr>
        <w:pStyle w:val="Header"/>
        <w:numPr>
          <w:ilvl w:val="1"/>
          <w:numId w:val="16"/>
        </w:numPr>
        <w:tabs>
          <w:tab w:val="clear" w:pos="4320"/>
          <w:tab w:val="clear" w:pos="8640"/>
          <w:tab w:val="clear" w:pos="9000"/>
        </w:tabs>
        <w:rPr/>
      </w:pPr>
      <w:r>
        <w:rPr/>
        <w:t>Open</w:t>
      </w:r>
    </w:p>
    <w:p>
      <w:pPr>
        <w:pStyle w:val="Header"/>
        <w:numPr>
          <w:ilvl w:val="0"/>
          <w:numId w:val="16"/>
        </w:numPr>
        <w:tabs>
          <w:tab w:val="clear" w:pos="4320"/>
          <w:tab w:val="clear" w:pos="8640"/>
          <w:tab w:val="clear" w:pos="9000"/>
        </w:tabs>
        <w:rPr>
          <w:b/>
        </w:rPr>
      </w:pPr>
      <w:r>
        <w:rPr>
          <w:b/>
        </w:rPr>
        <w:t>The Regulatory Entity</w:t>
      </w:r>
    </w:p>
    <w:p>
      <w:pPr>
        <w:pStyle w:val="Header"/>
        <w:numPr>
          <w:ilvl w:val="1"/>
          <w:numId w:val="16"/>
        </w:numPr>
        <w:tabs>
          <w:tab w:val="clear" w:pos="4320"/>
          <w:tab w:val="clear" w:pos="8640"/>
          <w:tab w:val="clear" w:pos="9000"/>
        </w:tabs>
        <w:ind w:hanging="432" w:start="792" w:end="-1530"/>
        <w:rPr/>
      </w:pPr>
      <w:r>
        <w:rPr>
          <w:b/>
        </w:rPr>
        <w:t>Functions</w:t>
      </w:r>
    </w:p>
    <w:p>
      <w:pPr>
        <w:pStyle w:val="Header"/>
        <w:numPr>
          <w:ilvl w:val="0"/>
          <w:numId w:val="11"/>
        </w:numPr>
        <w:tabs>
          <w:tab w:val="clear" w:pos="4320"/>
          <w:tab w:val="clear" w:pos="8640"/>
          <w:tab w:val="clear" w:pos="9000"/>
        </w:tabs>
        <w:jc w:val="both"/>
        <w:rPr/>
      </w:pPr>
      <w:r>
        <w:rPr/>
        <w:t>Enforce the Law and the other complementary legal provisions</w:t>
      </w:r>
    </w:p>
    <w:p>
      <w:pPr>
        <w:pStyle w:val="Header"/>
        <w:numPr>
          <w:ilvl w:val="0"/>
          <w:numId w:val="11"/>
        </w:numPr>
        <w:tabs>
          <w:tab w:val="clear" w:pos="4320"/>
          <w:tab w:val="clear" w:pos="8640"/>
          <w:tab w:val="clear" w:pos="9000"/>
        </w:tabs>
        <w:jc w:val="both"/>
        <w:rPr/>
      </w:pPr>
      <w:r>
        <w:rPr/>
        <w:t>Grant concessions, licenses and authorizations for the rendering of the public services</w:t>
      </w:r>
    </w:p>
    <w:p>
      <w:pPr>
        <w:pStyle w:val="Header"/>
        <w:numPr>
          <w:ilvl w:val="0"/>
          <w:numId w:val="11"/>
        </w:numPr>
        <w:tabs>
          <w:tab w:val="clear" w:pos="4320"/>
          <w:tab w:val="clear" w:pos="8640"/>
          <w:tab w:val="clear" w:pos="9000"/>
        </w:tabs>
        <w:jc w:val="both"/>
        <w:rPr/>
      </w:pPr>
      <w:r>
        <w:rPr/>
        <w:t>To verify compliance with the levels of quality of the services and control compliance with the basic conditions for the rendering of the public services under its jurisdiction;</w:t>
      </w:r>
    </w:p>
    <w:p>
      <w:pPr>
        <w:pStyle w:val="Header"/>
        <w:numPr>
          <w:ilvl w:val="0"/>
          <w:numId w:val="11"/>
        </w:numPr>
        <w:tabs>
          <w:tab w:val="clear" w:pos="4320"/>
          <w:tab w:val="clear" w:pos="8640"/>
          <w:tab w:val="clear" w:pos="9000"/>
        </w:tabs>
        <w:jc w:val="both"/>
        <w:rPr/>
      </w:pPr>
      <w:r>
        <w:rPr/>
        <w:t>To promote competition and efficiency in the public services activities and to investigate possible monopolistic activities</w:t>
      </w:r>
    </w:p>
    <w:p>
      <w:pPr>
        <w:pStyle w:val="Header"/>
        <w:numPr>
          <w:ilvl w:val="0"/>
          <w:numId w:val="11"/>
        </w:numPr>
        <w:tabs>
          <w:tab w:val="clear" w:pos="4320"/>
          <w:tab w:val="clear" w:pos="8640"/>
          <w:tab w:val="clear" w:pos="9000"/>
        </w:tabs>
        <w:jc w:val="both"/>
        <w:rPr/>
      </w:pPr>
      <w:r>
        <w:rPr/>
        <w:t>To regulate the application of general principles, methodologies and formulas for calculating the tariffs</w:t>
      </w:r>
    </w:p>
    <w:p>
      <w:pPr>
        <w:pStyle w:val="Header"/>
        <w:numPr>
          <w:ilvl w:val="0"/>
          <w:numId w:val="11"/>
        </w:numPr>
        <w:tabs>
          <w:tab w:val="clear" w:pos="4320"/>
          <w:tab w:val="clear" w:pos="8640"/>
          <w:tab w:val="clear" w:pos="9000"/>
        </w:tabs>
        <w:jc w:val="both"/>
        <w:rPr/>
      </w:pPr>
      <w:r>
        <w:rPr/>
        <w:t>To supervise the application of the tariff regimen and of the tariff values, according to the mechanisms provided in the sector laws</w:t>
      </w:r>
    </w:p>
    <w:p>
      <w:pPr>
        <w:pStyle w:val="Header"/>
        <w:numPr>
          <w:ilvl w:val="0"/>
          <w:numId w:val="11"/>
        </w:numPr>
        <w:tabs>
          <w:tab w:val="clear" w:pos="4320"/>
          <w:tab w:val="clear" w:pos="8640"/>
          <w:tab w:val="clear" w:pos="9000"/>
        </w:tabs>
        <w:jc w:val="both"/>
        <w:rPr/>
      </w:pPr>
      <w:r>
        <w:rPr/>
        <w:t>To issue regulations about the rights and duties of users, containing the procedures for applications and claims, in accordance with the principles of expeditiousness, economy, simplicity and effectiveness</w:t>
      </w:r>
    </w:p>
    <w:p>
      <w:pPr>
        <w:pStyle w:val="Header"/>
        <w:numPr>
          <w:ilvl w:val="0"/>
          <w:numId w:val="11"/>
        </w:numPr>
        <w:tabs>
          <w:tab w:val="clear" w:pos="4320"/>
          <w:tab w:val="clear" w:pos="8640"/>
          <w:tab w:val="clear" w:pos="9000"/>
        </w:tabs>
        <w:jc w:val="both"/>
        <w:rPr/>
      </w:pPr>
      <w:r>
        <w:rPr/>
        <w:t>To apply sanctions to violators within its jurisdiction</w:t>
      </w:r>
    </w:p>
    <w:p>
      <w:pPr>
        <w:pStyle w:val="Header"/>
        <w:numPr>
          <w:ilvl w:val="0"/>
          <w:numId w:val="11"/>
        </w:numPr>
        <w:tabs>
          <w:tab w:val="clear" w:pos="4320"/>
          <w:tab w:val="clear" w:pos="8640"/>
          <w:tab w:val="clear" w:pos="9000"/>
        </w:tabs>
        <w:jc w:val="both"/>
        <w:rPr/>
      </w:pPr>
      <w:r>
        <w:rPr/>
        <w:t>To arbitrate conflicts among service providers and the other State agencies, or clients</w:t>
      </w:r>
    </w:p>
    <w:p>
      <w:pPr>
        <w:pStyle w:val="Header"/>
        <w:numPr>
          <w:ilvl w:val="0"/>
          <w:numId w:val="11"/>
        </w:numPr>
        <w:tabs>
          <w:tab w:val="clear" w:pos="4320"/>
          <w:tab w:val="clear" w:pos="8640"/>
          <w:tab w:val="clear" w:pos="9000"/>
        </w:tabs>
        <w:jc w:val="both"/>
        <w:rPr/>
      </w:pPr>
      <w:r>
        <w:rPr/>
        <w:t>To organize the public hearings that the sector law order or that the Regulatory Entity itself considers necessary;</w:t>
      </w:r>
    </w:p>
    <w:p>
      <w:pPr>
        <w:pStyle w:val="Header"/>
        <w:numPr>
          <w:ilvl w:val="1"/>
          <w:numId w:val="16"/>
        </w:numPr>
        <w:tabs>
          <w:tab w:val="clear" w:pos="4320"/>
          <w:tab w:val="clear" w:pos="8640"/>
          <w:tab w:val="clear" w:pos="9000"/>
        </w:tabs>
        <w:rPr>
          <w:b/>
        </w:rPr>
      </w:pPr>
      <w:r>
        <w:rPr>
          <w:b/>
        </w:rPr>
        <w:t>Structure</w:t>
      </w:r>
    </w:p>
    <w:p>
      <w:pPr>
        <w:pStyle w:val="Header"/>
        <w:tabs>
          <w:tab w:val="clear" w:pos="4320"/>
          <w:tab w:val="clear" w:pos="8640"/>
          <w:tab w:val="clear" w:pos="9000"/>
        </w:tabs>
        <w:ind w:start="900" w:end="0"/>
        <w:jc w:val="both"/>
        <w:rPr/>
      </w:pPr>
      <w:r>
        <w:rPr/>
        <w:t xml:space="preserve">The Regulatory Entity is directed and administered by a boards of directors made up of three principal members directors, </w:t>
      </w:r>
      <w:r>
        <w:rPr>
          <w:u w:val="single"/>
        </w:rPr>
        <w:t>appointed by the Executive Branch and ratified by the Legislative Assembly,</w:t>
      </w:r>
      <w:r>
        <w:rPr/>
        <w:t xml:space="preserve"> for a period of five years.  The members of the board of directors shall elect a president from among their number, for a two-year period, that could be renewed.</w:t>
      </w:r>
    </w:p>
    <w:p>
      <w:pPr>
        <w:pStyle w:val="Header"/>
        <w:numPr>
          <w:ilvl w:val="1"/>
          <w:numId w:val="16"/>
        </w:numPr>
        <w:tabs>
          <w:tab w:val="clear" w:pos="4320"/>
          <w:tab w:val="clear" w:pos="8640"/>
          <w:tab w:val="clear" w:pos="9000"/>
        </w:tabs>
        <w:rPr>
          <w:b/>
        </w:rPr>
      </w:pPr>
      <w:r>
        <w:rPr>
          <w:b/>
        </w:rPr>
        <w:t>Characteristics (independence, transparency, accountability).</w:t>
      </w:r>
    </w:p>
    <w:p>
      <w:pPr>
        <w:pStyle w:val="Header"/>
        <w:tabs>
          <w:tab w:val="clear" w:pos="4320"/>
          <w:tab w:val="clear" w:pos="8640"/>
          <w:tab w:val="clear" w:pos="9000"/>
        </w:tabs>
        <w:ind w:start="851" w:end="0"/>
        <w:rPr/>
      </w:pPr>
      <w:r>
        <w:rPr/>
        <w:t xml:space="preserve">The Public Service Regulatory Entity (ENTE) is a State autonomous agency with its own legal capacity and assets with the right to self-administration.  ENTE shall act independently in the exercise of its functions and shall be subject to the supervision of the General Comptrollership of the Republic.   </w:t>
      </w:r>
    </w:p>
    <w:p>
      <w:pPr>
        <w:pStyle w:val="Header"/>
        <w:numPr>
          <w:ilvl w:val="1"/>
          <w:numId w:val="16"/>
        </w:numPr>
        <w:tabs>
          <w:tab w:val="clear" w:pos="4320"/>
          <w:tab w:val="clear" w:pos="8640"/>
          <w:tab w:val="clear" w:pos="9000"/>
        </w:tabs>
        <w:rPr>
          <w:b/>
        </w:rPr>
      </w:pPr>
      <w:r>
        <w:rPr>
          <w:b/>
        </w:rPr>
        <w:t>Conflict Resolution Process</w:t>
      </w:r>
    </w:p>
    <w:p>
      <w:pPr>
        <w:pStyle w:val="Header"/>
        <w:tabs>
          <w:tab w:val="clear" w:pos="4320"/>
          <w:tab w:val="clear" w:pos="8640"/>
          <w:tab w:val="clear" w:pos="9000"/>
        </w:tabs>
        <w:ind w:start="900" w:end="0"/>
        <w:jc w:val="both"/>
        <w:rPr/>
      </w:pPr>
      <w:r>
        <w:rPr/>
        <w:t>ENTE shall impose to penalties following compliance with the following procedures:</w:t>
      </w:r>
    </w:p>
    <w:p>
      <w:pPr>
        <w:pStyle w:val="CopyList"/>
        <w:numPr>
          <w:ilvl w:val="0"/>
          <w:numId w:val="11"/>
        </w:numPr>
        <w:spacing w:before="0" w:after="0"/>
        <w:jc w:val="both"/>
        <w:rPr/>
      </w:pPr>
      <w:r>
        <w:rPr/>
        <w:t>The administrative procedure shall be processed ex-officio.</w:t>
      </w:r>
    </w:p>
    <w:p>
      <w:pPr>
        <w:pStyle w:val="CopyList"/>
        <w:numPr>
          <w:ilvl w:val="0"/>
          <w:numId w:val="11"/>
        </w:numPr>
        <w:tabs>
          <w:tab w:val="clear" w:pos="504"/>
          <w:tab w:val="left" w:pos="900" w:leader="none"/>
        </w:tabs>
        <w:spacing w:before="0" w:after="0"/>
        <w:jc w:val="both"/>
        <w:rPr/>
      </w:pPr>
      <w:r>
        <w:rPr/>
        <w:t>Once the corresponding denunciation is received, ENTE shall appoint a commissioner in charge and shall be notified.  The entity shall have 15 calendar days to answer the charges.  Should the party accept the charges imposing the administrative penalty should proceed without delay.</w:t>
      </w:r>
    </w:p>
    <w:p>
      <w:pPr>
        <w:pStyle w:val="CopyList"/>
        <w:numPr>
          <w:ilvl w:val="0"/>
          <w:numId w:val="11"/>
        </w:numPr>
        <w:tabs>
          <w:tab w:val="clear" w:pos="504"/>
          <w:tab w:val="left" w:pos="900" w:leader="none"/>
        </w:tabs>
        <w:spacing w:before="0" w:after="0"/>
        <w:jc w:val="both"/>
        <w:rPr/>
      </w:pPr>
      <w:r>
        <w:rPr/>
        <w:t>Facts a</w:t>
      </w:r>
    </w:p>
    <w:p>
      <w:pPr>
        <w:pStyle w:val="CopyList"/>
        <w:numPr>
          <w:ilvl w:val="1"/>
          <w:numId w:val="16"/>
        </w:numPr>
        <w:tabs>
          <w:tab w:val="clear" w:pos="504"/>
        </w:tabs>
        <w:spacing w:before="0" w:after="0"/>
        <w:rPr>
          <w:b/>
        </w:rPr>
      </w:pPr>
      <w:r>
        <w:rPr>
          <w:b/>
        </w:rPr>
        <w:t>Sanctions and Penalties:</w:t>
      </w:r>
    </w:p>
    <w:p>
      <w:pPr>
        <w:pStyle w:val="CopyList"/>
        <w:tabs>
          <w:tab w:val="clear" w:pos="504"/>
        </w:tabs>
        <w:spacing w:before="0" w:after="0"/>
        <w:ind w:hanging="0" w:start="900" w:end="0"/>
        <w:jc w:val="both"/>
        <w:rPr/>
      </w:pPr>
      <w:r>
        <w:rPr/>
        <w:t>ENTE shall impose the following penalties to those committing any of the violations:</w:t>
      </w:r>
    </w:p>
    <w:p>
      <w:pPr>
        <w:pStyle w:val="CopyList"/>
        <w:numPr>
          <w:ilvl w:val="0"/>
          <w:numId w:val="11"/>
        </w:numPr>
        <w:tabs>
          <w:tab w:val="clear" w:pos="504"/>
        </w:tabs>
        <w:spacing w:before="0" w:after="0"/>
        <w:jc w:val="both"/>
        <w:rPr/>
      </w:pPr>
      <w:r>
        <w:rPr/>
        <w:t>Providing electric services without the corresponding concession or license</w:t>
      </w:r>
    </w:p>
    <w:p>
      <w:pPr>
        <w:pStyle w:val="CopyList"/>
        <w:numPr>
          <w:ilvl w:val="0"/>
          <w:numId w:val="11"/>
        </w:numPr>
        <w:tabs>
          <w:tab w:val="clear" w:pos="504"/>
        </w:tabs>
        <w:spacing w:before="0" w:after="0"/>
        <w:jc w:val="both"/>
        <w:rPr/>
      </w:pPr>
      <w:r>
        <w:rPr/>
        <w:t>Interconnection to any network with authorization</w:t>
      </w:r>
    </w:p>
    <w:p>
      <w:pPr>
        <w:pStyle w:val="CopyList"/>
        <w:numPr>
          <w:ilvl w:val="0"/>
          <w:numId w:val="11"/>
        </w:numPr>
        <w:tabs>
          <w:tab w:val="clear" w:pos="504"/>
        </w:tabs>
        <w:spacing w:before="0" w:after="0"/>
        <w:jc w:val="both"/>
        <w:rPr/>
      </w:pPr>
      <w:r>
        <w:rPr/>
        <w:t>Cause damages to the transmission or distribution systems as result of unauthorized connection</w:t>
      </w:r>
    </w:p>
    <w:p>
      <w:pPr>
        <w:pStyle w:val="CopyList"/>
        <w:numPr>
          <w:ilvl w:val="0"/>
          <w:numId w:val="11"/>
        </w:numPr>
        <w:tabs>
          <w:tab w:val="clear" w:pos="504"/>
        </w:tabs>
        <w:spacing w:before="0" w:after="0"/>
        <w:ind w:hanging="360" w:start="900" w:end="0"/>
        <w:jc w:val="both"/>
        <w:rPr/>
      </w:pPr>
      <w:r>
        <w:rPr/>
        <w:t>Alteration or meddling with technical characteristics of equipment for identification or metering</w:t>
      </w:r>
    </w:p>
    <w:p>
      <w:pPr>
        <w:pStyle w:val="CopyList"/>
        <w:numPr>
          <w:ilvl w:val="0"/>
          <w:numId w:val="11"/>
        </w:numPr>
        <w:tabs>
          <w:tab w:val="clear" w:pos="504"/>
        </w:tabs>
        <w:spacing w:before="0" w:after="0"/>
        <w:jc w:val="both"/>
        <w:rPr/>
      </w:pPr>
      <w:r>
        <w:rPr/>
        <w:t>Fraudulent or illegal use of electric  services</w:t>
      </w:r>
    </w:p>
    <w:p>
      <w:pPr>
        <w:pStyle w:val="CopyList"/>
        <w:numPr>
          <w:ilvl w:val="0"/>
          <w:numId w:val="11"/>
        </w:numPr>
        <w:tabs>
          <w:tab w:val="clear" w:pos="504"/>
        </w:tabs>
        <w:spacing w:before="0" w:after="0"/>
        <w:jc w:val="both"/>
        <w:rPr/>
      </w:pPr>
      <w:r>
        <w:rPr/>
        <w:t>Failure to comply with service quality standards</w:t>
      </w:r>
    </w:p>
    <w:p>
      <w:pPr>
        <w:pStyle w:val="CopyList"/>
        <w:numPr>
          <w:ilvl w:val="0"/>
          <w:numId w:val="11"/>
        </w:numPr>
        <w:tabs>
          <w:tab w:val="clear" w:pos="504"/>
        </w:tabs>
        <w:spacing w:before="0" w:after="0"/>
        <w:jc w:val="both"/>
        <w:rPr/>
      </w:pPr>
      <w:r>
        <w:rPr/>
        <w:t>Failure to comply with the requirement to provide service to whomever requests within the corresponding concession zone</w:t>
      </w:r>
    </w:p>
    <w:p>
      <w:pPr>
        <w:pStyle w:val="CopyList"/>
        <w:numPr>
          <w:ilvl w:val="2"/>
          <w:numId w:val="16"/>
        </w:numPr>
        <w:tabs>
          <w:tab w:val="clear" w:pos="504"/>
        </w:tabs>
        <w:spacing w:before="0" w:after="0"/>
        <w:rPr/>
      </w:pPr>
      <w:r>
        <w:rPr>
          <w:b/>
        </w:rPr>
        <w:t>Limits of Fines:</w:t>
      </w:r>
    </w:p>
    <w:p>
      <w:pPr>
        <w:pStyle w:val="CopyList"/>
        <w:tabs>
          <w:tab w:val="clear" w:pos="504"/>
        </w:tabs>
        <w:spacing w:before="0" w:after="0"/>
        <w:ind w:hanging="0" w:start="1530" w:end="0"/>
        <w:jc w:val="both"/>
        <w:rPr/>
      </w:pPr>
      <w:r>
        <w:rPr/>
        <w:t>ENTE shall impose the following penalties to providers as follows:</w:t>
      </w:r>
    </w:p>
    <w:p>
      <w:pPr>
        <w:pStyle w:val="CopyList"/>
        <w:tabs>
          <w:tab w:val="clear" w:pos="504"/>
        </w:tabs>
        <w:spacing w:before="0" w:after="0"/>
        <w:ind w:hanging="360" w:start="1890" w:end="0"/>
        <w:jc w:val="both"/>
        <w:rPr/>
      </w:pPr>
      <w:r>
        <w:rPr/>
        <w:t>-     Admonition</w:t>
      </w:r>
    </w:p>
    <w:p>
      <w:pPr>
        <w:pStyle w:val="CopyList"/>
        <w:tabs>
          <w:tab w:val="clear" w:pos="504"/>
        </w:tabs>
        <w:spacing w:before="0" w:after="0"/>
        <w:ind w:hanging="360" w:start="1890" w:end="0"/>
        <w:jc w:val="both"/>
        <w:rPr/>
      </w:pPr>
      <w:r>
        <w:rPr/>
        <w:t>-     A fine between 1,000 and 1,000,000 Balboas</w:t>
      </w:r>
    </w:p>
    <w:p>
      <w:pPr>
        <w:pStyle w:val="CopyList"/>
        <w:tabs>
          <w:tab w:val="clear" w:pos="504"/>
        </w:tabs>
        <w:spacing w:before="0" w:after="0"/>
        <w:ind w:hanging="360" w:start="1890" w:end="0"/>
        <w:jc w:val="both"/>
        <w:rPr/>
      </w:pPr>
      <w:r>
        <w:rPr/>
        <w:t>-     A repeatable fine between 100 and 10,000 Balboas per day when compliance with an order issued by ENTE is not met</w:t>
      </w:r>
    </w:p>
    <w:p>
      <w:pPr>
        <w:pStyle w:val="CopyList"/>
        <w:tabs>
          <w:tab w:val="clear" w:pos="504"/>
        </w:tabs>
        <w:spacing w:before="0" w:after="0"/>
        <w:ind w:hanging="0" w:start="1530" w:end="0"/>
        <w:jc w:val="both"/>
        <w:rPr/>
      </w:pPr>
      <w:r>
        <w:rPr/>
        <w:t>ENTE shall impose on the following penalties on customers as follows:</w:t>
      </w:r>
    </w:p>
    <w:p>
      <w:pPr>
        <w:pStyle w:val="CopyList"/>
        <w:tabs>
          <w:tab w:val="clear" w:pos="504"/>
        </w:tabs>
        <w:spacing w:before="0" w:after="0"/>
        <w:ind w:hanging="360" w:start="1890" w:end="0"/>
        <w:jc w:val="both"/>
        <w:rPr/>
      </w:pPr>
      <w:r>
        <w:rPr/>
        <w:t>-     Admonition</w:t>
      </w:r>
    </w:p>
    <w:p>
      <w:pPr>
        <w:pStyle w:val="CopyList"/>
        <w:tabs>
          <w:tab w:val="clear" w:pos="504"/>
        </w:tabs>
        <w:spacing w:before="0" w:after="0"/>
        <w:ind w:hanging="360" w:start="1890" w:end="0"/>
        <w:jc w:val="both"/>
        <w:rPr/>
      </w:pPr>
      <w:r>
        <w:rPr/>
        <w:t>-     A fine between 50 and 5,000 Balboas depending on the seriousness of the offense.  There is no limitation of the obligation to pay the value of electricity consumed by fraud and damages caused.</w:t>
      </w:r>
    </w:p>
    <w:p>
      <w:pPr>
        <w:pStyle w:val="CopyList"/>
        <w:numPr>
          <w:ilvl w:val="1"/>
          <w:numId w:val="16"/>
        </w:numPr>
        <w:tabs>
          <w:tab w:val="clear" w:pos="504"/>
        </w:tabs>
        <w:spacing w:before="0" w:after="0"/>
        <w:rPr>
          <w:b/>
        </w:rPr>
      </w:pPr>
      <w:r>
        <w:rPr>
          <w:b/>
        </w:rPr>
        <w:t>Course of Appeal</w:t>
      </w:r>
    </w:p>
    <w:p>
      <w:pPr>
        <w:pStyle w:val="CopyList"/>
        <w:tabs>
          <w:tab w:val="clear" w:pos="504"/>
        </w:tabs>
        <w:spacing w:before="0" w:after="0"/>
        <w:ind w:hanging="0" w:start="900" w:end="0"/>
        <w:jc w:val="both"/>
        <w:rPr/>
      </w:pPr>
      <w:r>
        <w:rPr/>
        <w:t>The resolutions of ENTE may be impugned when it could be demonstrated as prejudiced.  Filing reconsideration recourse with the ENTE itself exhausts the administrative venue.  ENTE shall have a term of two months to decide on the respective reconsideration recourse.  If no decision has been reached in that time frame, the decision shall be considered favorable to the applicant.  The resolutions issued by ENTE can be appealed to the Third Administrative-Contentious Court of the Supreme Court of Justice.</w:t>
      </w:r>
    </w:p>
    <w:p>
      <w:pPr>
        <w:pStyle w:val="CopyList"/>
        <w:numPr>
          <w:ilvl w:val="1"/>
          <w:numId w:val="16"/>
        </w:numPr>
        <w:tabs>
          <w:tab w:val="clear" w:pos="504"/>
        </w:tabs>
        <w:spacing w:before="0" w:after="0"/>
        <w:rPr>
          <w:b/>
        </w:rPr>
      </w:pPr>
      <w:r>
        <w:rPr>
          <w:b/>
        </w:rPr>
        <w:t>Cost of Regulation</w:t>
      </w:r>
    </w:p>
    <w:p>
      <w:pPr>
        <w:pStyle w:val="CopyList"/>
        <w:tabs>
          <w:tab w:val="clear" w:pos="504"/>
        </w:tabs>
        <w:spacing w:before="0" w:after="0"/>
        <w:ind w:hanging="0" w:start="900" w:end="0"/>
        <w:jc w:val="both"/>
        <w:rPr/>
      </w:pPr>
      <w:r>
        <w:rPr/>
        <w:t>ENTE shall impose “Control, Monitoring and Surveillance Fee” not exceeding 1% of the total billing of distributors and generators selling electricity to major customers.</w:t>
      </w:r>
    </w:p>
    <w:p>
      <w:pPr>
        <w:pStyle w:val="CopyList"/>
        <w:numPr>
          <w:ilvl w:val="1"/>
          <w:numId w:val="16"/>
        </w:numPr>
        <w:tabs>
          <w:tab w:val="clear" w:pos="504"/>
        </w:tabs>
        <w:spacing w:before="0" w:after="0"/>
        <w:rPr>
          <w:b/>
        </w:rPr>
      </w:pPr>
      <w:r>
        <w:rPr>
          <w:b/>
        </w:rPr>
        <w:t>Open</w:t>
      </w:r>
    </w:p>
    <w:p>
      <w:pPr>
        <w:pStyle w:val="Heading1"/>
        <w:numPr>
          <w:ilvl w:val="0"/>
          <w:numId w:val="16"/>
        </w:numPr>
        <w:rPr>
          <w:sz w:val="20"/>
        </w:rPr>
      </w:pPr>
      <w:r>
        <w:rPr>
          <w:sz w:val="20"/>
        </w:rPr>
        <w:t>Cross Ownership Restrictions</w:t>
      </w:r>
    </w:p>
    <w:p>
      <w:pPr>
        <w:pStyle w:val="CopyList"/>
        <w:numPr>
          <w:ilvl w:val="1"/>
          <w:numId w:val="16"/>
        </w:numPr>
        <w:tabs>
          <w:tab w:val="clear" w:pos="504"/>
        </w:tabs>
        <w:spacing w:before="0" w:after="0"/>
        <w:rPr>
          <w:b/>
        </w:rPr>
      </w:pPr>
      <w:r>
        <w:rPr>
          <w:b/>
        </w:rPr>
        <w:t>General Principals</w:t>
      </w:r>
    </w:p>
    <w:p>
      <w:pPr>
        <w:pStyle w:val="CopyList"/>
        <w:numPr>
          <w:ilvl w:val="0"/>
          <w:numId w:val="11"/>
        </w:numPr>
        <w:tabs>
          <w:tab w:val="clear" w:pos="504"/>
        </w:tabs>
        <w:spacing w:before="0" w:after="0"/>
        <w:jc w:val="both"/>
        <w:rPr/>
      </w:pPr>
      <w:r>
        <w:rPr/>
        <w:t>The commercialization activity must be carried out jointly with the distribution activity except in the case of generators, who may directly commercialize with major customers.</w:t>
      </w:r>
    </w:p>
    <w:p>
      <w:pPr>
        <w:pStyle w:val="CopyList"/>
        <w:numPr>
          <w:ilvl w:val="0"/>
          <w:numId w:val="11"/>
        </w:numPr>
        <w:tabs>
          <w:tab w:val="clear" w:pos="504"/>
        </w:tabs>
        <w:spacing w:before="0" w:after="0"/>
        <w:jc w:val="both"/>
        <w:rPr/>
      </w:pPr>
      <w:r>
        <w:rPr/>
        <w:t xml:space="preserve">The distribution activity may only be carried out jointly with transmission and generation activities—with adequate accounting and management separation—in the case of isolated systems, and within the 15% demand limit as established in </w:t>
      </w:r>
      <w:r>
        <w:rPr/>
        <w:fldChar w:fldCharType="begin"/>
      </w:r>
      <w:r>
        <w:rPr/>
        <w:instrText xml:space="preserve"> REF _Ref464467890 \r \r \h </w:instrText>
      </w:r>
      <w:r>
        <w:rPr/>
        <w:fldChar w:fldCharType="separate"/>
      </w:r>
      <w:r>
        <w:rPr/>
        <w:t>3.2</w:t>
      </w:r>
      <w:r>
        <w:rPr/>
        <w:fldChar w:fldCharType="end"/>
      </w:r>
      <w:r>
        <w:rPr/>
        <w:fldChar w:fldCharType="begin"/>
      </w:r>
      <w:r>
        <w:rPr/>
        <w:instrText xml:space="preserve"> REF _Ref464467890 \p \h </w:instrText>
      </w:r>
      <w:r>
        <w:rPr/>
        <w:fldChar w:fldCharType="separate"/>
      </w:r>
      <w:r>
        <w:rPr/>
        <w:t>below</w:t>
      </w:r>
      <w:r>
        <w:rPr/>
        <w:fldChar w:fldCharType="end"/>
      </w:r>
      <w:r>
        <w:rPr/>
        <w:t xml:space="preserve">. </w:t>
      </w:r>
    </w:p>
    <w:p>
      <w:pPr>
        <w:pStyle w:val="CopyList"/>
        <w:numPr>
          <w:ilvl w:val="1"/>
          <w:numId w:val="16"/>
        </w:numPr>
        <w:tabs>
          <w:tab w:val="clear" w:pos="504"/>
        </w:tabs>
        <w:spacing w:before="0" w:after="0"/>
        <w:rPr>
          <w:b/>
        </w:rPr>
      </w:pPr>
      <w:bookmarkStart w:id="4" w:name="_Ref464467890"/>
      <w:r>
        <w:rPr>
          <w:b/>
        </w:rPr>
        <w:t>Restrictions on Generators:</w:t>
      </w:r>
      <w:bookmarkEnd w:id="4"/>
    </w:p>
    <w:p>
      <w:pPr>
        <w:pStyle w:val="CopyList"/>
        <w:numPr>
          <w:ilvl w:val="0"/>
          <w:numId w:val="11"/>
        </w:numPr>
        <w:tabs>
          <w:tab w:val="clear" w:pos="504"/>
        </w:tabs>
        <w:spacing w:before="0" w:after="0"/>
        <w:jc w:val="both"/>
        <w:rPr/>
      </w:pPr>
      <w:r>
        <w:rPr/>
        <w:t>To participate directly or indirectly in the control of distribution companies</w:t>
      </w:r>
    </w:p>
    <w:p>
      <w:pPr>
        <w:pStyle w:val="CopyList"/>
        <w:numPr>
          <w:ilvl w:val="0"/>
          <w:numId w:val="11"/>
        </w:numPr>
        <w:tabs>
          <w:tab w:val="clear" w:pos="504"/>
        </w:tabs>
        <w:spacing w:before="0" w:after="0"/>
        <w:jc w:val="both"/>
        <w:rPr>
          <w:b/>
        </w:rPr>
      </w:pPr>
      <w:r>
        <w:rPr/>
        <w:t xml:space="preserve">To request new </w:t>
      </w:r>
      <w:r>
        <w:rPr>
          <w:u w:val="single"/>
        </w:rPr>
        <w:t>concession</w:t>
      </w:r>
      <w:r>
        <w:rPr/>
        <w:t xml:space="preserve"> when by doing so they serve, directly or indirectly, through other generation companies or other means, more than 25% of the national electric market consumption.</w:t>
      </w:r>
    </w:p>
    <w:p>
      <w:pPr>
        <w:pStyle w:val="CopyList"/>
        <w:numPr>
          <w:ilvl w:val="1"/>
          <w:numId w:val="16"/>
        </w:numPr>
        <w:tabs>
          <w:tab w:val="clear" w:pos="504"/>
        </w:tabs>
        <w:spacing w:before="0" w:after="0"/>
        <w:rPr>
          <w:b/>
        </w:rPr>
      </w:pPr>
      <w:r>
        <w:rPr>
          <w:b/>
        </w:rPr>
        <w:t>Restrictions on Transmission Company</w:t>
      </w:r>
    </w:p>
    <w:p>
      <w:pPr>
        <w:pStyle w:val="CopyList"/>
        <w:numPr>
          <w:ilvl w:val="0"/>
          <w:numId w:val="11"/>
        </w:numPr>
        <w:tabs>
          <w:tab w:val="clear" w:pos="504"/>
        </w:tabs>
        <w:spacing w:before="0" w:after="0"/>
        <w:jc w:val="both"/>
        <w:rPr/>
      </w:pPr>
      <w:r>
        <w:rPr/>
        <w:t>Activities of transmission and integrated operation of the National Integrated System shall only be carried out by the Transmission Company.  The Transmission Company may not participate in activities of generation or distribution, or sales to large customers.</w:t>
      </w:r>
    </w:p>
    <w:p>
      <w:pPr>
        <w:pStyle w:val="CopyList"/>
        <w:numPr>
          <w:ilvl w:val="1"/>
          <w:numId w:val="16"/>
        </w:numPr>
        <w:tabs>
          <w:tab w:val="clear" w:pos="504"/>
        </w:tabs>
        <w:spacing w:before="0" w:after="0"/>
        <w:rPr>
          <w:b/>
        </w:rPr>
      </w:pPr>
      <w:r>
        <w:rPr>
          <w:b/>
        </w:rPr>
        <w:t>Restrictions on Distribution Companies</w:t>
      </w:r>
    </w:p>
    <w:p>
      <w:pPr>
        <w:pStyle w:val="CopyList"/>
        <w:numPr>
          <w:ilvl w:val="0"/>
          <w:numId w:val="11"/>
        </w:numPr>
        <w:tabs>
          <w:tab w:val="clear" w:pos="504"/>
        </w:tabs>
        <w:spacing w:before="0" w:after="0"/>
        <w:jc w:val="both"/>
        <w:rPr/>
      </w:pPr>
      <w:r>
        <w:rPr/>
        <w:t xml:space="preserve">Distribution companies may not participate directly or indirectly in the control of generation plants when the aggregated equivalent capacity exceeds 15% of the demand served within their concession zone. </w:t>
      </w:r>
    </w:p>
    <w:p>
      <w:pPr>
        <w:pStyle w:val="CopyList"/>
        <w:numPr>
          <w:ilvl w:val="0"/>
          <w:numId w:val="11"/>
        </w:numPr>
        <w:tabs>
          <w:tab w:val="clear" w:pos="504"/>
        </w:tabs>
        <w:spacing w:before="0" w:after="0"/>
        <w:jc w:val="both"/>
        <w:rPr/>
      </w:pPr>
      <w:r>
        <w:rPr/>
        <w:t>To request new concessions when by so doing the serve directly or indirectly serve controlling stock of other distribution companies or other means more than 50% of the total number of national customers.</w:t>
      </w:r>
    </w:p>
    <w:p>
      <w:pPr>
        <w:pStyle w:val="CopyList"/>
        <w:numPr>
          <w:ilvl w:val="1"/>
          <w:numId w:val="16"/>
        </w:numPr>
        <w:tabs>
          <w:tab w:val="clear" w:pos="504"/>
        </w:tabs>
        <w:spacing w:before="0" w:after="0"/>
        <w:rPr>
          <w:b/>
        </w:rPr>
      </w:pPr>
      <w:r>
        <w:rPr>
          <w:b/>
        </w:rPr>
        <w:t>Cross Sectoral Restrictions with Hydrocarbons</w:t>
      </w:r>
    </w:p>
    <w:p>
      <w:pPr>
        <w:pStyle w:val="CopyList"/>
        <w:tabs>
          <w:tab w:val="clear" w:pos="504"/>
        </w:tabs>
        <w:spacing w:before="0" w:after="0"/>
        <w:ind w:hanging="0" w:start="900" w:end="0"/>
        <w:jc w:val="both"/>
        <w:rPr/>
      </w:pPr>
      <w:r>
        <w:rPr/>
        <w:t>Not Available</w:t>
      </w:r>
    </w:p>
    <w:p>
      <w:pPr>
        <w:pStyle w:val="CopyList"/>
        <w:numPr>
          <w:ilvl w:val="1"/>
          <w:numId w:val="16"/>
        </w:numPr>
        <w:tabs>
          <w:tab w:val="clear" w:pos="504"/>
        </w:tabs>
        <w:spacing w:before="0" w:after="0"/>
        <w:rPr>
          <w:b/>
        </w:rPr>
      </w:pPr>
      <w:r>
        <w:rPr>
          <w:b/>
        </w:rPr>
        <w:t>Open</w:t>
      </w:r>
    </w:p>
    <w:p>
      <w:pPr>
        <w:pStyle w:val="CopyList"/>
        <w:tabs>
          <w:tab w:val="clear" w:pos="504"/>
        </w:tabs>
        <w:spacing w:before="0" w:after="0"/>
        <w:ind w:firstLine="360" w:start="90" w:end="0"/>
        <w:rPr>
          <w:b/>
        </w:rPr>
      </w:pPr>
      <w:r>
        <w:rPr>
          <w:b/>
        </w:rPr>
      </w:r>
    </w:p>
    <w:p>
      <w:pPr>
        <w:pStyle w:val="Heading1"/>
        <w:numPr>
          <w:ilvl w:val="0"/>
          <w:numId w:val="16"/>
        </w:numPr>
        <w:rPr>
          <w:sz w:val="20"/>
        </w:rPr>
      </w:pPr>
      <w:r>
        <w:rPr>
          <w:sz w:val="20"/>
        </w:rPr>
        <w:t>Generation Concessions</w:t>
      </w:r>
    </w:p>
    <w:p>
      <w:pPr>
        <w:pStyle w:val="CopyList"/>
        <w:numPr>
          <w:ilvl w:val="1"/>
          <w:numId w:val="16"/>
        </w:numPr>
        <w:tabs>
          <w:tab w:val="clear" w:pos="504"/>
        </w:tabs>
        <w:spacing w:before="0" w:after="0"/>
        <w:rPr>
          <w:b/>
        </w:rPr>
      </w:pPr>
      <w:r>
        <w:rPr>
          <w:b/>
        </w:rPr>
        <w:t>Concessions, Permits, and Licenses</w:t>
      </w:r>
    </w:p>
    <w:p>
      <w:pPr>
        <w:pStyle w:val="CopyList"/>
        <w:tabs>
          <w:tab w:val="clear" w:pos="504"/>
        </w:tabs>
        <w:spacing w:before="0" w:after="0"/>
        <w:ind w:hanging="0" w:start="360" w:end="0"/>
        <w:rPr/>
      </w:pPr>
      <w:r>
        <w:rPr/>
        <w:t xml:space="preserve">The construction and operation of hydroelectric and geothermal plants are subject to the concession rule.   These concession—granted by a reasoned resolution—shall have a term of effectiveness not greater than 50 years.  The licensing rule is applied to the construction and operation of thermal generation plants which shall be granted by reasoned resolution by ENTE.   </w:t>
      </w:r>
    </w:p>
    <w:p>
      <w:pPr>
        <w:pStyle w:val="CopyList"/>
        <w:numPr>
          <w:ilvl w:val="1"/>
          <w:numId w:val="16"/>
        </w:numPr>
        <w:tabs>
          <w:tab w:val="clear" w:pos="504"/>
        </w:tabs>
        <w:spacing w:before="0" w:after="0"/>
        <w:rPr/>
      </w:pPr>
      <w:r>
        <w:rPr>
          <w:b/>
        </w:rPr>
        <w:t>Obligations, and Rights</w:t>
      </w:r>
    </w:p>
    <w:p>
      <w:pPr>
        <w:pStyle w:val="CopyList"/>
        <w:tabs>
          <w:tab w:val="clear" w:pos="504"/>
        </w:tabs>
        <w:spacing w:before="0" w:after="0"/>
        <w:ind w:firstLine="720" w:start="72" w:end="0"/>
        <w:rPr/>
      </w:pPr>
      <w:r>
        <w:rPr/>
        <w:t xml:space="preserve">Generators have the following obligations: </w:t>
      </w:r>
    </w:p>
    <w:p>
      <w:pPr>
        <w:pStyle w:val="CopyList"/>
        <w:numPr>
          <w:ilvl w:val="0"/>
          <w:numId w:val="11"/>
        </w:numPr>
        <w:tabs>
          <w:tab w:val="clear" w:pos="504"/>
        </w:tabs>
        <w:spacing w:before="0" w:after="0"/>
        <w:jc w:val="both"/>
        <w:rPr/>
      </w:pPr>
      <w:r>
        <w:rPr/>
        <w:t>To abide by the rules of the integrated operation in accordance with the provisions in the Operational Regulations</w:t>
      </w:r>
    </w:p>
    <w:p>
      <w:pPr>
        <w:pStyle w:val="CopyList"/>
        <w:numPr>
          <w:ilvl w:val="0"/>
          <w:numId w:val="11"/>
        </w:numPr>
        <w:tabs>
          <w:tab w:val="clear" w:pos="504"/>
        </w:tabs>
        <w:spacing w:before="0" w:after="0"/>
        <w:jc w:val="both"/>
        <w:rPr/>
      </w:pPr>
      <w:r>
        <w:rPr/>
        <w:t>Meeting the technical standards for connection to the NIS</w:t>
      </w:r>
    </w:p>
    <w:p>
      <w:pPr>
        <w:pStyle w:val="CopyList"/>
        <w:numPr>
          <w:ilvl w:val="0"/>
          <w:numId w:val="11"/>
        </w:numPr>
        <w:tabs>
          <w:tab w:val="clear" w:pos="504"/>
        </w:tabs>
        <w:spacing w:before="0" w:after="0"/>
        <w:jc w:val="both"/>
        <w:rPr/>
      </w:pPr>
      <w:r>
        <w:rPr/>
        <w:t>Meeting the established requirements on environmental protection</w:t>
      </w:r>
    </w:p>
    <w:p>
      <w:pPr>
        <w:pStyle w:val="CopyList"/>
        <w:numPr>
          <w:ilvl w:val="0"/>
          <w:numId w:val="11"/>
        </w:numPr>
        <w:tabs>
          <w:tab w:val="clear" w:pos="504"/>
        </w:tabs>
        <w:spacing w:before="0" w:after="0"/>
        <w:jc w:val="both"/>
        <w:rPr/>
      </w:pPr>
      <w:r>
        <w:rPr/>
        <w:t>Meeting the conditions established in the license or concession</w:t>
      </w:r>
    </w:p>
    <w:p>
      <w:pPr>
        <w:pStyle w:val="CopyList"/>
        <w:numPr>
          <w:ilvl w:val="0"/>
          <w:numId w:val="11"/>
        </w:numPr>
        <w:tabs>
          <w:tab w:val="clear" w:pos="504"/>
        </w:tabs>
        <w:spacing w:before="0" w:after="0"/>
        <w:jc w:val="both"/>
        <w:rPr/>
      </w:pPr>
      <w:r>
        <w:rPr/>
        <w:t>Reporting to ENTE in case of total or partial closure of plants</w:t>
      </w:r>
    </w:p>
    <w:p>
      <w:pPr>
        <w:pStyle w:val="CopyList"/>
        <w:tabs>
          <w:tab w:val="clear" w:pos="504"/>
        </w:tabs>
        <w:spacing w:before="0" w:after="0"/>
        <w:ind w:hanging="0" w:start="525" w:end="0"/>
        <w:jc w:val="both"/>
        <w:rPr/>
      </w:pPr>
      <w:r>
        <w:rPr/>
        <w:t>Generators have the right to:</w:t>
      </w:r>
    </w:p>
    <w:p>
      <w:pPr>
        <w:pStyle w:val="CopyList"/>
        <w:numPr>
          <w:ilvl w:val="0"/>
          <w:numId w:val="11"/>
        </w:numPr>
        <w:tabs>
          <w:tab w:val="clear" w:pos="504"/>
        </w:tabs>
        <w:spacing w:before="0" w:after="0"/>
        <w:jc w:val="both"/>
        <w:rPr/>
      </w:pPr>
      <w:r>
        <w:rPr/>
        <w:t>Access to transmission and distribution networks to sell energy produced in their generation plants</w:t>
      </w:r>
    </w:p>
    <w:p>
      <w:pPr>
        <w:pStyle w:val="CopyList"/>
        <w:numPr>
          <w:ilvl w:val="0"/>
          <w:numId w:val="11"/>
        </w:numPr>
        <w:tabs>
          <w:tab w:val="clear" w:pos="504"/>
        </w:tabs>
        <w:spacing w:before="0" w:after="0"/>
        <w:jc w:val="both"/>
        <w:rPr/>
      </w:pPr>
      <w:r>
        <w:rPr/>
        <w:t>Subscription of energy supply contracts with other market agents</w:t>
      </w:r>
    </w:p>
    <w:p>
      <w:pPr>
        <w:pStyle w:val="CopyList"/>
        <w:numPr>
          <w:ilvl w:val="0"/>
          <w:numId w:val="11"/>
        </w:numPr>
        <w:tabs>
          <w:tab w:val="clear" w:pos="504"/>
        </w:tabs>
        <w:spacing w:before="0" w:after="0"/>
        <w:jc w:val="both"/>
        <w:rPr/>
      </w:pPr>
      <w:r>
        <w:rPr/>
        <w:t>Participation in the competitive processed to supply energy</w:t>
      </w:r>
    </w:p>
    <w:p>
      <w:pPr>
        <w:pStyle w:val="CopyList"/>
        <w:numPr>
          <w:ilvl w:val="1"/>
          <w:numId w:val="16"/>
        </w:numPr>
        <w:tabs>
          <w:tab w:val="clear" w:pos="504"/>
        </w:tabs>
        <w:spacing w:before="0" w:after="0"/>
        <w:rPr>
          <w:b/>
        </w:rPr>
      </w:pPr>
      <w:r>
        <w:rPr>
          <w:b/>
        </w:rPr>
        <w:t>Open</w:t>
      </w:r>
    </w:p>
    <w:p>
      <w:pPr>
        <w:pStyle w:val="Heading1"/>
        <w:numPr>
          <w:ilvl w:val="0"/>
          <w:numId w:val="16"/>
        </w:numPr>
        <w:rPr>
          <w:sz w:val="20"/>
        </w:rPr>
      </w:pPr>
      <w:r>
        <w:rPr>
          <w:sz w:val="20"/>
        </w:rPr>
        <w:t>Transmission Service</w:t>
      </w:r>
    </w:p>
    <w:p>
      <w:pPr>
        <w:pStyle w:val="CopyList"/>
        <w:numPr>
          <w:ilvl w:val="1"/>
          <w:numId w:val="16"/>
        </w:numPr>
        <w:tabs>
          <w:tab w:val="clear" w:pos="504"/>
        </w:tabs>
        <w:spacing w:before="0" w:after="0"/>
        <w:rPr>
          <w:b/>
        </w:rPr>
      </w:pPr>
      <w:r>
        <w:rPr>
          <w:b/>
        </w:rPr>
        <w:t>Major System</w:t>
      </w:r>
    </w:p>
    <w:p>
      <w:pPr>
        <w:pStyle w:val="CopyList"/>
        <w:tabs>
          <w:tab w:val="clear" w:pos="504"/>
        </w:tabs>
        <w:spacing w:before="0" w:after="0"/>
        <w:ind w:firstLine="24" w:start="426" w:end="0"/>
        <w:rPr/>
      </w:pPr>
      <w:r>
        <w:rPr/>
        <w:t>The electric energy transmission network in the national interconnected system is composed of the high voltage transmission lines, substations, transformers and other electric elements necessary to provide the service. It also includes the international interconnections.  (Article 77).  This system is the responsibility of the transmission  company which is also responsible for the expansion of the national transmission network in accordance with the expansion plan agreed upon.</w:t>
      </w:r>
    </w:p>
    <w:p>
      <w:pPr>
        <w:pStyle w:val="CopyList"/>
        <w:numPr>
          <w:ilvl w:val="2"/>
          <w:numId w:val="16"/>
        </w:numPr>
        <w:tabs>
          <w:tab w:val="clear" w:pos="504"/>
        </w:tabs>
        <w:spacing w:before="0" w:after="0"/>
        <w:rPr>
          <w:b/>
        </w:rPr>
      </w:pPr>
      <w:r>
        <w:rPr>
          <w:b/>
        </w:rPr>
        <w:t>Pertinent Laws</w:t>
      </w:r>
    </w:p>
    <w:p>
      <w:pPr>
        <w:pStyle w:val="CopyList"/>
        <w:tabs>
          <w:tab w:val="clear" w:pos="504"/>
        </w:tabs>
        <w:spacing w:before="0" w:after="0"/>
        <w:ind w:firstLine="720" w:start="720" w:end="0"/>
        <w:rPr/>
      </w:pPr>
      <w:r>
        <w:rPr/>
        <w:t>JD 211, JD 911</w:t>
      </w:r>
    </w:p>
    <w:p>
      <w:pPr>
        <w:pStyle w:val="CopyList"/>
        <w:numPr>
          <w:ilvl w:val="2"/>
          <w:numId w:val="16"/>
        </w:numPr>
        <w:tabs>
          <w:tab w:val="clear" w:pos="504"/>
        </w:tabs>
        <w:spacing w:before="0" w:after="0"/>
        <w:rPr>
          <w:b/>
        </w:rPr>
      </w:pPr>
      <w:r>
        <w:rPr>
          <w:b/>
        </w:rPr>
        <w:t>Concessions, Permits, and Licenses</w:t>
      </w:r>
    </w:p>
    <w:p>
      <w:pPr>
        <w:pStyle w:val="CopyList"/>
        <w:tabs>
          <w:tab w:val="clear" w:pos="504"/>
        </w:tabs>
        <w:spacing w:before="0" w:after="0"/>
        <w:ind w:hanging="0" w:start="720" w:end="0"/>
        <w:rPr/>
      </w:pPr>
      <w:r>
        <w:rPr/>
        <w:t>Transmission systems are subject to the concession rule.  The concession shall be issued by a reasoned resolution for the a term of 25 years.</w:t>
      </w:r>
      <w:r>
        <w:rPr>
          <w:b/>
        </w:rPr>
        <w:t xml:space="preserve">  </w:t>
      </w:r>
    </w:p>
    <w:p>
      <w:pPr>
        <w:pStyle w:val="CopyList"/>
        <w:numPr>
          <w:ilvl w:val="2"/>
          <w:numId w:val="16"/>
        </w:numPr>
        <w:tabs>
          <w:tab w:val="clear" w:pos="504"/>
        </w:tabs>
        <w:spacing w:before="0" w:after="0"/>
        <w:rPr>
          <w:b/>
        </w:rPr>
      </w:pPr>
      <w:bookmarkStart w:id="5" w:name="_Ref464530671"/>
      <w:r>
        <w:rPr>
          <w:b/>
        </w:rPr>
        <w:t>Rates, Prices, Terms and Conditions of Service</w:t>
      </w:r>
      <w:bookmarkEnd w:id="5"/>
      <w:r>
        <w:rPr>
          <w:b/>
        </w:rPr>
        <w:t xml:space="preserve">    </w:t>
      </w:r>
    </w:p>
    <w:p>
      <w:pPr>
        <w:pStyle w:val="CopyList"/>
        <w:tabs>
          <w:tab w:val="clear" w:pos="504"/>
        </w:tabs>
        <w:spacing w:before="0" w:after="0"/>
        <w:ind w:firstLine="11" w:start="709" w:end="0"/>
        <w:rPr/>
      </w:pPr>
      <w:r>
        <w:rPr/>
        <w:t xml:space="preserve">Market agents shall have access to transmission networks in non discriminatory conditions.   The transmission rate is a three part tariff and consists of a) connection charge, b) usage charge, and c) Integrated operation charges.  The annual connection charges are distance sensitive and vary from $0/mile for generators and distributors near the load center (Panama City), to $1494.6/mile for Metor-Oeste.   New agents may construct their own connections or ask ETESA to provide this connection and charge for it.  </w:t>
      </w:r>
    </w:p>
    <w:p>
      <w:pPr>
        <w:pStyle w:val="CopyList"/>
        <w:tabs>
          <w:tab w:val="clear" w:pos="504"/>
        </w:tabs>
        <w:spacing w:before="0" w:after="0"/>
        <w:ind w:firstLine="11" w:start="709" w:end="0"/>
        <w:rPr/>
      </w:pPr>
      <w:r>
        <w:rPr/>
      </w:r>
    </w:p>
    <w:p>
      <w:pPr>
        <w:pStyle w:val="CopyList"/>
        <w:tabs>
          <w:tab w:val="clear" w:pos="504"/>
        </w:tabs>
        <w:spacing w:before="0" w:after="0"/>
        <w:ind w:firstLine="11" w:start="709" w:end="0"/>
        <w:rPr/>
      </w:pPr>
      <w:r>
        <w:rPr/>
        <w:t xml:space="preserve">The usage charge varies between generators and distributors/large users and location (zonal).  It varies from $57.16/ kW-Year for generators located near the borders with COSTA RICA (Zone 1), to a credit of $3.33 per kW-Year for a generator in SE Chorrera.  Integrated Operation Charges are $0.1245/kW-month for generators, and $0.1634/kW-month for consumers.  The transmission charges may be updated every 6 months following changes in the CPI with prior approval from ENTE.  </w:t>
      </w:r>
    </w:p>
    <w:p>
      <w:pPr>
        <w:pStyle w:val="Subject"/>
        <w:numPr>
          <w:ilvl w:val="2"/>
          <w:numId w:val="16"/>
        </w:numPr>
        <w:rPr>
          <w:b/>
        </w:rPr>
      </w:pPr>
      <w:r>
        <w:rPr>
          <w:b/>
        </w:rPr>
        <w:t>Rules of System Expansion and Enforcement</w:t>
      </w:r>
    </w:p>
    <w:p>
      <w:pPr>
        <w:pStyle w:val="CopyList"/>
        <w:numPr>
          <w:ilvl w:val="2"/>
          <w:numId w:val="16"/>
        </w:numPr>
        <w:tabs>
          <w:tab w:val="clear" w:pos="504"/>
        </w:tabs>
        <w:spacing w:before="0" w:after="0"/>
        <w:rPr/>
      </w:pPr>
      <w:r>
        <w:rPr>
          <w:b/>
        </w:rPr>
        <w:t>Rules of Providing Ancillary Services</w:t>
      </w:r>
    </w:p>
    <w:p>
      <w:pPr>
        <w:pStyle w:val="CopyList"/>
        <w:tabs>
          <w:tab w:val="clear" w:pos="504"/>
        </w:tabs>
        <w:spacing w:before="0" w:after="0"/>
        <w:ind w:firstLine="450" w:start="0" w:end="0"/>
        <w:rPr>
          <w:b/>
        </w:rPr>
      </w:pPr>
      <w:r>
        <w:rPr>
          <w:b/>
        </w:rPr>
      </w:r>
    </w:p>
    <w:p>
      <w:pPr>
        <w:pStyle w:val="CopyList"/>
        <w:numPr>
          <w:ilvl w:val="1"/>
          <w:numId w:val="16"/>
        </w:numPr>
        <w:tabs>
          <w:tab w:val="clear" w:pos="504"/>
        </w:tabs>
        <w:spacing w:before="0" w:after="0"/>
        <w:rPr>
          <w:b/>
        </w:rPr>
      </w:pPr>
      <w:r>
        <w:rPr>
          <w:b/>
        </w:rPr>
        <w:t>Secondary Systems</w:t>
      </w:r>
    </w:p>
    <w:p>
      <w:pPr>
        <w:pStyle w:val="CopyList"/>
        <w:numPr>
          <w:ilvl w:val="2"/>
          <w:numId w:val="4"/>
        </w:numPr>
        <w:tabs>
          <w:tab w:val="clear" w:pos="504"/>
        </w:tabs>
        <w:spacing w:before="0" w:after="0"/>
        <w:rPr>
          <w:b/>
        </w:rPr>
      </w:pPr>
      <w:r>
        <w:rPr>
          <w:b/>
        </w:rPr>
        <w:t>Pertinent Laws</w:t>
      </w:r>
    </w:p>
    <w:p>
      <w:pPr>
        <w:pStyle w:val="CopyList"/>
        <w:numPr>
          <w:ilvl w:val="2"/>
          <w:numId w:val="6"/>
        </w:numPr>
        <w:tabs>
          <w:tab w:val="clear" w:pos="504"/>
        </w:tabs>
        <w:spacing w:before="0" w:after="0"/>
        <w:rPr>
          <w:b/>
        </w:rPr>
      </w:pPr>
      <w:r>
        <w:rPr>
          <w:b/>
        </w:rPr>
        <w:t>Concessions, Permits, and Licenses</w:t>
      </w:r>
    </w:p>
    <w:p>
      <w:pPr>
        <w:pStyle w:val="CopyList"/>
        <w:numPr>
          <w:ilvl w:val="2"/>
          <w:numId w:val="6"/>
        </w:numPr>
        <w:tabs>
          <w:tab w:val="clear" w:pos="504"/>
        </w:tabs>
        <w:spacing w:before="0" w:after="0"/>
        <w:rPr>
          <w:b/>
        </w:rPr>
      </w:pPr>
      <w:r>
        <w:rPr>
          <w:b/>
        </w:rPr>
        <w:t>Rates, Prices, Terms and Condition of Service</w:t>
      </w:r>
    </w:p>
    <w:p>
      <w:pPr>
        <w:pStyle w:val="CopyList"/>
        <w:numPr>
          <w:ilvl w:val="2"/>
          <w:numId w:val="6"/>
        </w:numPr>
        <w:tabs>
          <w:tab w:val="clear" w:pos="504"/>
        </w:tabs>
        <w:spacing w:before="0" w:after="0"/>
        <w:rPr>
          <w:b/>
        </w:rPr>
      </w:pPr>
      <w:r>
        <w:rPr>
          <w:b/>
        </w:rPr>
        <w:t>Rules of System Expansion and Enforcement</w:t>
      </w:r>
    </w:p>
    <w:p>
      <w:pPr>
        <w:pStyle w:val="CopyList"/>
        <w:numPr>
          <w:ilvl w:val="2"/>
          <w:numId w:val="6"/>
        </w:numPr>
        <w:tabs>
          <w:tab w:val="clear" w:pos="504"/>
        </w:tabs>
        <w:spacing w:before="0" w:after="0"/>
        <w:rPr>
          <w:b/>
        </w:rPr>
      </w:pPr>
      <w:r>
        <w:rPr>
          <w:b/>
        </w:rPr>
        <w:t>Rules of Providing Ancillary Services</w:t>
      </w:r>
    </w:p>
    <w:p>
      <w:pPr>
        <w:pStyle w:val="CopyList"/>
        <w:numPr>
          <w:ilvl w:val="1"/>
          <w:numId w:val="6"/>
        </w:numPr>
        <w:tabs>
          <w:tab w:val="clear" w:pos="504"/>
        </w:tabs>
        <w:spacing w:before="0" w:after="0"/>
        <w:rPr>
          <w:b/>
        </w:rPr>
      </w:pPr>
      <w:r>
        <w:rPr>
          <w:b/>
        </w:rPr>
        <w:t>Open</w:t>
      </w:r>
    </w:p>
    <w:p>
      <w:pPr>
        <w:pStyle w:val="CopyList"/>
        <w:tabs>
          <w:tab w:val="clear" w:pos="504"/>
        </w:tabs>
        <w:spacing w:before="0" w:after="0"/>
        <w:ind w:hanging="0" w:start="360" w:end="0"/>
        <w:rPr>
          <w:b/>
        </w:rPr>
      </w:pPr>
      <w:r>
        <w:rPr>
          <w:b/>
        </w:rPr>
      </w:r>
    </w:p>
    <w:p>
      <w:pPr>
        <w:pStyle w:val="CopyList"/>
        <w:numPr>
          <w:ilvl w:val="0"/>
          <w:numId w:val="6"/>
        </w:numPr>
        <w:tabs>
          <w:tab w:val="clear" w:pos="504"/>
        </w:tabs>
        <w:spacing w:before="0" w:after="0"/>
        <w:rPr>
          <w:b/>
        </w:rPr>
      </w:pPr>
      <w:r>
        <w:rPr>
          <w:b/>
        </w:rPr>
        <w:t xml:space="preserve">Distribution </w:t>
      </w:r>
    </w:p>
    <w:p>
      <w:pPr>
        <w:pStyle w:val="CopyList"/>
        <w:numPr>
          <w:ilvl w:val="1"/>
          <w:numId w:val="12"/>
        </w:numPr>
        <w:tabs>
          <w:tab w:val="clear" w:pos="504"/>
        </w:tabs>
        <w:spacing w:before="0" w:after="0"/>
        <w:rPr>
          <w:b/>
        </w:rPr>
      </w:pPr>
      <w:r>
        <w:rPr>
          <w:b/>
        </w:rPr>
        <w:t>Obligations and Rights</w:t>
      </w:r>
    </w:p>
    <w:p>
      <w:pPr>
        <w:pStyle w:val="CopyList"/>
        <w:tabs>
          <w:tab w:val="clear" w:pos="504"/>
        </w:tabs>
        <w:spacing w:before="0" w:after="0"/>
        <w:ind w:hanging="0" w:start="900" w:end="0"/>
        <w:jc w:val="both"/>
        <w:rPr/>
      </w:pPr>
      <w:r>
        <w:rPr/>
        <w:t>The Distributor may cover part of its contractual obligations for demand of its regulated consumers with self-generation.  The demand of its regulated consumers that remains after deduction the forecasted coverage with self-generation capacity should be covered by purchasing  in the Contract Market.</w:t>
      </w:r>
    </w:p>
    <w:p>
      <w:pPr>
        <w:pStyle w:val="CopyList"/>
        <w:numPr>
          <w:ilvl w:val="1"/>
          <w:numId w:val="21"/>
        </w:numPr>
        <w:tabs>
          <w:tab w:val="clear" w:pos="504"/>
        </w:tabs>
        <w:spacing w:before="0" w:after="0"/>
        <w:rPr>
          <w:b/>
        </w:rPr>
      </w:pPr>
      <w:r>
        <w:rPr>
          <w:b/>
        </w:rPr>
        <w:t>Concession, Permits and Licenses</w:t>
      </w:r>
    </w:p>
    <w:p>
      <w:pPr>
        <w:pStyle w:val="CopyList"/>
        <w:tabs>
          <w:tab w:val="clear" w:pos="504"/>
        </w:tabs>
        <w:spacing w:before="0" w:after="0"/>
        <w:ind w:hanging="0" w:start="993" w:end="0"/>
        <w:rPr/>
      </w:pPr>
      <w:r>
        <w:rPr/>
        <w:t xml:space="preserve">Distribution activities are governed by the concession rule.  The concession—granted by ENTE through a reasoned resolution after the selection of the concessionaire through procedures ensuring free competitions—shall be for 15 years.  Before the term is over, ENTE shall convene a free competitive process for the sale of a block of no less than 51% of the shares of the Concessionaire.  The owner of the this block may participate in the competitive process and may keep this share if its bid is the highest.  </w:t>
      </w:r>
    </w:p>
    <w:p>
      <w:pPr>
        <w:pStyle w:val="CopyList"/>
        <w:numPr>
          <w:ilvl w:val="1"/>
          <w:numId w:val="21"/>
        </w:numPr>
        <w:tabs>
          <w:tab w:val="clear" w:pos="504"/>
        </w:tabs>
        <w:spacing w:before="0" w:after="0"/>
        <w:rPr>
          <w:b/>
        </w:rPr>
      </w:pPr>
      <w:r>
        <w:rPr>
          <w:b/>
        </w:rPr>
        <w:t>Rate Structure</w:t>
      </w:r>
    </w:p>
    <w:p>
      <w:pPr>
        <w:pStyle w:val="CopyList"/>
        <w:tabs>
          <w:tab w:val="clear" w:pos="504"/>
        </w:tabs>
        <w:spacing w:before="0" w:after="0"/>
        <w:ind w:hanging="0" w:start="993" w:end="0"/>
        <w:jc w:val="both"/>
        <w:rPr/>
      </w:pPr>
      <w:r>
        <w:rPr/>
        <w:t>Electric sales to final customers—excluding major customers—shall be compensated without exception through regulated rates.  These rates shall encompass the following components: a) the cost recognized for block purchase of energy, b) costs corresponding to access and usage services of the transmission and distribution networks (Value Added for Distribution, VAD) , and c) the marketing costs and the costs for the integrated operation services.   Commercialization costs will include administration, metering, billing, collecting, and the other permanent services not included in the distribution costs.  It is noteworthy that the lighting charges (covering the costs of the assets, the operation and maintenance and the corresponding consumption of electric energy) shall be applicable to all clients regardless of the provider who supplies the electric energy.</w:t>
      </w:r>
    </w:p>
    <w:p>
      <w:pPr>
        <w:pStyle w:val="CopyList"/>
        <w:numPr>
          <w:ilvl w:val="1"/>
          <w:numId w:val="21"/>
        </w:numPr>
        <w:tabs>
          <w:tab w:val="clear" w:pos="504"/>
        </w:tabs>
        <w:spacing w:before="0" w:after="0"/>
        <w:rPr/>
      </w:pPr>
      <w:r>
        <w:rPr>
          <w:b/>
        </w:rPr>
        <w:t>Rules of Cost Passthrough</w:t>
      </w:r>
    </w:p>
    <w:p>
      <w:pPr>
        <w:pStyle w:val="BodyTextIndent"/>
        <w:rPr/>
      </w:pPr>
      <w:r>
        <w:rPr>
          <w:sz w:val="20"/>
        </w:rPr>
        <w:t>Electricity purchases by the distribution companies shall ensure, through supply contacts, the service to customers served by them directly.  During the first five years of the effectiveness of Law NO. 6 (Feb. 97), the purchases of energy from the Transmission Company shall be remunerated by way of tariffs that reflect the economic costs of the supply.  If the distribution company contracts the block supply of energy with a company other than the Transmission Company, a cost calculated based on the average price of the purchases of energy from the Transmission Company shall be assigned to such contract, for tariff purposes.  As of the 6</w:t>
      </w:r>
      <w:r>
        <w:rPr>
          <w:sz w:val="20"/>
          <w:vertAlign w:val="superscript"/>
        </w:rPr>
        <w:t>th</w:t>
      </w:r>
      <w:r>
        <w:rPr>
          <w:sz w:val="20"/>
        </w:rPr>
        <w:t xml:space="preserve"> year of this Law, the distribution companies shall contract the supply of energy using an openly competitive process that meet the parameters and procedures established by ENTE.  The cost that is recognized for these purchases of block energy shall be the weighted price of the contracts signed by the distributor that are in effect, and the purchases that may be made in the spot market.</w:t>
      </w:r>
    </w:p>
    <w:p>
      <w:pPr>
        <w:pStyle w:val="CopyList"/>
        <w:numPr>
          <w:ilvl w:val="1"/>
          <w:numId w:val="21"/>
        </w:numPr>
        <w:tabs>
          <w:tab w:val="clear" w:pos="504"/>
        </w:tabs>
        <w:spacing w:before="0" w:after="0"/>
        <w:rPr>
          <w:b/>
        </w:rPr>
      </w:pPr>
      <w:r>
        <w:rPr>
          <w:b/>
        </w:rPr>
        <w:t>Price Adjustment Mechanisms</w:t>
      </w:r>
    </w:p>
    <w:p>
      <w:pPr>
        <w:pStyle w:val="Normal"/>
        <w:ind w:start="851" w:end="0"/>
        <w:jc w:val="both"/>
        <w:rPr/>
      </w:pPr>
      <w:r>
        <w:rPr/>
        <w:t>The revenues and charges which are indexed annually to take into consideration the changes in the Consumer Price Index, will be adjusted according to the following formula:</w:t>
      </w:r>
    </w:p>
    <w:p>
      <w:pPr>
        <w:pStyle w:val="Normal"/>
        <w:ind w:start="851" w:end="0"/>
        <w:jc w:val="center"/>
        <w:rPr/>
      </w:pPr>
      <w:r>
        <w:rPr/>
        <w:t>VAD</w:t>
      </w:r>
      <w:r>
        <w:rPr>
          <w:vertAlign w:val="subscript"/>
        </w:rPr>
        <w:t>i</w:t>
      </w:r>
      <w:r>
        <w:rPr/>
        <w:t xml:space="preserve"> = VAD</w:t>
      </w:r>
      <w:r>
        <w:rPr>
          <w:vertAlign w:val="subscript"/>
        </w:rPr>
        <w:t>i-1</w:t>
      </w:r>
      <w:r>
        <w:rPr/>
        <w:t xml:space="preserve"> [0.33 + 0.67(IPC</w:t>
      </w:r>
      <w:r>
        <w:rPr>
          <w:vertAlign w:val="subscript"/>
        </w:rPr>
        <w:t>i-2</w:t>
      </w:r>
      <w:r>
        <w:rPr/>
        <w:t xml:space="preserve"> / IPC</w:t>
      </w:r>
      <w:r>
        <w:rPr>
          <w:vertAlign w:val="subscript"/>
        </w:rPr>
        <w:t>i-3</w:t>
      </w:r>
      <w:r>
        <w:rPr/>
        <w:t>)]</w:t>
      </w:r>
    </w:p>
    <w:p>
      <w:pPr>
        <w:pStyle w:val="Normal"/>
        <w:spacing w:before="0" w:after="0"/>
        <w:ind w:start="851" w:end="0"/>
        <w:jc w:val="both"/>
        <w:rPr/>
      </w:pPr>
      <w:r>
        <w:rPr/>
        <w:t>Where:</w:t>
      </w:r>
    </w:p>
    <w:p>
      <w:pPr>
        <w:pStyle w:val="Normal"/>
        <w:spacing w:before="0" w:after="0"/>
        <w:ind w:start="1701" w:end="0"/>
        <w:jc w:val="both"/>
        <w:rPr/>
      </w:pPr>
      <w:r>
        <w:rPr/>
        <w:t>VADi is the Distribution Value Added during semester i.</w:t>
      </w:r>
    </w:p>
    <w:p>
      <w:pPr>
        <w:pStyle w:val="BodyTextIndent2"/>
        <w:ind w:start="1701" w:end="0"/>
        <w:rPr>
          <w:sz w:val="20"/>
        </w:rPr>
      </w:pPr>
      <w:r>
        <w:rPr>
          <w:sz w:val="20"/>
        </w:rPr>
        <w:t xml:space="preserve">IPCi is the arithmetic average of the Consumer Price Index during semester i, published by an official source.  </w:t>
      </w:r>
    </w:p>
    <w:p>
      <w:pPr>
        <w:pStyle w:val="BodyTextIndent2"/>
        <w:rPr>
          <w:sz w:val="20"/>
        </w:rPr>
      </w:pPr>
      <w:r>
        <w:rPr>
          <w:sz w:val="20"/>
        </w:rPr>
        <w:t xml:space="preserve">The value of the distribution losses will be indexed every six months by the expected electric energy cost index, using the costs forecasts of the same company. </w:t>
      </w:r>
    </w:p>
    <w:p>
      <w:pPr>
        <w:pStyle w:val="BodyTextIndent2"/>
        <w:rPr>
          <w:sz w:val="20"/>
        </w:rPr>
      </w:pPr>
      <w:r>
        <w:rPr>
          <w:sz w:val="20"/>
        </w:rPr>
      </w:r>
    </w:p>
    <w:p>
      <w:pPr>
        <w:pStyle w:val="BodyTextIndent2"/>
        <w:rPr>
          <w:sz w:val="20"/>
        </w:rPr>
      </w:pPr>
      <w:r>
        <w:rPr>
          <w:sz w:val="20"/>
        </w:rPr>
        <w:t>The Marketing charges (including the depreciation, profitability rate and operation and maintenance costs of the permitted marketing revenues) will all be indexed by the number of clients index and the Consumer Price Index (IPC), according to the following formula:</w:t>
      </w:r>
    </w:p>
    <w:p>
      <w:pPr>
        <w:pStyle w:val="Normal"/>
        <w:jc w:val="center"/>
        <w:rPr/>
      </w:pPr>
      <w:r>
        <w:rPr/>
        <w:t>VCO</w:t>
      </w:r>
      <w:r>
        <w:rPr>
          <w:vertAlign w:val="subscript"/>
        </w:rPr>
        <w:t>i</w:t>
      </w:r>
      <w:r>
        <w:rPr/>
        <w:t xml:space="preserve"> = VCO</w:t>
      </w:r>
      <w:r>
        <w:rPr>
          <w:vertAlign w:val="subscript"/>
        </w:rPr>
        <w:t>i-1</w:t>
      </w:r>
      <w:r>
        <w:rPr/>
        <w:t xml:space="preserve"> [0.33 + 0.67(IPC</w:t>
      </w:r>
      <w:r>
        <w:rPr>
          <w:vertAlign w:val="subscript"/>
        </w:rPr>
        <w:t>i-2</w:t>
      </w:r>
      <w:r>
        <w:rPr/>
        <w:t xml:space="preserve"> / IPC</w:t>
      </w:r>
      <w:r>
        <w:rPr>
          <w:vertAlign w:val="subscript"/>
        </w:rPr>
        <w:t>i-3</w:t>
      </w:r>
      <w:r>
        <w:rPr/>
        <w:t>)]</w:t>
      </w:r>
    </w:p>
    <w:p>
      <w:pPr>
        <w:pStyle w:val="Normal"/>
        <w:spacing w:before="0" w:after="0"/>
        <w:ind w:start="851" w:end="0"/>
        <w:jc w:val="both"/>
        <w:rPr/>
      </w:pPr>
      <w:r>
        <w:rPr/>
        <w:t>Where:</w:t>
      </w:r>
    </w:p>
    <w:p>
      <w:pPr>
        <w:pStyle w:val="Normal"/>
        <w:spacing w:before="0" w:after="0"/>
        <w:ind w:start="1701" w:end="0"/>
        <w:jc w:val="both"/>
        <w:rPr/>
      </w:pPr>
      <w:r>
        <w:rPr/>
        <w:t>VCO</w:t>
      </w:r>
      <w:r>
        <w:rPr>
          <w:vertAlign w:val="subscript"/>
        </w:rPr>
        <w:t>i</w:t>
      </w:r>
      <w:r>
        <w:rPr/>
        <w:t xml:space="preserve"> is the value of the marketing costs during semester i.</w:t>
      </w:r>
    </w:p>
    <w:p>
      <w:pPr>
        <w:pStyle w:val="CopyList"/>
        <w:tabs>
          <w:tab w:val="clear" w:pos="504"/>
        </w:tabs>
        <w:spacing w:before="0" w:after="0"/>
        <w:ind w:hanging="0" w:start="450" w:end="0"/>
        <w:rPr/>
      </w:pPr>
      <w:r>
        <w:rPr/>
      </w:r>
    </w:p>
    <w:p>
      <w:pPr>
        <w:pStyle w:val="CopyList"/>
        <w:numPr>
          <w:ilvl w:val="1"/>
          <w:numId w:val="21"/>
        </w:numPr>
        <w:tabs>
          <w:tab w:val="clear" w:pos="504"/>
        </w:tabs>
        <w:spacing w:before="0" w:after="0"/>
        <w:rPr>
          <w:b/>
        </w:rPr>
      </w:pPr>
      <w:r>
        <w:rPr>
          <w:b/>
        </w:rPr>
        <w:t>Tariff Approval Mechanism, Rate Cases and Filings</w:t>
      </w:r>
    </w:p>
    <w:p>
      <w:pPr>
        <w:pStyle w:val="CopyList"/>
        <w:tabs>
          <w:tab w:val="clear" w:pos="504"/>
        </w:tabs>
        <w:spacing w:before="0" w:after="0"/>
        <w:ind w:hanging="0" w:start="450" w:end="0"/>
        <w:rPr>
          <w:b/>
        </w:rPr>
      </w:pPr>
      <w:r>
        <w:rPr>
          <w:b/>
        </w:rPr>
      </w:r>
    </w:p>
    <w:p>
      <w:pPr>
        <w:pStyle w:val="CopyList"/>
        <w:numPr>
          <w:ilvl w:val="1"/>
          <w:numId w:val="21"/>
        </w:numPr>
        <w:tabs>
          <w:tab w:val="clear" w:pos="504"/>
        </w:tabs>
        <w:spacing w:before="0" w:after="0"/>
        <w:rPr>
          <w:b/>
        </w:rPr>
      </w:pPr>
      <w:r>
        <w:rPr>
          <w:b/>
        </w:rPr>
        <w:t>Billing and Curtailment</w:t>
      </w:r>
    </w:p>
    <w:p>
      <w:pPr>
        <w:pStyle w:val="CopyList"/>
        <w:tabs>
          <w:tab w:val="clear" w:pos="504"/>
        </w:tabs>
        <w:spacing w:before="0" w:after="0"/>
        <w:ind w:hanging="0" w:start="450" w:end="0"/>
        <w:rPr/>
      </w:pPr>
      <w:r>
        <w:rPr/>
        <w:t>No public or private natural person or legal entity is exempted from payment.  The distributor is responsible for the collection service from regulated customers.  The distributor shall be authorized to suspend service in the following cases:</w:t>
      </w:r>
    </w:p>
    <w:p>
      <w:pPr>
        <w:pStyle w:val="CopyList"/>
        <w:numPr>
          <w:ilvl w:val="0"/>
          <w:numId w:val="20"/>
        </w:numPr>
        <w:tabs>
          <w:tab w:val="clear" w:pos="504"/>
          <w:tab w:val="left" w:pos="870" w:leader="none"/>
        </w:tabs>
        <w:spacing w:before="0" w:after="0"/>
        <w:ind w:hanging="360" w:start="810" w:end="0"/>
        <w:rPr/>
      </w:pPr>
      <w:r>
        <w:rPr/>
        <w:t>Delay of 60 days or more in the payment of bills</w:t>
      </w:r>
    </w:p>
    <w:p>
      <w:pPr>
        <w:pStyle w:val="CopyList"/>
        <w:numPr>
          <w:ilvl w:val="0"/>
          <w:numId w:val="20"/>
        </w:numPr>
        <w:tabs>
          <w:tab w:val="clear" w:pos="504"/>
          <w:tab w:val="left" w:pos="870" w:leader="none"/>
        </w:tabs>
        <w:spacing w:before="0" w:after="0"/>
        <w:ind w:hanging="360" w:start="810" w:end="0"/>
        <w:rPr/>
      </w:pPr>
      <w:r>
        <w:rPr/>
        <w:t>The use of energy without prior contract or authorization.</w:t>
      </w:r>
    </w:p>
    <w:p>
      <w:pPr>
        <w:pStyle w:val="CopyList"/>
        <w:numPr>
          <w:ilvl w:val="0"/>
          <w:numId w:val="20"/>
        </w:numPr>
        <w:tabs>
          <w:tab w:val="clear" w:pos="504"/>
          <w:tab w:val="left" w:pos="870" w:leader="none"/>
        </w:tabs>
        <w:spacing w:before="0" w:after="0"/>
        <w:ind w:hanging="360" w:start="810" w:end="0"/>
        <w:rPr/>
      </w:pPr>
      <w:r>
        <w:rPr/>
        <w:t xml:space="preserve">Defects in the facilities which endanger the safer of persons or property. </w:t>
      </w:r>
    </w:p>
    <w:p>
      <w:pPr>
        <w:pStyle w:val="CopyList"/>
        <w:numPr>
          <w:ilvl w:val="1"/>
          <w:numId w:val="21"/>
        </w:numPr>
        <w:tabs>
          <w:tab w:val="clear" w:pos="504"/>
        </w:tabs>
        <w:spacing w:before="0" w:after="0"/>
        <w:rPr/>
      </w:pPr>
      <w:r>
        <w:rPr>
          <w:b/>
        </w:rPr>
        <w:t>Open</w:t>
      </w:r>
    </w:p>
    <w:p>
      <w:pPr>
        <w:pStyle w:val="CopyList"/>
        <w:tabs>
          <w:tab w:val="clear" w:pos="504"/>
        </w:tabs>
        <w:spacing w:before="0" w:after="0"/>
        <w:ind w:hanging="0" w:start="450" w:end="0"/>
        <w:rPr/>
      </w:pPr>
      <w:r>
        <w:rPr/>
      </w:r>
    </w:p>
    <w:p>
      <w:pPr>
        <w:pStyle w:val="CopyList"/>
        <w:numPr>
          <w:ilvl w:val="0"/>
          <w:numId w:val="21"/>
        </w:numPr>
        <w:tabs>
          <w:tab w:val="clear" w:pos="504"/>
        </w:tabs>
        <w:spacing w:before="0" w:after="0"/>
        <w:rPr>
          <w:b/>
        </w:rPr>
      </w:pPr>
      <w:r>
        <w:rPr>
          <w:b/>
        </w:rPr>
        <w:t>Isolated systems/Rural Electrification</w:t>
      </w:r>
    </w:p>
    <w:p>
      <w:pPr>
        <w:pStyle w:val="CopyList"/>
        <w:numPr>
          <w:ilvl w:val="1"/>
          <w:numId w:val="19"/>
        </w:numPr>
        <w:tabs>
          <w:tab w:val="clear" w:pos="504"/>
        </w:tabs>
        <w:spacing w:before="0" w:after="0"/>
        <w:rPr>
          <w:b/>
        </w:rPr>
      </w:pPr>
      <w:r>
        <w:rPr>
          <w:b/>
        </w:rPr>
        <w:t>Management of Isolated Systems</w:t>
      </w:r>
    </w:p>
    <w:p>
      <w:pPr>
        <w:pStyle w:val="CopyList"/>
        <w:tabs>
          <w:tab w:val="clear" w:pos="504"/>
        </w:tabs>
        <w:spacing w:before="0" w:after="0"/>
        <w:ind w:hanging="0" w:start="450" w:end="0"/>
        <w:rPr/>
      </w:pPr>
      <w:r>
        <w:rPr/>
        <w:t xml:space="preserve">Electric service in isolated systems with a maximum demand of up to 50 MW may be provided by a single companies in charge of generation, transmission and distribution. </w:t>
      </w:r>
    </w:p>
    <w:p>
      <w:pPr>
        <w:pStyle w:val="CopyList"/>
        <w:numPr>
          <w:ilvl w:val="1"/>
          <w:numId w:val="19"/>
        </w:numPr>
        <w:tabs>
          <w:tab w:val="clear" w:pos="504"/>
        </w:tabs>
        <w:spacing w:before="0" w:after="0"/>
        <w:rPr>
          <w:b/>
        </w:rPr>
      </w:pPr>
      <w:r>
        <w:rPr>
          <w:b/>
        </w:rPr>
        <w:t>Prices for Isolated Systems</w:t>
      </w:r>
    </w:p>
    <w:p>
      <w:pPr>
        <w:pStyle w:val="CopyList"/>
        <w:tabs>
          <w:tab w:val="clear" w:pos="504"/>
        </w:tabs>
        <w:spacing w:before="0" w:after="0"/>
        <w:ind w:hanging="0" w:start="450" w:end="0"/>
        <w:rPr/>
      </w:pPr>
      <w:r>
        <w:rPr/>
        <w:t>The Executive Branch may include in the State General Budget rate subsidies to the consumption of electricity in accordance to the following rules:</w:t>
      </w:r>
    </w:p>
    <w:p>
      <w:pPr>
        <w:pStyle w:val="CopyList"/>
        <w:numPr>
          <w:ilvl w:val="0"/>
          <w:numId w:val="15"/>
        </w:numPr>
        <w:tabs>
          <w:tab w:val="clear" w:pos="504"/>
          <w:tab w:val="left" w:pos="2203" w:leader="none"/>
        </w:tabs>
        <w:spacing w:before="0" w:after="0"/>
        <w:ind w:hanging="360" w:start="810" w:end="0"/>
        <w:rPr/>
      </w:pPr>
      <w:r>
        <w:rPr/>
        <w:t>The type of service subsidized shall be specifically indicated</w:t>
      </w:r>
    </w:p>
    <w:p>
      <w:pPr>
        <w:pStyle w:val="CopyList"/>
        <w:numPr>
          <w:ilvl w:val="0"/>
          <w:numId w:val="15"/>
        </w:numPr>
        <w:tabs>
          <w:tab w:val="clear" w:pos="504"/>
          <w:tab w:val="left" w:pos="2203" w:leader="none"/>
        </w:tabs>
        <w:spacing w:before="0" w:after="0"/>
        <w:ind w:hanging="360" w:start="810" w:end="0"/>
        <w:rPr/>
      </w:pPr>
      <w:r>
        <w:rPr/>
        <w:t>The distributor distributing the subsidy shall be indicated</w:t>
      </w:r>
    </w:p>
    <w:p>
      <w:pPr>
        <w:pStyle w:val="CopyList"/>
        <w:numPr>
          <w:ilvl w:val="0"/>
          <w:numId w:val="15"/>
        </w:numPr>
        <w:tabs>
          <w:tab w:val="clear" w:pos="504"/>
          <w:tab w:val="left" w:pos="2203" w:leader="none"/>
        </w:tabs>
        <w:spacing w:before="0" w:after="0"/>
        <w:ind w:hanging="360" w:start="810" w:end="0"/>
        <w:rPr/>
      </w:pPr>
      <w:r>
        <w:rPr/>
        <w:t>The subsidy shall not exceed the value of the basic or subsistence consumption as defined in the regulation.</w:t>
      </w:r>
    </w:p>
    <w:p>
      <w:pPr>
        <w:pStyle w:val="CopyList"/>
        <w:numPr>
          <w:ilvl w:val="0"/>
          <w:numId w:val="15"/>
        </w:numPr>
        <w:tabs>
          <w:tab w:val="clear" w:pos="504"/>
          <w:tab w:val="left" w:pos="2203" w:leader="none"/>
        </w:tabs>
        <w:spacing w:before="0" w:after="0"/>
        <w:ind w:hanging="360" w:start="810" w:end="0"/>
        <w:rPr/>
      </w:pPr>
      <w:r>
        <w:rPr/>
        <w:t xml:space="preserve">  </w:t>
      </w:r>
      <w:r>
        <w:rPr/>
        <w:t xml:space="preserve">The subsidy shall not exceed 20% of the cost of service. </w:t>
      </w:r>
    </w:p>
    <w:p>
      <w:pPr>
        <w:pStyle w:val="CopyList"/>
        <w:numPr>
          <w:ilvl w:val="1"/>
          <w:numId w:val="19"/>
        </w:numPr>
        <w:tabs>
          <w:tab w:val="clear" w:pos="504"/>
        </w:tabs>
        <w:spacing w:before="0" w:after="0"/>
        <w:rPr/>
      </w:pPr>
      <w:r>
        <w:rPr/>
        <w:t>Open</w:t>
      </w:r>
    </w:p>
    <w:p>
      <w:pPr>
        <w:pStyle w:val="CopyList"/>
        <w:tabs>
          <w:tab w:val="clear" w:pos="504"/>
        </w:tabs>
        <w:spacing w:before="0" w:after="0"/>
        <w:ind w:hanging="0" w:start="450" w:end="0"/>
        <w:rPr/>
      </w:pPr>
      <w:r>
        <w:rPr/>
      </w:r>
    </w:p>
    <w:p>
      <w:pPr>
        <w:pStyle w:val="CopyList"/>
        <w:numPr>
          <w:ilvl w:val="0"/>
          <w:numId w:val="19"/>
        </w:numPr>
        <w:tabs>
          <w:tab w:val="clear" w:pos="504"/>
        </w:tabs>
        <w:spacing w:before="0" w:after="0"/>
        <w:rPr>
          <w:b/>
          <w:color w:val="000000"/>
        </w:rPr>
      </w:pPr>
      <w:r>
        <w:rPr>
          <w:b/>
        </w:rPr>
        <w:t>Marketing Activities.</w:t>
      </w:r>
    </w:p>
    <w:p>
      <w:pPr>
        <w:pStyle w:val="CopyList"/>
        <w:tabs>
          <w:tab w:val="clear" w:pos="504"/>
        </w:tabs>
        <w:spacing w:before="0" w:after="0"/>
        <w:ind w:hanging="0" w:start="450" w:end="0"/>
        <w:rPr/>
      </w:pPr>
      <w:r>
        <w:rPr/>
        <w:t xml:space="preserve">Commercializers in the Panamanian system are: </w:t>
      </w:r>
    </w:p>
    <w:p>
      <w:pPr>
        <w:pStyle w:val="CopyList"/>
        <w:numPr>
          <w:ilvl w:val="0"/>
          <w:numId w:val="10"/>
        </w:numPr>
        <w:tabs>
          <w:tab w:val="clear" w:pos="504"/>
        </w:tabs>
        <w:spacing w:before="0" w:after="0"/>
        <w:ind w:hanging="360" w:start="810" w:end="0"/>
        <w:rPr/>
      </w:pPr>
      <w:r>
        <w:rPr/>
        <w:t xml:space="preserve">Distributors, carrying gout the commercialization activity of their customers. </w:t>
      </w:r>
    </w:p>
    <w:p>
      <w:pPr>
        <w:pStyle w:val="CopyList"/>
        <w:numPr>
          <w:ilvl w:val="0"/>
          <w:numId w:val="10"/>
        </w:numPr>
        <w:tabs>
          <w:tab w:val="clear" w:pos="504"/>
        </w:tabs>
        <w:spacing w:before="0" w:after="0"/>
        <w:ind w:hanging="360" w:start="810" w:end="0"/>
        <w:rPr/>
      </w:pPr>
      <w:r>
        <w:rPr/>
        <w:t>Companies that commercialize consumption in another country that buy in Panama’s Wholesale market</w:t>
      </w:r>
    </w:p>
    <w:p>
      <w:pPr>
        <w:pStyle w:val="CopyList"/>
        <w:numPr>
          <w:ilvl w:val="0"/>
          <w:numId w:val="10"/>
        </w:numPr>
        <w:tabs>
          <w:tab w:val="clear" w:pos="504"/>
        </w:tabs>
        <w:spacing w:before="0" w:after="0"/>
        <w:ind w:hanging="360" w:start="810" w:end="0"/>
        <w:rPr>
          <w:b/>
          <w:color w:val="000000"/>
        </w:rPr>
      </w:pPr>
      <w:r>
        <w:rPr/>
        <w:t xml:space="preserve">Companies that commercialize generation in another country, that sell in Panama’s Wholesale Market.  </w:t>
      </w:r>
    </w:p>
    <w:p>
      <w:pPr>
        <w:pStyle w:val="CopyList"/>
        <w:numPr>
          <w:ilvl w:val="1"/>
          <w:numId w:val="19"/>
        </w:numPr>
        <w:tabs>
          <w:tab w:val="clear" w:pos="504"/>
        </w:tabs>
        <w:spacing w:before="0" w:after="0"/>
        <w:rPr>
          <w:b/>
        </w:rPr>
      </w:pPr>
      <w:r>
        <w:rPr>
          <w:b/>
        </w:rPr>
        <w:t xml:space="preserve">What are the obligations of a marketer? </w:t>
      </w:r>
    </w:p>
    <w:p>
      <w:pPr>
        <w:pStyle w:val="CopyList"/>
        <w:numPr>
          <w:ilvl w:val="1"/>
          <w:numId w:val="19"/>
        </w:numPr>
        <w:tabs>
          <w:tab w:val="clear" w:pos="504"/>
        </w:tabs>
        <w:spacing w:before="0" w:after="0"/>
        <w:rPr>
          <w:b/>
        </w:rPr>
      </w:pPr>
      <w:r>
        <w:rPr>
          <w:b/>
        </w:rPr>
        <w:t xml:space="preserve">What are the rights of the marketer? </w:t>
      </w:r>
    </w:p>
    <w:p>
      <w:pPr>
        <w:pStyle w:val="CopyList"/>
        <w:numPr>
          <w:ilvl w:val="1"/>
          <w:numId w:val="19"/>
        </w:numPr>
        <w:tabs>
          <w:tab w:val="clear" w:pos="504"/>
        </w:tabs>
        <w:spacing w:before="0" w:after="0"/>
        <w:rPr>
          <w:b/>
        </w:rPr>
      </w:pPr>
      <w:r>
        <w:rPr>
          <w:b/>
        </w:rPr>
        <w:t xml:space="preserve">What are the procedures to obtain a marketing license? </w:t>
      </w:r>
    </w:p>
    <w:p>
      <w:pPr>
        <w:pStyle w:val="CopyList"/>
        <w:numPr>
          <w:ilvl w:val="1"/>
          <w:numId w:val="19"/>
        </w:numPr>
        <w:tabs>
          <w:tab w:val="clear" w:pos="504"/>
        </w:tabs>
        <w:spacing w:before="0" w:after="0"/>
        <w:rPr>
          <w:b/>
        </w:rPr>
      </w:pPr>
      <w:r>
        <w:rPr>
          <w:b/>
        </w:rPr>
        <w:t xml:space="preserve">What customers have “choice” for electricity supply? </w:t>
      </w:r>
    </w:p>
    <w:p>
      <w:pPr>
        <w:pStyle w:val="CopyList"/>
        <w:tabs>
          <w:tab w:val="clear" w:pos="504"/>
        </w:tabs>
        <w:spacing w:before="0" w:after="0"/>
        <w:ind w:hanging="0" w:start="851" w:end="0"/>
        <w:rPr/>
      </w:pPr>
      <w:r>
        <w:rPr/>
        <w:t xml:space="preserve">Major customers above 500 kW do have a choice for their supply and are free to negotiate with outer market agents the terms and conditions of service.  These non-regulated transactions shall be subject to payment of charges for the integrated operation service and for the access and use of the corresponding transmission and distribution networks.  These transactions shall also be the subject to payment of the control, monitoring and surveillance fees and to the payment of charges for street lighting.  </w:t>
      </w:r>
    </w:p>
    <w:p>
      <w:pPr>
        <w:pStyle w:val="CopyList"/>
        <w:tabs>
          <w:tab w:val="clear" w:pos="504"/>
        </w:tabs>
        <w:spacing w:before="0" w:after="0"/>
        <w:ind w:hanging="0" w:start="851" w:end="0"/>
        <w:rPr/>
      </w:pPr>
      <w:r>
        <w:rPr/>
      </w:r>
    </w:p>
    <w:p>
      <w:pPr>
        <w:pStyle w:val="CopyList"/>
        <w:keepNext w:val="true"/>
        <w:widowControl w:val="false"/>
        <w:numPr>
          <w:ilvl w:val="0"/>
          <w:numId w:val="19"/>
        </w:numPr>
        <w:tabs>
          <w:tab w:val="clear" w:pos="504"/>
        </w:tabs>
        <w:spacing w:before="0" w:after="0"/>
        <w:rPr>
          <w:b/>
        </w:rPr>
      </w:pPr>
      <w:r>
        <w:rPr>
          <w:b/>
        </w:rPr>
        <w:t>The Wholesale Market Administration</w:t>
      </w:r>
    </w:p>
    <w:p>
      <w:pPr>
        <w:pStyle w:val="Level1"/>
        <w:widowControl/>
        <w:numPr>
          <w:ilvl w:val="0"/>
          <w:numId w:val="0"/>
        </w:numPr>
        <w:tabs>
          <w:tab w:val="left" w:pos="-1440" w:leader="none"/>
          <w:tab w:val="left" w:pos="720" w:leader="none"/>
        </w:tabs>
        <w:ind w:hanging="0" w:start="289" w:end="0"/>
        <w:jc w:val="both"/>
        <w:rPr>
          <w:b/>
          <w:sz w:val="20"/>
        </w:rPr>
      </w:pPr>
      <w:r>
        <w:rPr>
          <w:sz w:val="20"/>
        </w:rPr>
        <w:t>The transmission company’s National Dispatch Center (CND) is responsible for the commercial administration of the Market, and shall perform its activities impartially, complying with the norms and procedures as defined in the Law. All companies operating commercially in the Market, henceforth called Market Participants or Participants, shall comply with the norms established in the present Commercial Volume of the Rules of Operations.</w:t>
      </w:r>
    </w:p>
    <w:p>
      <w:pPr>
        <w:pStyle w:val="CopyList"/>
        <w:numPr>
          <w:ilvl w:val="1"/>
          <w:numId w:val="19"/>
        </w:numPr>
        <w:tabs>
          <w:tab w:val="clear" w:pos="504"/>
        </w:tabs>
        <w:spacing w:before="0" w:after="0"/>
        <w:rPr>
          <w:b/>
        </w:rPr>
      </w:pPr>
      <w:r>
        <w:rPr>
          <w:b/>
        </w:rPr>
        <w:t>The Role of the Wholesale Market Administrator:</w:t>
      </w:r>
    </w:p>
    <w:p>
      <w:pPr>
        <w:pStyle w:val="CopyList"/>
        <w:tabs>
          <w:tab w:val="clear" w:pos="504"/>
        </w:tabs>
        <w:spacing w:before="0" w:after="0"/>
        <w:ind w:hanging="0" w:start="450" w:end="0"/>
        <w:rPr/>
      </w:pPr>
      <w:r>
        <w:rPr/>
        <w:t>The wholesale market administrator (CND) is responsible for the following integrated operations:</w:t>
      </w:r>
    </w:p>
    <w:p>
      <w:pPr>
        <w:pStyle w:val="CopyList"/>
        <w:numPr>
          <w:ilvl w:val="0"/>
          <w:numId w:val="9"/>
        </w:numPr>
        <w:tabs>
          <w:tab w:val="clear" w:pos="504"/>
        </w:tabs>
        <w:spacing w:before="0" w:after="0"/>
        <w:ind w:hanging="360" w:start="1134" w:end="0"/>
        <w:rPr/>
      </w:pPr>
      <w:r>
        <w:rPr/>
        <w:t>Planning the generation, transmission and international interconnection  resources in the interconnected system of safe,, reliable and economical operation.</w:t>
      </w:r>
    </w:p>
    <w:p>
      <w:pPr>
        <w:pStyle w:val="CopyList"/>
        <w:numPr>
          <w:ilvl w:val="0"/>
          <w:numId w:val="9"/>
        </w:numPr>
        <w:tabs>
          <w:tab w:val="clear" w:pos="504"/>
        </w:tabs>
        <w:spacing w:before="0" w:after="0"/>
        <w:ind w:hanging="360" w:start="1134" w:end="0"/>
        <w:rPr/>
      </w:pPr>
      <w:r>
        <w:rPr/>
        <w:t>Carry out the coordination, supervision, control and analysis of the generation and transmission resources</w:t>
      </w:r>
    </w:p>
    <w:p>
      <w:pPr>
        <w:pStyle w:val="CopyList"/>
        <w:numPr>
          <w:ilvl w:val="0"/>
          <w:numId w:val="9"/>
        </w:numPr>
        <w:tabs>
          <w:tab w:val="clear" w:pos="504"/>
        </w:tabs>
        <w:spacing w:before="0" w:after="0"/>
        <w:ind w:hanging="360" w:start="1134" w:end="0"/>
        <w:rPr/>
      </w:pPr>
      <w:r>
        <w:rPr/>
        <w:t>Determine and value the energy and power exchanges resulting from integrated operation of the generation and transmission resources</w:t>
      </w:r>
    </w:p>
    <w:p>
      <w:pPr>
        <w:pStyle w:val="CopyList"/>
        <w:numPr>
          <w:ilvl w:val="0"/>
          <w:numId w:val="9"/>
        </w:numPr>
        <w:tabs>
          <w:tab w:val="clear" w:pos="504"/>
        </w:tabs>
        <w:spacing w:before="0" w:after="0"/>
        <w:ind w:hanging="360" w:start="1134" w:end="0"/>
        <w:rPr/>
      </w:pPr>
      <w:r>
        <w:rPr/>
        <w:t>Coordinate the programming of the maintenance of generation plants and transmission lines.</w:t>
      </w:r>
    </w:p>
    <w:p>
      <w:pPr>
        <w:pStyle w:val="CopyList"/>
        <w:numPr>
          <w:ilvl w:val="0"/>
          <w:numId w:val="9"/>
        </w:numPr>
        <w:tabs>
          <w:tab w:val="clear" w:pos="504"/>
        </w:tabs>
        <w:spacing w:before="0" w:after="0"/>
        <w:ind w:hanging="360" w:start="1134" w:end="0"/>
        <w:rPr/>
      </w:pPr>
      <w:r>
        <w:rPr/>
        <w:t>Apply and interpret the Operational Regulations and report to the ENTE any violations.</w:t>
      </w:r>
    </w:p>
    <w:p>
      <w:pPr>
        <w:pStyle w:val="CopyList"/>
        <w:numPr>
          <w:ilvl w:val="0"/>
          <w:numId w:val="9"/>
        </w:numPr>
        <w:tabs>
          <w:tab w:val="clear" w:pos="504"/>
        </w:tabs>
        <w:spacing w:before="0" w:after="0"/>
        <w:ind w:hanging="360" w:start="1134" w:end="0"/>
        <w:rPr/>
      </w:pPr>
      <w:r>
        <w:rPr/>
        <w:t>Administer the dispatch of contract markets in which the market agents participate.</w:t>
      </w:r>
    </w:p>
    <w:p>
      <w:pPr>
        <w:pStyle w:val="CopyList"/>
        <w:tabs>
          <w:tab w:val="clear" w:pos="504"/>
        </w:tabs>
        <w:spacing w:before="0" w:after="0"/>
        <w:ind w:hanging="0" w:start="450" w:end="0"/>
        <w:rPr>
          <w:b/>
        </w:rPr>
      </w:pPr>
      <w:r>
        <w:rPr>
          <w:b/>
        </w:rPr>
      </w:r>
    </w:p>
    <w:p>
      <w:pPr>
        <w:pStyle w:val="CopyList"/>
        <w:numPr>
          <w:ilvl w:val="1"/>
          <w:numId w:val="19"/>
        </w:numPr>
        <w:tabs>
          <w:tab w:val="clear" w:pos="504"/>
        </w:tabs>
        <w:spacing w:before="0" w:after="0"/>
        <w:rPr>
          <w:b/>
        </w:rPr>
      </w:pPr>
      <w:r>
        <w:rPr>
          <w:b/>
        </w:rPr>
        <w:t>Corporate Structure of the Wholesale Market</w:t>
      </w:r>
    </w:p>
    <w:p>
      <w:pPr>
        <w:pStyle w:val="BodyTextIndent2"/>
        <w:keepLines/>
        <w:rPr>
          <w:sz w:val="20"/>
        </w:rPr>
      </w:pPr>
      <w:r>
        <w:rPr>
          <w:sz w:val="20"/>
        </w:rPr>
        <w:t xml:space="preserve">The CND is an agency of the Transmission Company.  The company shall maintain an adequate accounting separation of the income and costs corresponding to this service. The CND shall have an Operating Committee whose primary duty shall be to consider issues associated with the operation of the Integrated System. This Operating Committee shall have the following representatives:  </w:t>
      </w:r>
    </w:p>
    <w:p>
      <w:pPr>
        <w:pStyle w:val="Normal"/>
        <w:keepLines/>
        <w:numPr>
          <w:ilvl w:val="0"/>
          <w:numId w:val="7"/>
        </w:numPr>
        <w:spacing w:before="0" w:after="0"/>
        <w:ind w:hanging="360" w:start="1843" w:end="0"/>
        <w:jc w:val="both"/>
        <w:rPr/>
      </w:pPr>
      <w:r>
        <w:rPr/>
        <w:t>One representative from CND, who shall preside.</w:t>
      </w:r>
    </w:p>
    <w:p>
      <w:pPr>
        <w:pStyle w:val="Normal"/>
        <w:keepLines/>
        <w:numPr>
          <w:ilvl w:val="0"/>
          <w:numId w:val="7"/>
        </w:numPr>
        <w:spacing w:before="0" w:after="0"/>
        <w:ind w:hanging="360" w:start="1843" w:end="0"/>
        <w:jc w:val="both"/>
        <w:rPr/>
      </w:pPr>
      <w:r>
        <w:rPr/>
        <w:t>One representative for the group of distributing companies.</w:t>
      </w:r>
    </w:p>
    <w:p>
      <w:pPr>
        <w:pStyle w:val="Normal"/>
        <w:keepLines/>
        <w:numPr>
          <w:ilvl w:val="0"/>
          <w:numId w:val="7"/>
        </w:numPr>
        <w:spacing w:before="0" w:after="0"/>
        <w:ind w:hanging="360" w:start="1843" w:end="0"/>
        <w:jc w:val="both"/>
        <w:rPr/>
      </w:pPr>
      <w:r>
        <w:rPr/>
        <w:t>One representative for the transmission companies.</w:t>
      </w:r>
    </w:p>
    <w:p>
      <w:pPr>
        <w:pStyle w:val="Normal"/>
        <w:keepLines/>
        <w:numPr>
          <w:ilvl w:val="0"/>
          <w:numId w:val="7"/>
        </w:numPr>
        <w:spacing w:before="0" w:after="0"/>
        <w:ind w:hanging="360" w:start="1843" w:end="0"/>
        <w:jc w:val="both"/>
        <w:rPr/>
      </w:pPr>
      <w:r>
        <w:rPr/>
        <w:t>One representative for large-scale customers.</w:t>
      </w:r>
    </w:p>
    <w:p>
      <w:pPr>
        <w:pStyle w:val="CopyList"/>
        <w:numPr>
          <w:ilvl w:val="0"/>
          <w:numId w:val="7"/>
        </w:numPr>
        <w:tabs>
          <w:tab w:val="clear" w:pos="504"/>
        </w:tabs>
        <w:spacing w:before="0" w:after="0"/>
        <w:ind w:hanging="360" w:start="1843" w:end="0"/>
        <w:rPr/>
      </w:pPr>
      <w:r>
        <w:rPr/>
        <w:t>One representative for generating companies.</w:t>
      </w:r>
    </w:p>
    <w:p>
      <w:pPr>
        <w:pStyle w:val="Normal"/>
        <w:keepLines/>
        <w:spacing w:before="0" w:after="0"/>
        <w:ind w:start="851" w:end="0"/>
        <w:jc w:val="both"/>
        <w:rPr/>
      </w:pPr>
      <w:r>
        <w:rPr/>
        <w:t>The duties of this Committee include:</w:t>
      </w:r>
    </w:p>
    <w:p>
      <w:pPr>
        <w:pStyle w:val="Normal"/>
        <w:keepLines/>
        <w:numPr>
          <w:ilvl w:val="0"/>
          <w:numId w:val="17"/>
        </w:numPr>
        <w:tabs>
          <w:tab w:val="clear" w:pos="720"/>
        </w:tabs>
        <w:spacing w:before="0" w:after="0"/>
        <w:ind w:hanging="360" w:start="1843" w:end="0"/>
        <w:jc w:val="both"/>
        <w:rPr/>
      </w:pPr>
      <w:r>
        <w:rPr/>
        <w:t>Establishing the governance of internal functioning;</w:t>
      </w:r>
    </w:p>
    <w:p>
      <w:pPr>
        <w:pStyle w:val="Normal"/>
        <w:keepLines/>
        <w:numPr>
          <w:ilvl w:val="0"/>
          <w:numId w:val="2"/>
        </w:numPr>
        <w:spacing w:before="0" w:after="0"/>
        <w:ind w:hanging="357" w:start="1843" w:end="0"/>
        <w:jc w:val="both"/>
        <w:rPr/>
      </w:pPr>
      <w:r>
        <w:rPr/>
        <w:t>Drafting proposals for amendments to the operational regulations;</w:t>
      </w:r>
    </w:p>
    <w:p>
      <w:pPr>
        <w:pStyle w:val="CopyList"/>
        <w:numPr>
          <w:ilvl w:val="0"/>
          <w:numId w:val="2"/>
        </w:numPr>
        <w:tabs>
          <w:tab w:val="clear" w:pos="504"/>
        </w:tabs>
        <w:spacing w:before="0" w:after="0"/>
        <w:ind w:hanging="357" w:start="1843" w:end="0"/>
        <w:rPr/>
      </w:pPr>
      <w:r>
        <w:rPr/>
        <w:t>Interpreting and resolving at the outset conflicts that arise from applying operational regulations.</w:t>
      </w:r>
    </w:p>
    <w:p>
      <w:pPr>
        <w:pStyle w:val="CopyList"/>
        <w:numPr>
          <w:ilvl w:val="1"/>
          <w:numId w:val="19"/>
        </w:numPr>
        <w:tabs>
          <w:tab w:val="clear" w:pos="504"/>
        </w:tabs>
        <w:spacing w:before="0" w:after="0"/>
        <w:rPr>
          <w:b/>
        </w:rPr>
      </w:pPr>
      <w:r>
        <w:rPr>
          <w:b/>
        </w:rPr>
        <w:t>Definitions of the Market Agent:</w:t>
      </w:r>
    </w:p>
    <w:p>
      <w:pPr>
        <w:pStyle w:val="CopyList"/>
        <w:tabs>
          <w:tab w:val="clear" w:pos="504"/>
        </w:tabs>
        <w:spacing w:before="0" w:after="0"/>
        <w:ind w:hanging="0" w:start="900" w:end="0"/>
        <w:jc w:val="both"/>
        <w:rPr/>
      </w:pPr>
      <w:r>
        <w:rPr/>
        <w:t>The following are the market participants that perform commercial operations:</w:t>
      </w:r>
    </w:p>
    <w:p>
      <w:pPr>
        <w:pStyle w:val="CopyList"/>
        <w:numPr>
          <w:ilvl w:val="0"/>
          <w:numId w:val="11"/>
        </w:numPr>
        <w:tabs>
          <w:tab w:val="clear" w:pos="504"/>
          <w:tab w:val="left" w:pos="1418" w:leader="none"/>
        </w:tabs>
        <w:spacing w:before="0" w:after="0"/>
        <w:ind w:hanging="375" w:start="1418" w:end="0"/>
        <w:jc w:val="both"/>
        <w:rPr/>
      </w:pPr>
      <w:r>
        <w:rPr>
          <w:u w:val="single"/>
        </w:rPr>
        <w:t>Consumer Participants representing the electricity consumption:</w:t>
      </w:r>
      <w:r>
        <w:rPr/>
        <w:t xml:space="preserve"> Consists of </w:t>
      </w:r>
      <w:r>
        <w:rPr>
          <w:u w:val="single"/>
        </w:rPr>
        <w:t>Large Clients</w:t>
      </w:r>
      <w:r>
        <w:rPr/>
        <w:t xml:space="preserve"> that opt to buy directly at wholesale market level, </w:t>
      </w:r>
      <w:r>
        <w:rPr>
          <w:u w:val="single"/>
        </w:rPr>
        <w:t>Distributors</w:t>
      </w:r>
      <w:r>
        <w:rPr/>
        <w:t xml:space="preserve"> carrying out the commercialization activity of their customers, the </w:t>
      </w:r>
      <w:r>
        <w:rPr>
          <w:u w:val="single"/>
        </w:rPr>
        <w:t>Principal Buyer</w:t>
      </w:r>
      <w:r>
        <w:rPr/>
        <w:t xml:space="preserve"> (during the initial period), </w:t>
      </w:r>
      <w:r>
        <w:rPr>
          <w:u w:val="single"/>
        </w:rPr>
        <w:t>Local Self-Generators</w:t>
      </w:r>
      <w:r>
        <w:rPr/>
        <w:t xml:space="preserve"> during shortages, Companies that commercialize consumption in another country </w:t>
      </w:r>
      <w:r>
        <w:rPr>
          <w:u w:val="single"/>
        </w:rPr>
        <w:t>(exporters</w:t>
      </w:r>
      <w:r>
        <w:rPr/>
        <w:t>).</w:t>
      </w:r>
    </w:p>
    <w:p>
      <w:pPr>
        <w:pStyle w:val="CopyList"/>
        <w:numPr>
          <w:ilvl w:val="0"/>
          <w:numId w:val="11"/>
        </w:numPr>
        <w:tabs>
          <w:tab w:val="clear" w:pos="504"/>
          <w:tab w:val="left" w:pos="1418" w:leader="none"/>
        </w:tabs>
        <w:spacing w:before="0" w:after="0"/>
        <w:ind w:hanging="375" w:start="1418" w:end="0"/>
        <w:jc w:val="both"/>
        <w:rPr>
          <w:u w:val="single"/>
        </w:rPr>
      </w:pPr>
      <w:r>
        <w:rPr>
          <w:u w:val="single"/>
        </w:rPr>
        <w:t>Producer Participants representing the electricity generation</w:t>
      </w:r>
      <w:r>
        <w:rPr/>
        <w:t xml:space="preserve">: Consist of </w:t>
      </w:r>
      <w:r>
        <w:rPr>
          <w:u w:val="single"/>
        </w:rPr>
        <w:t>Generators</w:t>
      </w:r>
      <w:r>
        <w:rPr/>
        <w:t xml:space="preserve"> located in Panama, </w:t>
      </w:r>
      <w:r>
        <w:rPr>
          <w:u w:val="single"/>
        </w:rPr>
        <w:t>Local Self Generators</w:t>
      </w:r>
      <w:r>
        <w:rPr/>
        <w:t xml:space="preserve"> for selling surpluses, Companies that commercialize generation in other countries (</w:t>
      </w:r>
      <w:r>
        <w:rPr>
          <w:u w:val="single"/>
        </w:rPr>
        <w:t>importers</w:t>
      </w:r>
      <w:r>
        <w:rPr/>
        <w:t>).</w:t>
      </w:r>
    </w:p>
    <w:p>
      <w:pPr>
        <w:pStyle w:val="CopyList"/>
        <w:numPr>
          <w:ilvl w:val="0"/>
          <w:numId w:val="11"/>
        </w:numPr>
        <w:tabs>
          <w:tab w:val="clear" w:pos="504"/>
          <w:tab w:val="left" w:pos="1418" w:leader="none"/>
        </w:tabs>
        <w:spacing w:before="0" w:after="0"/>
        <w:ind w:hanging="375" w:start="1418" w:end="0"/>
        <w:jc w:val="both"/>
        <w:rPr>
          <w:b/>
        </w:rPr>
      </w:pPr>
      <w:r>
        <w:rPr>
          <w:u w:val="single"/>
        </w:rPr>
        <w:t>The Transmission Company:</w:t>
      </w:r>
      <w:r>
        <w:rPr/>
        <w:t xml:space="preserve"> The Transmission company that offers transmission services to the network through regulated tariffs.</w:t>
      </w:r>
    </w:p>
    <w:p>
      <w:pPr>
        <w:pStyle w:val="CopyList"/>
        <w:numPr>
          <w:ilvl w:val="1"/>
          <w:numId w:val="19"/>
        </w:numPr>
        <w:tabs>
          <w:tab w:val="clear" w:pos="504"/>
        </w:tabs>
        <w:spacing w:before="0" w:after="0"/>
        <w:rPr>
          <w:b/>
        </w:rPr>
      </w:pPr>
      <w:r>
        <w:rPr>
          <w:b/>
        </w:rPr>
        <w:t>Guarantees of Participation</w:t>
      </w:r>
    </w:p>
    <w:p>
      <w:pPr>
        <w:pStyle w:val="CopyList"/>
        <w:tabs>
          <w:tab w:val="clear" w:pos="504"/>
        </w:tabs>
        <w:spacing w:before="0" w:after="0"/>
        <w:ind w:hanging="0" w:start="851" w:end="0"/>
        <w:rPr/>
      </w:pPr>
      <w:r>
        <w:rPr/>
        <w:t>None</w:t>
      </w:r>
    </w:p>
    <w:p>
      <w:pPr>
        <w:pStyle w:val="CopyList"/>
        <w:numPr>
          <w:ilvl w:val="1"/>
          <w:numId w:val="19"/>
        </w:numPr>
        <w:tabs>
          <w:tab w:val="clear" w:pos="504"/>
        </w:tabs>
        <w:spacing w:before="0" w:after="0"/>
        <w:rPr>
          <w:b/>
        </w:rPr>
      </w:pPr>
      <w:r>
        <w:rPr>
          <w:b/>
        </w:rPr>
        <w:t>Rights and Obligations of the Agents</w:t>
      </w:r>
    </w:p>
    <w:p>
      <w:pPr>
        <w:pStyle w:val="CopyList"/>
        <w:numPr>
          <w:ilvl w:val="2"/>
          <w:numId w:val="19"/>
        </w:numPr>
        <w:tabs>
          <w:tab w:val="clear" w:pos="504"/>
        </w:tabs>
        <w:spacing w:before="0" w:after="0"/>
        <w:rPr>
          <w:b/>
        </w:rPr>
      </w:pPr>
      <w:r>
        <w:rPr>
          <w:b/>
        </w:rPr>
        <w:t>Obligations:</w:t>
      </w:r>
    </w:p>
    <w:p>
      <w:pPr>
        <w:pStyle w:val="CopyList"/>
        <w:numPr>
          <w:ilvl w:val="0"/>
          <w:numId w:val="11"/>
        </w:numPr>
        <w:tabs>
          <w:tab w:val="clear" w:pos="504"/>
        </w:tabs>
        <w:spacing w:before="0" w:after="0"/>
        <w:ind w:hanging="450" w:start="1350" w:end="0"/>
        <w:jc w:val="both"/>
        <w:rPr/>
      </w:pPr>
      <w:r>
        <w:rPr>
          <w:u w:val="single"/>
        </w:rPr>
        <w:t>Transmitters:</w:t>
      </w:r>
      <w:r>
        <w:rPr/>
        <w:t xml:space="preserve"> May only transact in the purchasing and selling of electricity to third parties as a Principal Buyer and in the spot importation and exportation in the Integrated Operations of the CND.  Theses services will be offered with impartiality and transparency without producing either revenue or losses.</w:t>
      </w:r>
    </w:p>
    <w:p>
      <w:pPr>
        <w:pStyle w:val="CopyList"/>
        <w:numPr>
          <w:ilvl w:val="0"/>
          <w:numId w:val="11"/>
        </w:numPr>
        <w:tabs>
          <w:tab w:val="clear" w:pos="504"/>
        </w:tabs>
        <w:spacing w:before="0" w:after="0"/>
        <w:ind w:hanging="450" w:start="1350" w:end="0"/>
        <w:jc w:val="both"/>
        <w:rPr>
          <w:u w:val="single"/>
        </w:rPr>
      </w:pPr>
      <w:r>
        <w:rPr>
          <w:u w:val="single"/>
        </w:rPr>
        <w:t>Distributors</w:t>
      </w:r>
      <w:r>
        <w:rPr/>
        <w:t>:  Shall fulfill the obligation to contract as established by the Law, through self-generation and/or by purchasing in the Contract Market.</w:t>
      </w:r>
    </w:p>
    <w:p>
      <w:pPr>
        <w:pStyle w:val="CopyList"/>
        <w:numPr>
          <w:ilvl w:val="0"/>
          <w:numId w:val="11"/>
        </w:numPr>
        <w:tabs>
          <w:tab w:val="clear" w:pos="504"/>
        </w:tabs>
        <w:spacing w:before="0" w:after="0"/>
        <w:ind w:hanging="450" w:start="1350" w:end="0"/>
        <w:jc w:val="both"/>
        <w:rPr>
          <w:u w:val="single"/>
        </w:rPr>
      </w:pPr>
      <w:r>
        <w:rPr>
          <w:u w:val="single"/>
        </w:rPr>
        <w:t>Producers:</w:t>
      </w:r>
      <w:r>
        <w:rPr/>
        <w:t xml:space="preserve">  May sell, by contract or in the Spot Market, power and/or energy, self or contracted by third parties, and buy, by contract or in the spot Market, power and energy shortages according to their contracted commitments.  However, Distributor with self-generation may not sell it by contract to other Participants.  In such case, they may opt for either self-dispatching or having the CND dispatch them.</w:t>
      </w:r>
    </w:p>
    <w:p>
      <w:pPr>
        <w:pStyle w:val="CopyList"/>
        <w:numPr>
          <w:ilvl w:val="0"/>
          <w:numId w:val="11"/>
        </w:numPr>
        <w:tabs>
          <w:tab w:val="clear" w:pos="504"/>
        </w:tabs>
        <w:spacing w:before="0" w:after="0"/>
        <w:ind w:hanging="450" w:start="1350" w:end="0"/>
        <w:jc w:val="both"/>
        <w:rPr>
          <w:u w:val="single"/>
        </w:rPr>
      </w:pPr>
      <w:r>
        <w:rPr>
          <w:u w:val="single"/>
        </w:rPr>
        <w:t>Consumers</w:t>
      </w:r>
      <w:r>
        <w:rPr/>
        <w:t>: May buy, by contract or in the Spot Market, its power demand and energy consumption, and may sell, by contract or in the Spot Market, the remaining power and  energy according to their contracted commitments.</w:t>
      </w:r>
    </w:p>
    <w:p>
      <w:pPr>
        <w:pStyle w:val="CopyList"/>
        <w:numPr>
          <w:ilvl w:val="0"/>
          <w:numId w:val="11"/>
        </w:numPr>
        <w:tabs>
          <w:tab w:val="clear" w:pos="504"/>
        </w:tabs>
        <w:spacing w:before="0" w:after="0"/>
        <w:ind w:hanging="450" w:start="1350" w:end="0"/>
        <w:jc w:val="both"/>
        <w:rPr>
          <w:u w:val="single"/>
        </w:rPr>
      </w:pPr>
      <w:r>
        <w:rPr>
          <w:u w:val="single"/>
        </w:rPr>
        <w:t>Self-Generators and Co-Generators</w:t>
      </w:r>
      <w:r>
        <w:rPr/>
        <w:t>: May sell surpluses and buy shortages as back-up services.  Whenever a Self-Generator buys/sells in the Market, the CND should consider it as a Consumer Participant/Producer Participant.</w:t>
      </w:r>
    </w:p>
    <w:p>
      <w:pPr>
        <w:pStyle w:val="CopyList"/>
        <w:numPr>
          <w:ilvl w:val="2"/>
          <w:numId w:val="19"/>
        </w:numPr>
        <w:tabs>
          <w:tab w:val="clear" w:pos="504"/>
        </w:tabs>
        <w:spacing w:before="0" w:after="0"/>
        <w:rPr>
          <w:b/>
        </w:rPr>
      </w:pPr>
      <w:r>
        <w:rPr>
          <w:b/>
        </w:rPr>
        <w:t>Rights:</w:t>
      </w:r>
    </w:p>
    <w:p>
      <w:pPr>
        <w:pStyle w:val="CopyList"/>
        <w:tabs>
          <w:tab w:val="clear" w:pos="504"/>
        </w:tabs>
        <w:spacing w:before="0" w:after="0"/>
        <w:ind w:hanging="0" w:start="851" w:end="0"/>
        <w:jc w:val="both"/>
        <w:rPr/>
      </w:pPr>
      <w:r>
        <w:rPr/>
        <w:t xml:space="preserve">Electricity generation companies and those operating transmission and distribution networks are responsible for supplying and the have the right to receive in a timely and accurate fashion the information required for the integrated operation of the national interconnected system. </w:t>
      </w:r>
    </w:p>
    <w:p>
      <w:pPr>
        <w:pStyle w:val="CopyList"/>
        <w:numPr>
          <w:ilvl w:val="1"/>
          <w:numId w:val="19"/>
        </w:numPr>
        <w:tabs>
          <w:tab w:val="clear" w:pos="504"/>
        </w:tabs>
        <w:spacing w:before="0" w:after="0"/>
        <w:rPr>
          <w:b/>
        </w:rPr>
      </w:pPr>
      <w:r>
        <w:rPr>
          <w:b/>
        </w:rPr>
        <w:t>Products and Services of the Wholesale Market:</w:t>
      </w:r>
    </w:p>
    <w:p>
      <w:pPr>
        <w:pStyle w:val="Normal"/>
        <w:tabs>
          <w:tab w:val="clear" w:pos="720"/>
          <w:tab w:val="left" w:pos="-1440" w:leader="none"/>
        </w:tabs>
        <w:spacing w:before="0" w:after="0"/>
        <w:ind w:start="851" w:end="0"/>
        <w:jc w:val="both"/>
        <w:rPr/>
      </w:pPr>
      <w:r>
        <w:rPr/>
        <w:t xml:space="preserve">The products that are bought and sold through the </w:t>
      </w:r>
      <w:r>
        <w:rPr>
          <w:u w:val="single"/>
        </w:rPr>
        <w:t>Contract and Spot markets</w:t>
      </w:r>
      <w:r>
        <w:rPr/>
        <w:t xml:space="preserve"> are:</w:t>
      </w:r>
    </w:p>
    <w:p>
      <w:pPr>
        <w:pStyle w:val="Level3"/>
        <w:widowControl/>
        <w:numPr>
          <w:ilvl w:val="0"/>
          <w:numId w:val="8"/>
        </w:numPr>
        <w:tabs>
          <w:tab w:val="clear" w:pos="720"/>
          <w:tab w:val="left" w:pos="-1440" w:leader="none"/>
          <w:tab w:val="left" w:pos="1545" w:leader="none"/>
          <w:tab w:val="left" w:pos="2160" w:leader="none"/>
        </w:tabs>
        <w:ind w:hanging="360" w:start="1545" w:end="0"/>
        <w:jc w:val="both"/>
        <w:rPr>
          <w:sz w:val="20"/>
        </w:rPr>
      </w:pPr>
      <w:r>
        <w:rPr>
          <w:sz w:val="20"/>
        </w:rPr>
        <w:t>Energy</w:t>
      </w:r>
    </w:p>
    <w:p>
      <w:pPr>
        <w:pStyle w:val="Level3"/>
        <w:widowControl/>
        <w:numPr>
          <w:ilvl w:val="0"/>
          <w:numId w:val="8"/>
        </w:numPr>
        <w:tabs>
          <w:tab w:val="clear" w:pos="720"/>
          <w:tab w:val="left" w:pos="-1440" w:leader="none"/>
          <w:tab w:val="left" w:pos="1545" w:leader="none"/>
          <w:tab w:val="left" w:pos="2160" w:leader="none"/>
        </w:tabs>
        <w:ind w:hanging="360" w:start="1545" w:end="0"/>
        <w:jc w:val="both"/>
        <w:rPr>
          <w:sz w:val="20"/>
        </w:rPr>
      </w:pPr>
      <w:r>
        <w:rPr>
          <w:sz w:val="20"/>
        </w:rPr>
        <w:t>Power</w:t>
      </w:r>
    </w:p>
    <w:p>
      <w:pPr>
        <w:pStyle w:val="Normal"/>
        <w:tabs>
          <w:tab w:val="clear" w:pos="720"/>
          <w:tab w:val="left" w:pos="-1440" w:leader="none"/>
        </w:tabs>
        <w:spacing w:before="0" w:after="0"/>
        <w:ind w:hanging="12" w:start="851" w:end="0"/>
        <w:jc w:val="both"/>
        <w:rPr/>
      </w:pPr>
      <w:r>
        <w:rPr/>
        <w:t>The services supplied in the Wholesale Market are:</w:t>
      </w:r>
    </w:p>
    <w:p>
      <w:pPr>
        <w:pStyle w:val="Level1"/>
        <w:widowControl/>
        <w:numPr>
          <w:ilvl w:val="0"/>
          <w:numId w:val="0"/>
        </w:numPr>
        <w:tabs>
          <w:tab w:val="clear" w:pos="720"/>
          <w:tab w:val="left" w:pos="-1440" w:leader="none"/>
          <w:tab w:val="left" w:pos="360" w:leader="none"/>
          <w:tab w:val="left" w:pos="993" w:leader="none"/>
        </w:tabs>
        <w:ind w:hanging="0" w:start="851" w:end="0"/>
        <w:jc w:val="both"/>
        <w:rPr/>
      </w:pPr>
      <w:r>
        <w:rPr>
          <w:b/>
          <w:sz w:val="20"/>
        </w:rPr>
        <w:t>Transmission Services</w:t>
      </w:r>
      <w:r>
        <w:rPr>
          <w:sz w:val="20"/>
        </w:rPr>
        <w:t>: It is the use of the transmission network, with open access and regulated tariffs.</w:t>
      </w:r>
    </w:p>
    <w:p>
      <w:pPr>
        <w:pStyle w:val="Level1"/>
        <w:widowControl/>
        <w:numPr>
          <w:ilvl w:val="0"/>
          <w:numId w:val="0"/>
        </w:numPr>
        <w:tabs>
          <w:tab w:val="clear" w:pos="720"/>
          <w:tab w:val="left" w:pos="-1440" w:leader="none"/>
          <w:tab w:val="left" w:pos="360" w:leader="none"/>
          <w:tab w:val="left" w:pos="2160" w:leader="none"/>
        </w:tabs>
        <w:ind w:hanging="0" w:start="851" w:end="0"/>
        <w:jc w:val="both"/>
        <w:rPr/>
      </w:pPr>
      <w:r>
        <w:rPr>
          <w:b/>
          <w:sz w:val="20"/>
        </w:rPr>
        <w:t>Network Ancillary Services</w:t>
      </w:r>
      <w:r>
        <w:rPr>
          <w:sz w:val="20"/>
        </w:rPr>
        <w:t>: They are the services required by technical and operative reasons to operate the network with quality and reliability.</w:t>
      </w:r>
    </w:p>
    <w:p>
      <w:pPr>
        <w:pStyle w:val="Normal"/>
        <w:tabs>
          <w:tab w:val="clear" w:pos="720"/>
          <w:tab w:val="left" w:pos="-1440" w:leader="none"/>
        </w:tabs>
        <w:spacing w:before="0" w:after="0"/>
        <w:ind w:hanging="12" w:start="851" w:end="0"/>
        <w:jc w:val="both"/>
        <w:rPr/>
      </w:pPr>
      <w:r>
        <w:rPr>
          <w:b/>
        </w:rPr>
        <w:t>Integrated Operation and Commercial Administration Services</w:t>
      </w:r>
      <w:r>
        <w:rPr/>
        <w:t xml:space="preserve">: It is the service of dispatching, operation, coordination and commercial administration assigned to the CND. </w:t>
      </w:r>
      <w:r>
        <w:rPr>
          <w:b/>
        </w:rPr>
        <w:t>Principal Buyer Services</w:t>
      </w:r>
      <w:r>
        <w:rPr/>
        <w:t xml:space="preserve">: Administrative and commercial intermediary services till the year 2002 to perform aggregating the demand that the Distributors need to contract.  </w:t>
      </w:r>
    </w:p>
    <w:p>
      <w:pPr>
        <w:pStyle w:val="Normal"/>
        <w:tabs>
          <w:tab w:val="clear" w:pos="720"/>
          <w:tab w:val="left" w:pos="-1440" w:leader="none"/>
        </w:tabs>
        <w:spacing w:before="0" w:after="0"/>
        <w:jc w:val="both"/>
        <w:rPr/>
      </w:pPr>
      <w:r>
        <w:rPr/>
      </w:r>
    </w:p>
    <w:p>
      <w:pPr>
        <w:pStyle w:val="Normal"/>
        <w:numPr>
          <w:ilvl w:val="0"/>
          <w:numId w:val="3"/>
        </w:numPr>
        <w:tabs>
          <w:tab w:val="clear" w:pos="720"/>
          <w:tab w:val="left" w:pos="-1440" w:leader="none"/>
          <w:tab w:val="left" w:pos="1276" w:leader="none"/>
        </w:tabs>
        <w:spacing w:before="0" w:after="0"/>
        <w:ind w:hanging="360" w:start="1276" w:end="0"/>
        <w:jc w:val="both"/>
        <w:rPr/>
      </w:pPr>
      <w:r>
        <w:rPr>
          <w:b/>
          <w:u w:val="single"/>
        </w:rPr>
        <w:t>The Contract Market</w:t>
      </w:r>
      <w:r>
        <w:rPr/>
        <w:t xml:space="preserve"> is the environment where the medium and long term commercial transactions take place at negotiated prices, terms and conditions of service. These contracts shall guarantee supply for the power they purchase. </w:t>
      </w:r>
    </w:p>
    <w:p>
      <w:pPr>
        <w:pStyle w:val="Normal"/>
        <w:numPr>
          <w:ilvl w:val="0"/>
          <w:numId w:val="3"/>
        </w:numPr>
        <w:tabs>
          <w:tab w:val="clear" w:pos="720"/>
          <w:tab w:val="left" w:pos="-1440" w:leader="none"/>
          <w:tab w:val="left" w:pos="1276" w:leader="none"/>
        </w:tabs>
        <w:spacing w:before="0" w:after="0"/>
        <w:ind w:hanging="360" w:start="1276" w:end="0"/>
        <w:jc w:val="both"/>
        <w:rPr/>
      </w:pPr>
      <w:r>
        <w:rPr>
          <w:b/>
          <w:u w:val="single"/>
        </w:rPr>
        <w:t>The Spot Market</w:t>
      </w:r>
      <w:r>
        <w:rPr/>
        <w:t xml:space="preserve"> is the environment where short term energy commercial transactions take place, allowing to clear the surpluses and shortages that arise as a consequence from the difference between contractual commitments and actual consumption and generation.</w:t>
      </w:r>
    </w:p>
    <w:p>
      <w:pPr>
        <w:pStyle w:val="CopyList"/>
        <w:numPr>
          <w:ilvl w:val="2"/>
          <w:numId w:val="19"/>
        </w:numPr>
        <w:tabs>
          <w:tab w:val="clear" w:pos="504"/>
        </w:tabs>
        <w:spacing w:before="0" w:after="0"/>
        <w:rPr>
          <w:b/>
        </w:rPr>
      </w:pPr>
      <w:r>
        <w:rPr>
          <w:b/>
        </w:rPr>
        <w:t>Capacity:</w:t>
      </w:r>
    </w:p>
    <w:p>
      <w:pPr>
        <w:pStyle w:val="Normal"/>
        <w:numPr>
          <w:ilvl w:val="0"/>
          <w:numId w:val="14"/>
        </w:numPr>
        <w:tabs>
          <w:tab w:val="clear" w:pos="720"/>
          <w:tab w:val="left" w:pos="-1440" w:leader="none"/>
          <w:tab w:val="left" w:pos="1276" w:leader="none"/>
        </w:tabs>
        <w:ind w:hanging="360" w:start="1276" w:end="0"/>
        <w:jc w:val="both"/>
        <w:rPr>
          <w:sz w:val="22"/>
        </w:rPr>
      </w:pPr>
      <w:r>
        <w:rPr/>
        <w:t>The Market Contract is the group of contracts between Market Participants.  These contracts may not establish a bilateral physical interchange altering the economic dispatch.  Any minimum obligatory purchases (take or pay) shall be taken into consideration with regards to the load dispatches by the CND.  However, exports and imports shall establish a physical commitment to interchanges in the interconnection.</w:t>
      </w:r>
    </w:p>
    <w:p>
      <w:pPr>
        <w:pStyle w:val="Normal"/>
        <w:numPr>
          <w:ilvl w:val="0"/>
          <w:numId w:val="14"/>
        </w:numPr>
        <w:tabs>
          <w:tab w:val="clear" w:pos="720"/>
          <w:tab w:val="left" w:pos="-1440" w:leader="none"/>
          <w:tab w:val="left" w:pos="1276" w:leader="none"/>
        </w:tabs>
        <w:ind w:hanging="360" w:start="1276" w:end="0"/>
        <w:jc w:val="both"/>
        <w:rPr>
          <w:color w:val="FF0000"/>
        </w:rPr>
      </w:pPr>
      <w:r>
        <w:rPr>
          <w:color w:val="FF0000"/>
        </w:rPr>
        <w:t xml:space="preserve">A Producer Participant may sell by contract power and energy as long as it has back up (reserve) generation, either with its own generating units or with generation contracted from other Producer Participants.  These supply contracts guarantee the customer supply and price.  </w:t>
      </w:r>
    </w:p>
    <w:p>
      <w:pPr>
        <w:pStyle w:val="Level1"/>
        <w:widowControl/>
        <w:numPr>
          <w:ilvl w:val="0"/>
          <w:numId w:val="0"/>
        </w:numPr>
        <w:tabs>
          <w:tab w:val="clear" w:pos="720"/>
          <w:tab w:val="left" w:pos="-1440" w:leader="none"/>
          <w:tab w:val="left" w:pos="360" w:leader="none"/>
          <w:tab w:val="left" w:pos="2160" w:leader="none"/>
        </w:tabs>
        <w:ind w:hanging="360" w:start="360" w:end="0"/>
        <w:jc w:val="both"/>
        <w:rPr>
          <w:color w:val="FF0000"/>
          <w:sz w:val="20"/>
        </w:rPr>
      </w:pPr>
      <w:r>
        <w:rPr>
          <w:color w:val="FF0000"/>
          <w:sz w:val="20"/>
        </w:rPr>
        <w:t xml:space="preserve">Reserve Contracts, to sell energy and power from one Producer Participant to another Producer Participant.  </w:t>
      </w:r>
    </w:p>
    <w:p>
      <w:pPr>
        <w:pStyle w:val="Normal"/>
        <w:spacing w:before="0" w:after="0"/>
        <w:jc w:val="both"/>
        <w:rPr>
          <w:color w:val="FF0000"/>
          <w:sz w:val="20"/>
        </w:rPr>
      </w:pPr>
      <w:r>
        <w:rPr>
          <w:color w:val="FF0000"/>
          <w:sz w:val="20"/>
        </w:rPr>
      </w:r>
    </w:p>
    <w:p>
      <w:pPr>
        <w:pStyle w:val="Normal"/>
        <w:tabs>
          <w:tab w:val="clear" w:pos="720"/>
          <w:tab w:val="left" w:pos="-1440" w:leader="none"/>
        </w:tabs>
        <w:spacing w:before="0" w:after="0"/>
        <w:ind w:hanging="720" w:start="720" w:end="0"/>
        <w:jc w:val="both"/>
        <w:rPr>
          <w:color w:val="FF0000"/>
        </w:rPr>
      </w:pPr>
      <w:r>
        <w:rPr>
          <w:color w:val="FF0000"/>
        </w:rPr>
        <w:t>4.3.1.2.</w:t>
        <w:tab/>
        <w:t>There are two types of contracts, according to where the parties are located:</w:t>
      </w:r>
    </w:p>
    <w:p>
      <w:pPr>
        <w:pStyle w:val="Normal"/>
        <w:spacing w:before="0" w:after="0"/>
        <w:jc w:val="both"/>
        <w:rPr>
          <w:color w:val="FF0000"/>
        </w:rPr>
      </w:pPr>
      <w:r>
        <w:rPr>
          <w:color w:val="FF0000"/>
        </w:rPr>
      </w:r>
    </w:p>
    <w:p>
      <w:pPr>
        <w:pStyle w:val="Level3"/>
        <w:widowControl/>
        <w:numPr>
          <w:ilvl w:val="0"/>
          <w:numId w:val="0"/>
        </w:numPr>
        <w:tabs>
          <w:tab w:val="clear" w:pos="720"/>
          <w:tab w:val="left" w:pos="-1440" w:leader="none"/>
          <w:tab w:val="left" w:pos="360" w:leader="none"/>
          <w:tab w:val="left" w:pos="2160" w:leader="none"/>
        </w:tabs>
        <w:ind w:hanging="360" w:start="360" w:end="0"/>
        <w:jc w:val="both"/>
        <w:rPr>
          <w:color w:val="FF0000"/>
          <w:sz w:val="20"/>
        </w:rPr>
      </w:pPr>
      <w:r>
        <w:rPr>
          <w:color w:val="FF0000"/>
          <w:sz w:val="20"/>
        </w:rPr>
        <w:t>Domestic contracts, in which both parties are Domestic Participants, and in which the generation and/or delivery nodes are located in Panama.</w:t>
      </w:r>
    </w:p>
    <w:p>
      <w:pPr>
        <w:pStyle w:val="Normal"/>
        <w:spacing w:before="0" w:after="0"/>
        <w:jc w:val="both"/>
        <w:rPr>
          <w:color w:val="FF0000"/>
          <w:sz w:val="20"/>
        </w:rPr>
      </w:pPr>
      <w:r>
        <w:rPr>
          <w:color w:val="FF0000"/>
          <w:sz w:val="20"/>
        </w:rPr>
      </w:r>
    </w:p>
    <w:p>
      <w:pPr>
        <w:pStyle w:val="Normal"/>
        <w:numPr>
          <w:ilvl w:val="0"/>
          <w:numId w:val="23"/>
        </w:numPr>
        <w:tabs>
          <w:tab w:val="clear" w:pos="720"/>
          <w:tab w:val="left" w:pos="-1440" w:leader="none"/>
          <w:tab w:val="left" w:pos="1276" w:leader="none"/>
        </w:tabs>
        <w:ind w:hanging="360" w:start="1276" w:end="0"/>
        <w:jc w:val="both"/>
        <w:rPr>
          <w:color w:val="FF0000"/>
        </w:rPr>
      </w:pPr>
      <w:r>
        <w:rPr>
          <w:color w:val="FF0000"/>
        </w:rPr>
      </w:r>
    </w:p>
    <w:p>
      <w:pPr>
        <w:pStyle w:val="Normal"/>
        <w:tabs>
          <w:tab w:val="clear" w:pos="720"/>
          <w:tab w:val="left" w:pos="-1440" w:leader="none"/>
        </w:tabs>
        <w:spacing w:before="0" w:after="0"/>
        <w:jc w:val="both"/>
        <w:rPr>
          <w:b/>
          <w:color w:val="FF0000"/>
        </w:rPr>
      </w:pPr>
      <w:r>
        <w:rPr>
          <w:b/>
          <w:color w:val="FF0000"/>
        </w:rPr>
      </w:r>
    </w:p>
    <w:p>
      <w:pPr>
        <w:pStyle w:val="CopyList"/>
        <w:numPr>
          <w:ilvl w:val="2"/>
          <w:numId w:val="19"/>
        </w:numPr>
        <w:tabs>
          <w:tab w:val="clear" w:pos="504"/>
        </w:tabs>
        <w:spacing w:before="0" w:after="0"/>
        <w:rPr>
          <w:b/>
        </w:rPr>
      </w:pPr>
      <w:r>
        <w:rPr>
          <w:b/>
        </w:rPr>
        <w:t>Energy</w:t>
      </w:r>
    </w:p>
    <w:p>
      <w:pPr>
        <w:pStyle w:val="Normal"/>
        <w:numPr>
          <w:ilvl w:val="0"/>
          <w:numId w:val="23"/>
        </w:numPr>
        <w:tabs>
          <w:tab w:val="clear" w:pos="720"/>
          <w:tab w:val="left" w:pos="-1440" w:leader="none"/>
          <w:tab w:val="left" w:pos="1276" w:leader="none"/>
        </w:tabs>
        <w:ind w:hanging="360" w:start="1276" w:end="0"/>
        <w:jc w:val="both"/>
        <w:rPr/>
      </w:pPr>
      <w:r>
        <w:rPr>
          <w:b/>
        </w:rPr>
      </w:r>
    </w:p>
    <w:p>
      <w:pPr>
        <w:pStyle w:val="CopyList"/>
        <w:numPr>
          <w:ilvl w:val="2"/>
          <w:numId w:val="19"/>
        </w:numPr>
        <w:tabs>
          <w:tab w:val="clear" w:pos="504"/>
        </w:tabs>
        <w:spacing w:before="0" w:after="0"/>
        <w:rPr>
          <w:b/>
        </w:rPr>
      </w:pPr>
      <w:r>
        <w:rPr>
          <w:b/>
        </w:rPr>
        <w:t>Reserve</w:t>
      </w:r>
    </w:p>
    <w:p>
      <w:pPr>
        <w:pStyle w:val="CopyList"/>
        <w:numPr>
          <w:ilvl w:val="2"/>
          <w:numId w:val="19"/>
        </w:numPr>
        <w:tabs>
          <w:tab w:val="clear" w:pos="504"/>
        </w:tabs>
        <w:spacing w:before="0" w:after="0"/>
        <w:rPr>
          <w:b/>
        </w:rPr>
      </w:pPr>
      <w:r>
        <w:rPr>
          <w:b/>
        </w:rPr>
        <w:t>Complementary Services:</w:t>
      </w:r>
    </w:p>
    <w:p>
      <w:pPr>
        <w:pStyle w:val="CopyList"/>
        <w:tabs>
          <w:tab w:val="clear" w:pos="504"/>
        </w:tabs>
        <w:spacing w:before="0" w:after="0"/>
        <w:ind w:firstLine="540" w:start="1080" w:end="0"/>
        <w:rPr/>
      </w:pPr>
      <w:r>
        <w:rPr/>
        <w:t xml:space="preserve">See </w:t>
      </w:r>
      <w:r>
        <w:rPr/>
        <w:fldChar w:fldCharType="begin"/>
      </w:r>
      <w:r>
        <w:rPr/>
        <w:instrText xml:space="preserve"> REF _Ref464555967 \p \h </w:instrText>
      </w:r>
      <w:r>
        <w:rPr/>
        <w:fldChar w:fldCharType="separate"/>
      </w:r>
      <w:r>
        <w:rPr/>
        <w:t>below</w:t>
      </w:r>
      <w:r>
        <w:rPr/>
        <w:fldChar w:fldCharType="end"/>
      </w:r>
    </w:p>
    <w:p>
      <w:pPr>
        <w:pStyle w:val="CopyList"/>
        <w:numPr>
          <w:ilvl w:val="1"/>
          <w:numId w:val="19"/>
        </w:numPr>
        <w:tabs>
          <w:tab w:val="clear" w:pos="504"/>
        </w:tabs>
        <w:spacing w:before="0" w:after="0"/>
        <w:rPr>
          <w:b/>
        </w:rPr>
      </w:pPr>
      <w:r>
        <w:rPr>
          <w:b/>
        </w:rPr>
        <w:t>Rules of Dispatch and Operation Coordination</w:t>
      </w:r>
    </w:p>
    <w:p>
      <w:pPr>
        <w:pStyle w:val="CopyList"/>
        <w:numPr>
          <w:ilvl w:val="2"/>
          <w:numId w:val="19"/>
        </w:numPr>
        <w:tabs>
          <w:tab w:val="clear" w:pos="504"/>
        </w:tabs>
        <w:spacing w:before="0" w:after="0"/>
        <w:rPr>
          <w:b/>
        </w:rPr>
      </w:pPr>
      <w:r>
        <w:rPr>
          <w:b/>
        </w:rPr>
        <w:t>Long Term Programming:</w:t>
      </w:r>
    </w:p>
    <w:p>
      <w:pPr>
        <w:pStyle w:val="CopyList"/>
        <w:numPr>
          <w:ilvl w:val="2"/>
          <w:numId w:val="19"/>
        </w:numPr>
        <w:tabs>
          <w:tab w:val="clear" w:pos="504"/>
        </w:tabs>
        <w:spacing w:before="0" w:after="0"/>
        <w:rPr>
          <w:b/>
        </w:rPr>
      </w:pPr>
      <w:r>
        <w:rPr>
          <w:b/>
        </w:rPr>
        <w:t>Monthly/weekly Programming:</w:t>
      </w:r>
    </w:p>
    <w:p>
      <w:pPr>
        <w:pStyle w:val="CopyList"/>
        <w:numPr>
          <w:ilvl w:val="2"/>
          <w:numId w:val="19"/>
        </w:numPr>
        <w:tabs>
          <w:tab w:val="clear" w:pos="504"/>
        </w:tabs>
        <w:spacing w:before="0" w:after="0"/>
        <w:rPr>
          <w:b/>
        </w:rPr>
      </w:pPr>
      <w:r>
        <w:rPr>
          <w:b/>
        </w:rPr>
        <w:t>Daily Dispatch</w:t>
      </w:r>
    </w:p>
    <w:p>
      <w:pPr>
        <w:pStyle w:val="CopyList"/>
        <w:numPr>
          <w:ilvl w:val="2"/>
          <w:numId w:val="19"/>
        </w:numPr>
        <w:tabs>
          <w:tab w:val="clear" w:pos="504"/>
        </w:tabs>
        <w:spacing w:before="0" w:after="0"/>
        <w:rPr>
          <w:b/>
        </w:rPr>
      </w:pPr>
      <w:r>
        <w:rPr>
          <w:b/>
        </w:rPr>
        <w:t>Real Time Operation</w:t>
      </w:r>
    </w:p>
    <w:p>
      <w:pPr>
        <w:pStyle w:val="CopyList"/>
        <w:numPr>
          <w:ilvl w:val="2"/>
          <w:numId w:val="19"/>
        </w:numPr>
        <w:tabs>
          <w:tab w:val="clear" w:pos="504"/>
        </w:tabs>
        <w:spacing w:before="0" w:after="0"/>
        <w:rPr>
          <w:b/>
        </w:rPr>
      </w:pPr>
      <w:r>
        <w:rPr>
          <w:b/>
        </w:rPr>
        <w:t>Post-Dispatch</w:t>
      </w:r>
    </w:p>
    <w:p>
      <w:pPr>
        <w:pStyle w:val="CopyList"/>
        <w:numPr>
          <w:ilvl w:val="1"/>
          <w:numId w:val="19"/>
        </w:numPr>
        <w:tabs>
          <w:tab w:val="clear" w:pos="504"/>
        </w:tabs>
        <w:spacing w:before="0" w:after="0"/>
        <w:rPr>
          <w:b/>
        </w:rPr>
      </w:pPr>
      <w:r>
        <w:rPr>
          <w:b/>
        </w:rPr>
        <w:t>Impact of Nodes:</w:t>
      </w:r>
    </w:p>
    <w:p>
      <w:pPr>
        <w:pStyle w:val="CopyList"/>
        <w:numPr>
          <w:ilvl w:val="1"/>
          <w:numId w:val="19"/>
        </w:numPr>
        <w:tabs>
          <w:tab w:val="clear" w:pos="504"/>
        </w:tabs>
        <w:spacing w:before="0" w:after="0"/>
        <w:rPr>
          <w:b/>
        </w:rPr>
      </w:pPr>
      <w:r>
        <w:rPr>
          <w:b/>
        </w:rPr>
        <w:t>Wheeling Charges, Losses, and Complementary Services</w:t>
      </w:r>
    </w:p>
    <w:p>
      <w:pPr>
        <w:pStyle w:val="CopyList"/>
        <w:numPr>
          <w:ilvl w:val="2"/>
          <w:numId w:val="19"/>
        </w:numPr>
        <w:tabs>
          <w:tab w:val="clear" w:pos="504"/>
        </w:tabs>
        <w:spacing w:before="0" w:after="0"/>
        <w:rPr>
          <w:b/>
        </w:rPr>
      </w:pPr>
      <w:r>
        <w:rPr>
          <w:b/>
        </w:rPr>
        <w:t>Wheeling Charges:</w:t>
      </w:r>
    </w:p>
    <w:p>
      <w:pPr>
        <w:pStyle w:val="CopyList"/>
        <w:tabs>
          <w:tab w:val="clear" w:pos="504"/>
        </w:tabs>
        <w:spacing w:before="0" w:after="0"/>
        <w:ind w:firstLine="450" w:start="900" w:end="0"/>
        <w:rPr/>
      </w:pPr>
      <w:r>
        <w:rPr/>
        <w:t xml:space="preserve">See section </w:t>
      </w:r>
      <w:r>
        <w:rPr/>
        <w:fldChar w:fldCharType="begin"/>
      </w:r>
      <w:r>
        <w:rPr/>
        <w:instrText xml:space="preserve"> REF _Ref464530671 \p \h </w:instrText>
      </w:r>
      <w:r>
        <w:rPr/>
        <w:fldChar w:fldCharType="separate"/>
      </w:r>
      <w:r>
        <w:rPr/>
        <w:t>above</w:t>
      </w:r>
      <w:r>
        <w:rPr/>
        <w:fldChar w:fldCharType="end"/>
      </w:r>
    </w:p>
    <w:p>
      <w:pPr>
        <w:pStyle w:val="CopyList"/>
        <w:numPr>
          <w:ilvl w:val="3"/>
          <w:numId w:val="19"/>
        </w:numPr>
        <w:tabs>
          <w:tab w:val="clear" w:pos="504"/>
        </w:tabs>
        <w:spacing w:before="0" w:after="0"/>
        <w:rPr>
          <w:b/>
        </w:rPr>
      </w:pPr>
      <w:r>
        <w:rPr>
          <w:b/>
        </w:rPr>
        <w:t>Losses:</w:t>
      </w:r>
    </w:p>
    <w:p>
      <w:pPr>
        <w:pStyle w:val="CopyList"/>
        <w:tabs>
          <w:tab w:val="clear" w:pos="504"/>
        </w:tabs>
        <w:spacing w:before="0" w:after="0"/>
        <w:ind w:hanging="0" w:start="1350" w:end="0"/>
        <w:rPr/>
      </w:pPr>
      <w:r>
        <w:rPr/>
        <w:t>The costs of transmission energy losses are passed on directly to the distributors and major clients every six months as a separate charge calculated by the National Dispatch Center as follows:</w:t>
      </w:r>
    </w:p>
    <w:p>
      <w:pPr>
        <w:pStyle w:val="CopyList"/>
        <w:numPr>
          <w:ilvl w:val="0"/>
          <w:numId w:val="11"/>
        </w:numPr>
        <w:tabs>
          <w:tab w:val="clear" w:pos="504"/>
          <w:tab w:val="left" w:pos="1843" w:leader="none"/>
        </w:tabs>
        <w:spacing w:before="0" w:after="0"/>
        <w:ind w:hanging="450" w:start="1843" w:end="0"/>
        <w:jc w:val="both"/>
        <w:rPr/>
      </w:pPr>
      <w:r>
        <w:rPr/>
        <w:t>The CND shall calculate the energy losses as the difference between the de-facto generation and the recorded consumption and shall be valued at the price of energy in the Spot Market.</w:t>
      </w:r>
    </w:p>
    <w:p>
      <w:pPr>
        <w:pStyle w:val="CopyList"/>
        <w:numPr>
          <w:ilvl w:val="0"/>
          <w:numId w:val="11"/>
        </w:numPr>
        <w:tabs>
          <w:tab w:val="clear" w:pos="504"/>
          <w:tab w:val="left" w:pos="1843" w:leader="none"/>
        </w:tabs>
        <w:spacing w:before="0" w:after="0"/>
        <w:ind w:hanging="450" w:start="1843" w:end="0"/>
        <w:jc w:val="both"/>
        <w:rPr/>
      </w:pPr>
      <w:r>
        <w:rPr/>
        <w:t>In the power transactions—the Contract Market and its remuneration—losses will include in the calculation of the maximum demand for each consuming participant.</w:t>
      </w:r>
    </w:p>
    <w:p>
      <w:pPr>
        <w:pStyle w:val="CopyList"/>
        <w:numPr>
          <w:ilvl w:val="0"/>
          <w:numId w:val="11"/>
        </w:numPr>
        <w:tabs>
          <w:tab w:val="clear" w:pos="504"/>
          <w:tab w:val="left" w:pos="1843" w:leader="none"/>
        </w:tabs>
        <w:spacing w:before="0" w:after="0"/>
        <w:ind w:hanging="450" w:start="1843" w:end="0"/>
        <w:jc w:val="both"/>
        <w:rPr/>
      </w:pPr>
      <w:r>
        <w:rPr/>
        <w:t>The Transmission Company will supply the CND with loss factors in each node ot group of nodes for each consumer participant.  The factors will be differentiated for one or more periods within the month, which are called Characteristic Periods.</w:t>
      </w:r>
    </w:p>
    <w:p>
      <w:pPr>
        <w:pStyle w:val="CopyList"/>
        <w:numPr>
          <w:ilvl w:val="0"/>
          <w:numId w:val="11"/>
        </w:numPr>
        <w:tabs>
          <w:tab w:val="clear" w:pos="504"/>
          <w:tab w:val="left" w:pos="1843" w:leader="none"/>
        </w:tabs>
        <w:spacing w:before="0" w:after="0"/>
        <w:ind w:hanging="450" w:start="1843" w:end="0"/>
        <w:jc w:val="both"/>
        <w:rPr>
          <w:b/>
        </w:rPr>
      </w:pPr>
      <w:r>
        <w:rPr>
          <w:u w:val="single"/>
        </w:rPr>
        <w:t>The payment for loss charges is made through Transmission tariffs</w:t>
      </w:r>
      <w:r>
        <w:rPr/>
        <w:t>.</w:t>
      </w:r>
    </w:p>
    <w:p>
      <w:pPr>
        <w:pStyle w:val="CopyList"/>
        <w:numPr>
          <w:ilvl w:val="2"/>
          <w:numId w:val="19"/>
        </w:numPr>
        <w:tabs>
          <w:tab w:val="clear" w:pos="504"/>
        </w:tabs>
        <w:spacing w:before="0" w:after="0"/>
        <w:rPr>
          <w:b/>
        </w:rPr>
      </w:pPr>
      <w:bookmarkStart w:id="6" w:name="_Ref464555967"/>
      <w:r>
        <w:rPr>
          <w:b/>
        </w:rPr>
        <w:t>Complementary (Ancillary) Services:</w:t>
      </w:r>
      <w:bookmarkEnd w:id="6"/>
    </w:p>
    <w:p>
      <w:pPr>
        <w:pStyle w:val="CopyList"/>
        <w:numPr>
          <w:ilvl w:val="0"/>
          <w:numId w:val="11"/>
        </w:numPr>
        <w:tabs>
          <w:tab w:val="clear" w:pos="504"/>
        </w:tabs>
        <w:spacing w:before="0" w:after="0"/>
        <w:ind w:hanging="450" w:start="1350" w:end="0"/>
        <w:jc w:val="both"/>
        <w:rPr/>
      </w:pPr>
      <w:r>
        <w:rPr/>
        <w:t>There are two types of Ancillary Services, The General and the Special Ancillary Services.</w:t>
      </w:r>
    </w:p>
    <w:p>
      <w:pPr>
        <w:pStyle w:val="CopyList"/>
        <w:numPr>
          <w:ilvl w:val="0"/>
          <w:numId w:val="11"/>
        </w:numPr>
        <w:tabs>
          <w:tab w:val="clear" w:pos="504"/>
        </w:tabs>
        <w:spacing w:before="0" w:after="0"/>
        <w:ind w:hanging="450" w:start="1350" w:end="0"/>
        <w:jc w:val="both"/>
        <w:rPr/>
      </w:pPr>
      <w:r>
        <w:rPr/>
        <w:t xml:space="preserve">The </w:t>
      </w:r>
      <w:r>
        <w:rPr>
          <w:u w:val="single"/>
        </w:rPr>
        <w:t>General Ancillary</w:t>
      </w:r>
      <w:r>
        <w:rPr/>
        <w:t xml:space="preserve"> services include a) System Ancillary Services, and b) Short Term Reserve Services.  The System Services are those that do not correspond to reserves pr included in the “Special Ancillary Services:.  The :Short Term” is the hourly operational reserves including the spinning and cold reserves.</w:t>
      </w:r>
    </w:p>
    <w:p>
      <w:pPr>
        <w:pStyle w:val="CopyList"/>
        <w:numPr>
          <w:ilvl w:val="0"/>
          <w:numId w:val="11"/>
        </w:numPr>
        <w:tabs>
          <w:tab w:val="clear" w:pos="504"/>
        </w:tabs>
        <w:spacing w:before="0" w:after="0"/>
        <w:ind w:hanging="450" w:start="1350" w:end="0"/>
        <w:jc w:val="both"/>
        <w:rPr/>
      </w:pPr>
      <w:r>
        <w:rPr/>
        <w:t xml:space="preserve">The </w:t>
      </w:r>
      <w:r>
        <w:rPr>
          <w:u w:val="single"/>
        </w:rPr>
        <w:t>Special Ancillary</w:t>
      </w:r>
      <w:r>
        <w:rPr/>
        <w:t xml:space="preserve"> services include Long-term reserve services.</w:t>
      </w:r>
    </w:p>
    <w:p>
      <w:pPr>
        <w:pStyle w:val="CopyList"/>
        <w:numPr>
          <w:ilvl w:val="0"/>
          <w:numId w:val="11"/>
        </w:numPr>
        <w:tabs>
          <w:tab w:val="clear" w:pos="504"/>
        </w:tabs>
        <w:spacing w:before="0" w:after="0"/>
        <w:ind w:hanging="450" w:start="1350" w:end="0"/>
        <w:jc w:val="both"/>
        <w:rPr/>
      </w:pPr>
      <w:r>
        <w:rPr/>
        <w:t>Other services may be added by the Regulatory Entity as the need arises.</w:t>
      </w:r>
    </w:p>
    <w:p>
      <w:pPr>
        <w:pStyle w:val="CopyList"/>
        <w:numPr>
          <w:ilvl w:val="0"/>
          <w:numId w:val="11"/>
        </w:numPr>
        <w:tabs>
          <w:tab w:val="clear" w:pos="504"/>
        </w:tabs>
        <w:spacing w:before="0" w:after="0"/>
        <w:ind w:hanging="450" w:start="1350" w:end="0"/>
        <w:jc w:val="both"/>
        <w:rPr/>
      </w:pPr>
      <w:r>
        <w:rPr/>
        <w:t>Each Participant accepts the commitment to supply the ancillary services required and to pay the charges incurred.</w:t>
      </w:r>
    </w:p>
    <w:p>
      <w:pPr>
        <w:pStyle w:val="CopyList"/>
        <w:numPr>
          <w:ilvl w:val="0"/>
          <w:numId w:val="11"/>
        </w:numPr>
        <w:tabs>
          <w:tab w:val="clear" w:pos="504"/>
        </w:tabs>
        <w:spacing w:before="0" w:after="0"/>
        <w:ind w:hanging="450" w:start="1350" w:end="0"/>
        <w:jc w:val="both"/>
        <w:rPr/>
      </w:pPr>
      <w:r>
        <w:rPr/>
        <w:t>The technical requirements to provide ancillary services are in the technical rules.  Distributors and Large Customers—if qualified by the CND—have the option to participate in providing Ancillary service.</w:t>
      </w:r>
    </w:p>
    <w:p>
      <w:pPr>
        <w:pStyle w:val="CopyList"/>
        <w:numPr>
          <w:ilvl w:val="0"/>
          <w:numId w:val="11"/>
        </w:numPr>
        <w:tabs>
          <w:tab w:val="clear" w:pos="504"/>
        </w:tabs>
        <w:spacing w:before="0" w:after="0"/>
        <w:ind w:hanging="450" w:start="1350" w:end="0"/>
        <w:jc w:val="both"/>
        <w:rPr/>
      </w:pPr>
      <w:r>
        <w:rPr/>
        <w:t>The interrupted demand –curtailable load policy—is considered a support to the ancillary reserve services.</w:t>
      </w:r>
    </w:p>
    <w:p>
      <w:pPr>
        <w:pStyle w:val="CopyList"/>
        <w:numPr>
          <w:ilvl w:val="0"/>
          <w:numId w:val="11"/>
        </w:numPr>
        <w:tabs>
          <w:tab w:val="clear" w:pos="504"/>
        </w:tabs>
        <w:spacing w:before="0" w:after="0"/>
        <w:ind w:hanging="450" w:start="1350" w:end="0"/>
        <w:jc w:val="both"/>
        <w:rPr/>
      </w:pPr>
      <w:r>
        <w:rPr/>
        <w:t>For the General Ancillary Services, every month, the CND shall calculate the maximum remuneration forecasted (in percentage format referred top as the “Commercial Percentage”) of the total energy supplied to the Consumer Participants (evaluated at Spot Price).  The maximum remuneration shall be divided equally between the System Ancillary Services and short-term reserve services.  The “Commercial Percentage” is between 0.5% and 2% depending upon the system’s present conditions.  Initially, it is defined as 1%.</w:t>
      </w:r>
    </w:p>
    <w:p>
      <w:pPr>
        <w:pStyle w:val="CopyList"/>
        <w:numPr>
          <w:ilvl w:val="0"/>
          <w:numId w:val="11"/>
        </w:numPr>
        <w:tabs>
          <w:tab w:val="clear" w:pos="504"/>
        </w:tabs>
        <w:spacing w:before="0" w:after="0"/>
        <w:ind w:hanging="450" w:start="1350" w:end="0"/>
        <w:jc w:val="both"/>
        <w:rPr/>
      </w:pPr>
      <w:r>
        <w:rPr/>
        <w:t>For the Long Term Reserved Services, the CND shall calculate the commercial result for the Participant that provides the long-term reserve services.  It is the summation of the net remuneration for the committed availability and the remuneration for energy that occurs when the energy price in the Spot Market exceeds that of the first falla unit.  The charge that corresponds to each Participant that buy the long-term reserve Ancillary Service is calculated assigning the cost of said Ancillary Service in proportion to its purchase within the total purchase.</w:t>
      </w:r>
    </w:p>
    <w:p>
      <w:pPr>
        <w:pStyle w:val="CopyList"/>
        <w:tabs>
          <w:tab w:val="clear" w:pos="504"/>
        </w:tabs>
        <w:spacing w:before="0" w:after="0"/>
        <w:ind w:firstLine="720" w:start="0" w:end="0"/>
        <w:rPr>
          <w:b/>
        </w:rPr>
      </w:pPr>
      <w:r>
        <w:rPr>
          <w:b/>
        </w:rPr>
      </w:r>
    </w:p>
    <w:p>
      <w:pPr>
        <w:pStyle w:val="CopyList"/>
        <w:numPr>
          <w:ilvl w:val="1"/>
          <w:numId w:val="19"/>
        </w:numPr>
        <w:tabs>
          <w:tab w:val="clear" w:pos="504"/>
        </w:tabs>
        <w:spacing w:before="0" w:after="0"/>
        <w:rPr>
          <w:b/>
        </w:rPr>
      </w:pPr>
      <w:r>
        <w:rPr>
          <w:b/>
        </w:rPr>
        <w:t>Account Settlement</w:t>
      </w:r>
    </w:p>
    <w:p>
      <w:pPr>
        <w:pStyle w:val="CopyList"/>
        <w:numPr>
          <w:ilvl w:val="2"/>
          <w:numId w:val="19"/>
        </w:numPr>
        <w:tabs>
          <w:tab w:val="clear" w:pos="504"/>
        </w:tabs>
        <w:spacing w:before="0" w:after="0"/>
        <w:rPr>
          <w:b/>
        </w:rPr>
      </w:pPr>
      <w:r>
        <w:rPr>
          <w:b/>
        </w:rPr>
        <w:t>Local Transaction</w:t>
      </w:r>
    </w:p>
    <w:p>
      <w:pPr>
        <w:pStyle w:val="BodyText"/>
        <w:numPr>
          <w:ilvl w:val="0"/>
          <w:numId w:val="5"/>
        </w:numPr>
        <w:tabs>
          <w:tab w:val="clear" w:pos="720"/>
        </w:tabs>
        <w:spacing w:before="0" w:after="0"/>
        <w:ind w:hanging="360" w:start="1418" w:end="0"/>
        <w:rPr>
          <w:sz w:val="20"/>
        </w:rPr>
      </w:pPr>
      <w:r>
        <w:rPr>
          <w:sz w:val="20"/>
        </w:rPr>
        <w:t>The CND is responsible for the administration of collections and liquidation in the Market.  It will rely on a Commercial Metering System that shall be implemented at the participants’ cost.</w:t>
      </w:r>
    </w:p>
    <w:p>
      <w:pPr>
        <w:pStyle w:val="BodyText"/>
        <w:numPr>
          <w:ilvl w:val="0"/>
          <w:numId w:val="5"/>
        </w:numPr>
        <w:tabs>
          <w:tab w:val="clear" w:pos="720"/>
        </w:tabs>
        <w:spacing w:before="0" w:after="0"/>
        <w:ind w:hanging="360" w:start="1418" w:end="0"/>
        <w:rPr>
          <w:sz w:val="20"/>
        </w:rPr>
      </w:pPr>
      <w:r>
        <w:rPr>
          <w:sz w:val="20"/>
        </w:rPr>
        <w:t xml:space="preserve">The Commercial transactions will take place monthly.  However, by 6:0 p.m. of every business day, the CND will inform the Participants of the estimates indicating the energy purchased and sold in the Spot Market in the days before the previous business day. Participants do have 48 hours to correct these estimates. </w:t>
      </w:r>
    </w:p>
    <w:p>
      <w:pPr>
        <w:pStyle w:val="BodyText"/>
        <w:numPr>
          <w:ilvl w:val="0"/>
          <w:numId w:val="5"/>
        </w:numPr>
        <w:tabs>
          <w:tab w:val="clear" w:pos="720"/>
        </w:tabs>
        <w:spacing w:before="0" w:after="0"/>
        <w:ind w:hanging="360" w:start="1418" w:end="0"/>
        <w:rPr>
          <w:sz w:val="20"/>
        </w:rPr>
      </w:pPr>
      <w:r>
        <w:rPr>
          <w:sz w:val="20"/>
        </w:rPr>
        <w:t xml:space="preserve">At the end of each month, the CND shall compile hourly information and determine to each Participant its net monthly results.  CND will inform each participant of the following: </w:t>
      </w:r>
    </w:p>
    <w:p>
      <w:pPr>
        <w:pStyle w:val="Normal"/>
        <w:numPr>
          <w:ilvl w:val="0"/>
          <w:numId w:val="22"/>
        </w:numPr>
        <w:tabs>
          <w:tab w:val="clear" w:pos="720"/>
        </w:tabs>
        <w:spacing w:before="0" w:after="0"/>
        <w:ind w:hanging="360" w:start="1418" w:end="0"/>
        <w:jc w:val="both"/>
        <w:rPr/>
      </w:pPr>
      <w:r>
        <w:rPr/>
        <w:t>the net result of its transactions in the Spot Market;</w:t>
      </w:r>
    </w:p>
    <w:p>
      <w:pPr>
        <w:pStyle w:val="Normal"/>
        <w:numPr>
          <w:ilvl w:val="0"/>
          <w:numId w:val="22"/>
        </w:numPr>
        <w:tabs>
          <w:tab w:val="clear" w:pos="720"/>
        </w:tabs>
        <w:spacing w:before="0" w:after="0"/>
        <w:ind w:hanging="360" w:start="1418" w:end="0"/>
        <w:jc w:val="both"/>
        <w:rPr/>
      </w:pPr>
      <w:r>
        <w:rPr/>
        <w:t>plus the net results of payment or collection of power compensation;</w:t>
      </w:r>
    </w:p>
    <w:p>
      <w:pPr>
        <w:pStyle w:val="Normal"/>
        <w:numPr>
          <w:ilvl w:val="0"/>
          <w:numId w:val="22"/>
        </w:numPr>
        <w:tabs>
          <w:tab w:val="clear" w:pos="720"/>
        </w:tabs>
        <w:spacing w:before="0" w:after="0"/>
        <w:ind w:hanging="360" w:start="1418" w:end="0"/>
        <w:jc w:val="both"/>
        <w:rPr/>
      </w:pPr>
      <w:r>
        <w:rPr/>
        <w:t>plus the net results of forced generation transactions</w:t>
      </w:r>
    </w:p>
    <w:p>
      <w:pPr>
        <w:pStyle w:val="Normal"/>
        <w:numPr>
          <w:ilvl w:val="0"/>
          <w:numId w:val="22"/>
        </w:numPr>
        <w:tabs>
          <w:tab w:val="clear" w:pos="720"/>
        </w:tabs>
        <w:spacing w:before="0" w:after="0"/>
        <w:ind w:hanging="360" w:start="1418" w:end="0"/>
        <w:jc w:val="both"/>
        <w:rPr/>
      </w:pPr>
      <w:r>
        <w:rPr/>
        <w:t>plus the net results from loss transactions;</w:t>
      </w:r>
    </w:p>
    <w:p>
      <w:pPr>
        <w:pStyle w:val="Normal"/>
        <w:numPr>
          <w:ilvl w:val="0"/>
          <w:numId w:val="22"/>
        </w:numPr>
        <w:tabs>
          <w:tab w:val="clear" w:pos="720"/>
        </w:tabs>
        <w:spacing w:before="0" w:after="0"/>
        <w:ind w:hanging="360" w:start="1418" w:end="0"/>
        <w:jc w:val="both"/>
        <w:rPr/>
      </w:pPr>
      <w:r>
        <w:rPr/>
        <w:t>plus the net results from ancillary services;</w:t>
      </w:r>
    </w:p>
    <w:p>
      <w:pPr>
        <w:pStyle w:val="Normal"/>
        <w:numPr>
          <w:ilvl w:val="0"/>
          <w:numId w:val="22"/>
        </w:numPr>
        <w:tabs>
          <w:tab w:val="clear" w:pos="720"/>
        </w:tabs>
        <w:spacing w:before="0" w:after="0"/>
        <w:ind w:hanging="360" w:start="1418" w:end="0"/>
        <w:jc w:val="both"/>
        <w:rPr/>
      </w:pPr>
      <w:r>
        <w:rPr/>
        <w:t>minus charges resulting from tariffs on dispatch services, integrated operations and administration of the CND and Principal Buyer, and Transmission services;</w:t>
      </w:r>
    </w:p>
    <w:p>
      <w:pPr>
        <w:pStyle w:val="Normal"/>
        <w:numPr>
          <w:ilvl w:val="0"/>
          <w:numId w:val="13"/>
        </w:numPr>
        <w:tabs>
          <w:tab w:val="clear" w:pos="720"/>
        </w:tabs>
        <w:spacing w:before="0" w:after="0"/>
        <w:ind w:hanging="360" w:start="1418" w:end="0"/>
        <w:jc w:val="both"/>
        <w:rPr/>
      </w:pPr>
      <w:r>
        <w:rPr/>
        <w:t xml:space="preserve">A Participant is a debtor if the net monthly result from its transactions is negative, i.e., its </w:t>
        <w:tab/>
        <w:t xml:space="preserve">monthly income from transactions is less than its monthly debit, otherwise, a creditor.  The commercial transactions take place between creditors and debtors.  It is the responsibility of the to inform results from the commercial transactions to the Participants. </w:t>
      </w:r>
    </w:p>
    <w:p>
      <w:pPr>
        <w:pStyle w:val="Normal"/>
        <w:numPr>
          <w:ilvl w:val="0"/>
          <w:numId w:val="13"/>
        </w:numPr>
        <w:tabs>
          <w:tab w:val="clear" w:pos="720"/>
          <w:tab w:val="left" w:pos="1418" w:leader="none"/>
        </w:tabs>
        <w:spacing w:before="0" w:after="0"/>
        <w:ind w:hanging="360" w:start="1418" w:end="0"/>
        <w:jc w:val="both"/>
        <w:rPr/>
      </w:pPr>
      <w:r>
        <w:rPr/>
        <w:t xml:space="preserve">The CND shall issue debit and credit notes to customers according their monthly balances. As required by the Participants, the CND may administer the collection system through a bank account according to the following: </w:t>
      </w:r>
    </w:p>
    <w:p>
      <w:pPr>
        <w:pStyle w:val="Normal"/>
        <w:numPr>
          <w:ilvl w:val="0"/>
          <w:numId w:val="13"/>
        </w:numPr>
        <w:tabs>
          <w:tab w:val="clear" w:pos="720"/>
          <w:tab w:val="left" w:pos="1418" w:leader="none"/>
        </w:tabs>
        <w:spacing w:before="0" w:after="0"/>
        <w:ind w:hanging="360" w:start="1418" w:end="0"/>
        <w:jc w:val="both"/>
        <w:rPr/>
      </w:pPr>
      <w:r>
        <w:rPr/>
        <w:t>All debtors shall deposit the amounts invoiced to them within the required period of time; the CND shall instruct the Bank to conduct transfers to the creditors’ respective accounts, proportional to the commercial transaction;</w:t>
      </w:r>
    </w:p>
    <w:p>
      <w:pPr>
        <w:pStyle w:val="Normal"/>
        <w:numPr>
          <w:ilvl w:val="0"/>
          <w:numId w:val="25"/>
        </w:numPr>
        <w:tabs>
          <w:tab w:val="clear" w:pos="720"/>
          <w:tab w:val="left" w:pos="1418" w:leader="none"/>
        </w:tabs>
        <w:spacing w:before="0" w:after="0"/>
        <w:ind w:hanging="360" w:start="1418" w:end="0"/>
        <w:jc w:val="both"/>
        <w:rPr/>
      </w:pPr>
      <w:r>
        <w:rPr/>
        <w:t>The CND shall credit each debtor exclusively in the corresponding proportion to what enters the referred account and is not responsible for debts not paid by third parties;</w:t>
      </w:r>
    </w:p>
    <w:p>
      <w:pPr>
        <w:pStyle w:val="Normal"/>
        <w:numPr>
          <w:ilvl w:val="0"/>
          <w:numId w:val="18"/>
        </w:numPr>
        <w:tabs>
          <w:tab w:val="clear" w:pos="720"/>
        </w:tabs>
        <w:spacing w:before="0" w:after="0"/>
        <w:ind w:hanging="360" w:start="1418" w:end="0"/>
        <w:jc w:val="both"/>
        <w:rPr/>
      </w:pPr>
      <w:r>
        <w:rPr/>
        <w:t xml:space="preserve">Participants shall pay the costs resulting from the services supplied directly by the Transmission Company (except losses included in the transmission tariffs, which are paid by Consumer Participant directly to the Producer Participant).  </w:t>
      </w:r>
    </w:p>
    <w:p>
      <w:pPr>
        <w:pStyle w:val="Normal"/>
        <w:numPr>
          <w:ilvl w:val="0"/>
          <w:numId w:val="18"/>
        </w:numPr>
        <w:tabs>
          <w:tab w:val="clear" w:pos="720"/>
        </w:tabs>
        <w:spacing w:before="0" w:after="0"/>
        <w:ind w:hanging="360" w:start="1418" w:end="0"/>
        <w:jc w:val="both"/>
        <w:rPr/>
      </w:pPr>
      <w:r>
        <w:rPr/>
        <w:t>Finally, the CND shall inform the Participants and ENTE of the uncollectibles and delays that occur in collecting from the Market.</w:t>
      </w:r>
    </w:p>
    <w:p>
      <w:pPr>
        <w:pStyle w:val="CopyList"/>
        <w:tabs>
          <w:tab w:val="clear" w:pos="504"/>
        </w:tabs>
        <w:spacing w:before="0" w:after="0"/>
        <w:ind w:start="1418" w:end="0"/>
        <w:rPr>
          <w:b/>
        </w:rPr>
      </w:pPr>
      <w:r>
        <w:rPr>
          <w:b/>
        </w:rPr>
      </w:r>
    </w:p>
    <w:p>
      <w:pPr>
        <w:pStyle w:val="CopyList"/>
        <w:numPr>
          <w:ilvl w:val="2"/>
          <w:numId w:val="19"/>
        </w:numPr>
        <w:tabs>
          <w:tab w:val="clear" w:pos="504"/>
        </w:tabs>
        <w:spacing w:before="0" w:after="0"/>
        <w:rPr>
          <w:b/>
        </w:rPr>
      </w:pPr>
      <w:r>
        <w:rPr>
          <w:b/>
        </w:rPr>
        <w:t>International Transaction</w:t>
      </w:r>
    </w:p>
    <w:p>
      <w:pPr>
        <w:pStyle w:val="CopyList"/>
        <w:numPr>
          <w:ilvl w:val="1"/>
          <w:numId w:val="19"/>
        </w:numPr>
        <w:tabs>
          <w:tab w:val="clear" w:pos="504"/>
        </w:tabs>
        <w:spacing w:before="0" w:after="0"/>
        <w:rPr>
          <w:b/>
        </w:rPr>
      </w:pPr>
      <w:r>
        <w:rPr>
          <w:b/>
        </w:rPr>
        <w:t>Order of Curtailment and Emergency Procedures</w:t>
      </w:r>
    </w:p>
    <w:p>
      <w:pPr>
        <w:pStyle w:val="CopyList"/>
        <w:numPr>
          <w:ilvl w:val="1"/>
          <w:numId w:val="19"/>
        </w:numPr>
        <w:tabs>
          <w:tab w:val="clear" w:pos="504"/>
        </w:tabs>
        <w:spacing w:before="0" w:after="0"/>
        <w:rPr>
          <w:b/>
        </w:rPr>
      </w:pPr>
      <w:r>
        <w:rPr>
          <w:b/>
        </w:rPr>
        <w:t>Cost of Rationing</w:t>
      </w:r>
    </w:p>
    <w:p>
      <w:pPr>
        <w:pStyle w:val="CopyList"/>
        <w:numPr>
          <w:ilvl w:val="1"/>
          <w:numId w:val="19"/>
        </w:numPr>
        <w:tabs>
          <w:tab w:val="clear" w:pos="504"/>
        </w:tabs>
        <w:spacing w:before="0" w:after="0"/>
        <w:rPr>
          <w:b/>
        </w:rPr>
      </w:pPr>
      <w:r>
        <w:rPr>
          <w:b/>
        </w:rPr>
        <w:t xml:space="preserve">Conflict Resolution </w:t>
      </w:r>
    </w:p>
    <w:p>
      <w:pPr>
        <w:pStyle w:val="CopyList"/>
        <w:numPr>
          <w:ilvl w:val="1"/>
          <w:numId w:val="19"/>
        </w:numPr>
        <w:tabs>
          <w:tab w:val="clear" w:pos="504"/>
        </w:tabs>
        <w:spacing w:before="0" w:after="0"/>
        <w:rPr>
          <w:b/>
        </w:rPr>
      </w:pPr>
      <w:r>
        <w:rPr>
          <w:b/>
        </w:rPr>
        <w:t>Course of Appeal</w:t>
      </w:r>
    </w:p>
    <w:p>
      <w:pPr>
        <w:pStyle w:val="CopyList"/>
        <w:numPr>
          <w:ilvl w:val="1"/>
          <w:numId w:val="19"/>
        </w:numPr>
        <w:tabs>
          <w:tab w:val="clear" w:pos="504"/>
        </w:tabs>
        <w:spacing w:before="0" w:after="0"/>
        <w:rPr>
          <w:b/>
        </w:rPr>
      </w:pPr>
      <w:r>
        <w:rPr>
          <w:b/>
        </w:rPr>
        <w:t>Cost of the Administrator</w:t>
      </w:r>
    </w:p>
    <w:p>
      <w:pPr>
        <w:pStyle w:val="CopyList"/>
        <w:tabs>
          <w:tab w:val="clear" w:pos="504"/>
        </w:tabs>
        <w:spacing w:before="0" w:after="0"/>
        <w:ind w:hanging="0" w:start="1418" w:end="0"/>
        <w:rPr/>
      </w:pPr>
      <w:r>
        <w:rPr/>
        <w:t xml:space="preserve">The cost of the CND is covered in the transmission rate, more specifically, it is the “Integrated Operation Charges”.  They are  $0.1245/kW-month for generators, and $0.1634/kW-month for consumers.  See </w:t>
      </w:r>
      <w:r>
        <w:rPr/>
        <w:fldChar w:fldCharType="begin"/>
      </w:r>
      <w:r>
        <w:rPr/>
        <w:instrText xml:space="preserve"> REF _Ref464530671 \p \h </w:instrText>
      </w:r>
      <w:r>
        <w:rPr/>
        <w:fldChar w:fldCharType="separate"/>
      </w:r>
      <w:r>
        <w:rPr/>
        <w:t>above</w:t>
      </w:r>
      <w:r>
        <w:rPr/>
        <w:fldChar w:fldCharType="end"/>
      </w:r>
    </w:p>
    <w:p>
      <w:pPr>
        <w:pStyle w:val="CopyList"/>
        <w:tabs>
          <w:tab w:val="clear" w:pos="504"/>
        </w:tabs>
        <w:spacing w:before="0" w:after="0"/>
        <w:ind w:hanging="0" w:start="450" w:end="0"/>
        <w:rPr>
          <w:b/>
        </w:rPr>
      </w:pPr>
      <w:r>
        <w:rPr>
          <w:b/>
        </w:rPr>
      </w:r>
    </w:p>
    <w:p>
      <w:pPr>
        <w:pStyle w:val="CopyList"/>
        <w:numPr>
          <w:ilvl w:val="1"/>
          <w:numId w:val="19"/>
        </w:numPr>
        <w:tabs>
          <w:tab w:val="clear" w:pos="504"/>
        </w:tabs>
        <w:spacing w:before="0" w:after="0"/>
        <w:rPr>
          <w:b/>
        </w:rPr>
      </w:pPr>
      <w:r>
        <w:rPr>
          <w:b/>
        </w:rPr>
        <w:t>Examples of Prices</w:t>
      </w:r>
    </w:p>
    <w:p>
      <w:pPr>
        <w:pStyle w:val="CopyList"/>
        <w:tabs>
          <w:tab w:val="clear" w:pos="504"/>
        </w:tabs>
        <w:spacing w:before="0" w:after="0"/>
        <w:ind w:hanging="0" w:start="1418" w:end="0"/>
        <w:rPr/>
      </w:pPr>
      <w:r>
        <w:rPr/>
        <w:t>Weighted average daily prices for the months of July, August and September are listed below where weekend prices are highlighted in red.</w:t>
      </w:r>
    </w:p>
    <w:p>
      <w:pPr>
        <w:pStyle w:val="CopyList"/>
        <w:tabs>
          <w:tab w:val="clear" w:pos="504"/>
        </w:tabs>
        <w:spacing w:before="0" w:after="0"/>
        <w:ind w:hanging="0" w:start="450" w:end="0"/>
        <w:rPr/>
      </w:pPr>
      <w:r>
        <w:rPr/>
      </w:r>
    </w:p>
    <w:tbl>
      <w:tblPr>
        <w:tblW w:w="4850" w:type="dxa"/>
        <w:jc w:val="start"/>
        <w:tblInd w:w="2015" w:type="dxa"/>
        <w:tblLayout w:type="fixed"/>
        <w:tblCellMar>
          <w:top w:w="0" w:type="dxa"/>
          <w:start w:w="30" w:type="dxa"/>
          <w:bottom w:w="0" w:type="dxa"/>
          <w:end w:w="30" w:type="dxa"/>
        </w:tblCellMar>
      </w:tblPr>
      <w:tblGrid>
        <w:gridCol w:w="1262"/>
        <w:gridCol w:w="1263"/>
        <w:gridCol w:w="1262"/>
        <w:gridCol w:w="1063"/>
      </w:tblGrid>
      <w:tr>
        <w:trPr>
          <w:trHeight w:val="250" w:hRule="atLeast"/>
        </w:trPr>
        <w:tc>
          <w:tcPr>
            <w:tcW w:w="1262" w:type="dxa"/>
            <w:tcBorders/>
            <w:shd w:fill="000000" w:val="clear"/>
          </w:tcPr>
          <w:p>
            <w:pPr>
              <w:pStyle w:val="Normal"/>
              <w:spacing w:before="0" w:after="0"/>
              <w:jc w:val="center"/>
              <w:rPr>
                <w:lang w:eastAsia="en-US"/>
              </w:rPr>
            </w:pPr>
            <w:r>
              <w:rPr>
                <w:lang w:eastAsia="en-US"/>
              </w:rPr>
              <w:t>Day</w:t>
            </w:r>
          </w:p>
        </w:tc>
        <w:tc>
          <w:tcPr>
            <w:tcW w:w="1263" w:type="dxa"/>
            <w:tcBorders/>
            <w:shd w:fill="000000" w:val="clear"/>
          </w:tcPr>
          <w:p>
            <w:pPr>
              <w:pStyle w:val="Normal"/>
              <w:spacing w:before="0" w:after="0"/>
              <w:jc w:val="center"/>
              <w:rPr>
                <w:lang w:eastAsia="en-US"/>
              </w:rPr>
            </w:pPr>
            <w:r>
              <w:rPr>
                <w:lang w:eastAsia="en-US"/>
              </w:rPr>
              <w:t xml:space="preserve"> </w:t>
            </w:r>
            <w:r>
              <w:rPr>
                <w:lang w:eastAsia="en-US"/>
              </w:rPr>
              <w:t>Jul. 99</w:t>
            </w:r>
          </w:p>
        </w:tc>
        <w:tc>
          <w:tcPr>
            <w:tcW w:w="1262" w:type="dxa"/>
            <w:tcBorders/>
            <w:shd w:fill="000000" w:val="clear"/>
          </w:tcPr>
          <w:p>
            <w:pPr>
              <w:pStyle w:val="Normal"/>
              <w:spacing w:before="0" w:after="0"/>
              <w:jc w:val="center"/>
              <w:rPr>
                <w:lang w:eastAsia="en-US"/>
              </w:rPr>
            </w:pPr>
            <w:r>
              <w:rPr>
                <w:lang w:eastAsia="en-US"/>
              </w:rPr>
              <w:t xml:space="preserve"> </w:t>
            </w:r>
            <w:r>
              <w:rPr>
                <w:lang w:eastAsia="en-US"/>
              </w:rPr>
              <w:t>Aug. 99</w:t>
            </w:r>
          </w:p>
        </w:tc>
        <w:tc>
          <w:tcPr>
            <w:tcW w:w="1063" w:type="dxa"/>
            <w:tcBorders/>
            <w:shd w:fill="000000" w:val="clear"/>
          </w:tcPr>
          <w:p>
            <w:pPr>
              <w:pStyle w:val="Normal"/>
              <w:spacing w:before="0" w:after="0"/>
              <w:rPr>
                <w:lang w:eastAsia="en-US"/>
              </w:rPr>
            </w:pPr>
            <w:r>
              <w:rPr>
                <w:lang w:eastAsia="en-US"/>
              </w:rPr>
              <w:t xml:space="preserve"> </w:t>
            </w:r>
            <w:r>
              <w:rPr>
                <w:lang w:eastAsia="en-US"/>
              </w:rPr>
              <w:t>Sep. 99</w:t>
            </w:r>
          </w:p>
        </w:tc>
      </w:tr>
      <w:tr>
        <w:trPr>
          <w:trHeight w:val="250" w:hRule="atLeast"/>
        </w:trPr>
        <w:tc>
          <w:tcPr>
            <w:tcW w:w="1262" w:type="dxa"/>
            <w:tcBorders/>
          </w:tcPr>
          <w:p>
            <w:pPr>
              <w:pStyle w:val="Normal"/>
              <w:spacing w:before="0" w:after="0"/>
              <w:jc w:val="center"/>
              <w:rPr>
                <w:color w:val="000000"/>
                <w:lang w:eastAsia="en-US"/>
              </w:rPr>
            </w:pPr>
            <w:r>
              <w:rPr>
                <w:color w:val="000000"/>
                <w:lang w:eastAsia="en-US"/>
              </w:rPr>
              <w:t>1</w:t>
            </w:r>
          </w:p>
        </w:tc>
        <w:tc>
          <w:tcPr>
            <w:tcW w:w="1263" w:type="dxa"/>
            <w:tcBorders/>
          </w:tcPr>
          <w:p>
            <w:pPr>
              <w:pStyle w:val="Normal"/>
              <w:spacing w:before="0" w:after="0"/>
              <w:jc w:val="center"/>
              <w:rPr>
                <w:color w:val="000000"/>
                <w:lang w:eastAsia="en-US"/>
              </w:rPr>
            </w:pPr>
            <w:r>
              <w:rPr>
                <w:color w:val="000000"/>
                <w:lang w:eastAsia="en-US"/>
              </w:rPr>
              <w:t>44.08</w:t>
            </w:r>
          </w:p>
        </w:tc>
        <w:tc>
          <w:tcPr>
            <w:tcW w:w="1262" w:type="dxa"/>
            <w:tcBorders/>
          </w:tcPr>
          <w:p>
            <w:pPr>
              <w:pStyle w:val="Normal"/>
              <w:spacing w:before="0" w:after="0"/>
              <w:jc w:val="center"/>
              <w:rPr>
                <w:color w:val="FF0000"/>
                <w:lang w:eastAsia="en-US"/>
              </w:rPr>
            </w:pPr>
            <w:r>
              <w:rPr>
                <w:color w:val="FF0000"/>
                <w:lang w:eastAsia="en-US"/>
              </w:rPr>
              <w:t>43.88</w:t>
            </w:r>
          </w:p>
        </w:tc>
        <w:tc>
          <w:tcPr>
            <w:tcW w:w="1063" w:type="dxa"/>
            <w:tcBorders/>
          </w:tcPr>
          <w:p>
            <w:pPr>
              <w:pStyle w:val="Normal"/>
              <w:spacing w:before="0" w:after="0"/>
              <w:jc w:val="center"/>
              <w:rPr>
                <w:color w:val="000000"/>
                <w:lang w:eastAsia="en-US"/>
              </w:rPr>
            </w:pPr>
            <w:r>
              <w:rPr>
                <w:color w:val="000000"/>
                <w:lang w:eastAsia="en-US"/>
              </w:rPr>
              <w:t>25.00</w:t>
            </w:r>
          </w:p>
        </w:tc>
      </w:tr>
      <w:tr>
        <w:trPr>
          <w:trHeight w:val="250" w:hRule="atLeast"/>
        </w:trPr>
        <w:tc>
          <w:tcPr>
            <w:tcW w:w="1262" w:type="dxa"/>
            <w:tcBorders/>
          </w:tcPr>
          <w:p>
            <w:pPr>
              <w:pStyle w:val="Normal"/>
              <w:spacing w:before="0" w:after="0"/>
              <w:jc w:val="center"/>
              <w:rPr>
                <w:color w:val="000000"/>
                <w:lang w:eastAsia="en-US"/>
              </w:rPr>
            </w:pPr>
            <w:r>
              <w:rPr>
                <w:color w:val="000000"/>
                <w:lang w:eastAsia="en-US"/>
              </w:rPr>
              <w:t>2</w:t>
            </w:r>
          </w:p>
        </w:tc>
        <w:tc>
          <w:tcPr>
            <w:tcW w:w="1263" w:type="dxa"/>
            <w:tcBorders/>
          </w:tcPr>
          <w:p>
            <w:pPr>
              <w:pStyle w:val="Normal"/>
              <w:spacing w:before="0" w:after="0"/>
              <w:jc w:val="center"/>
              <w:rPr>
                <w:color w:val="000000"/>
                <w:lang w:eastAsia="en-US"/>
              </w:rPr>
            </w:pPr>
            <w:r>
              <w:rPr>
                <w:color w:val="000000"/>
                <w:lang w:eastAsia="en-US"/>
              </w:rPr>
              <w:t>43.02</w:t>
            </w:r>
          </w:p>
        </w:tc>
        <w:tc>
          <w:tcPr>
            <w:tcW w:w="1262" w:type="dxa"/>
            <w:tcBorders/>
          </w:tcPr>
          <w:p>
            <w:pPr>
              <w:pStyle w:val="Normal"/>
              <w:spacing w:before="0" w:after="0"/>
              <w:jc w:val="center"/>
              <w:rPr>
                <w:color w:val="000000"/>
                <w:lang w:eastAsia="en-US"/>
              </w:rPr>
            </w:pPr>
            <w:r>
              <w:rPr>
                <w:color w:val="000000"/>
                <w:lang w:eastAsia="en-US"/>
              </w:rPr>
              <w:t>57.69</w:t>
            </w:r>
          </w:p>
        </w:tc>
        <w:tc>
          <w:tcPr>
            <w:tcW w:w="1063" w:type="dxa"/>
            <w:tcBorders/>
          </w:tcPr>
          <w:p>
            <w:pPr>
              <w:pStyle w:val="Normal"/>
              <w:spacing w:before="0" w:after="0"/>
              <w:jc w:val="center"/>
              <w:rPr>
                <w:color w:val="000000"/>
                <w:lang w:eastAsia="en-US"/>
              </w:rPr>
            </w:pPr>
            <w:r>
              <w:rPr>
                <w:color w:val="000000"/>
                <w:lang w:eastAsia="en-US"/>
              </w:rPr>
              <w:t>41.46</w:t>
            </w:r>
          </w:p>
        </w:tc>
      </w:tr>
      <w:tr>
        <w:trPr>
          <w:trHeight w:val="250" w:hRule="atLeast"/>
        </w:trPr>
        <w:tc>
          <w:tcPr>
            <w:tcW w:w="1262" w:type="dxa"/>
            <w:tcBorders/>
          </w:tcPr>
          <w:p>
            <w:pPr>
              <w:pStyle w:val="Normal"/>
              <w:spacing w:before="0" w:after="0"/>
              <w:jc w:val="center"/>
              <w:rPr>
                <w:color w:val="000000"/>
                <w:lang w:eastAsia="en-US"/>
              </w:rPr>
            </w:pPr>
            <w:r>
              <w:rPr>
                <w:color w:val="000000"/>
                <w:lang w:eastAsia="en-US"/>
              </w:rPr>
              <w:t>3</w:t>
            </w:r>
          </w:p>
        </w:tc>
        <w:tc>
          <w:tcPr>
            <w:tcW w:w="1263" w:type="dxa"/>
            <w:tcBorders/>
          </w:tcPr>
          <w:p>
            <w:pPr>
              <w:pStyle w:val="Normal"/>
              <w:spacing w:before="0" w:after="0"/>
              <w:jc w:val="center"/>
              <w:rPr>
                <w:color w:val="FF0000"/>
                <w:lang w:eastAsia="en-US"/>
              </w:rPr>
            </w:pPr>
            <w:r>
              <w:rPr>
                <w:color w:val="FF0000"/>
                <w:lang w:eastAsia="en-US"/>
              </w:rPr>
              <w:t>41.9</w:t>
            </w:r>
          </w:p>
        </w:tc>
        <w:tc>
          <w:tcPr>
            <w:tcW w:w="1262" w:type="dxa"/>
            <w:tcBorders/>
          </w:tcPr>
          <w:p>
            <w:pPr>
              <w:pStyle w:val="Normal"/>
              <w:spacing w:before="0" w:after="0"/>
              <w:jc w:val="center"/>
              <w:rPr>
                <w:color w:val="000000"/>
                <w:lang w:eastAsia="en-US"/>
              </w:rPr>
            </w:pPr>
            <w:r>
              <w:rPr>
                <w:color w:val="000000"/>
                <w:lang w:eastAsia="en-US"/>
              </w:rPr>
              <w:t>48.36</w:t>
            </w:r>
          </w:p>
        </w:tc>
        <w:tc>
          <w:tcPr>
            <w:tcW w:w="1063" w:type="dxa"/>
            <w:tcBorders/>
          </w:tcPr>
          <w:p>
            <w:pPr>
              <w:pStyle w:val="Normal"/>
              <w:spacing w:before="0" w:after="0"/>
              <w:jc w:val="center"/>
              <w:rPr>
                <w:color w:val="000000"/>
                <w:lang w:eastAsia="en-US"/>
              </w:rPr>
            </w:pPr>
            <w:r>
              <w:rPr>
                <w:color w:val="000000"/>
                <w:lang w:eastAsia="en-US"/>
              </w:rPr>
              <w:t>46.86</w:t>
            </w:r>
          </w:p>
        </w:tc>
      </w:tr>
      <w:tr>
        <w:trPr>
          <w:trHeight w:val="250" w:hRule="atLeast"/>
        </w:trPr>
        <w:tc>
          <w:tcPr>
            <w:tcW w:w="1262" w:type="dxa"/>
            <w:tcBorders/>
            <w:shd w:fill="FFFFFF" w:val="clear"/>
          </w:tcPr>
          <w:p>
            <w:pPr>
              <w:pStyle w:val="Normal"/>
              <w:spacing w:before="0" w:after="0"/>
              <w:jc w:val="center"/>
              <w:rPr>
                <w:color w:val="000000"/>
                <w:lang w:eastAsia="en-US"/>
              </w:rPr>
            </w:pPr>
            <w:r>
              <w:rPr>
                <w:color w:val="000000"/>
                <w:lang w:eastAsia="en-US"/>
              </w:rPr>
              <w:t>4</w:t>
            </w:r>
          </w:p>
        </w:tc>
        <w:tc>
          <w:tcPr>
            <w:tcW w:w="1263" w:type="dxa"/>
            <w:tcBorders/>
          </w:tcPr>
          <w:p>
            <w:pPr>
              <w:pStyle w:val="Normal"/>
              <w:spacing w:before="0" w:after="0"/>
              <w:jc w:val="center"/>
              <w:rPr>
                <w:color w:val="FF0000"/>
                <w:lang w:eastAsia="en-US"/>
              </w:rPr>
            </w:pPr>
            <w:r>
              <w:rPr>
                <w:color w:val="FF0000"/>
                <w:lang w:eastAsia="en-US"/>
              </w:rPr>
              <w:t>40.15</w:t>
            </w:r>
          </w:p>
        </w:tc>
        <w:tc>
          <w:tcPr>
            <w:tcW w:w="1262" w:type="dxa"/>
            <w:tcBorders/>
          </w:tcPr>
          <w:p>
            <w:pPr>
              <w:pStyle w:val="Normal"/>
              <w:spacing w:before="0" w:after="0"/>
              <w:jc w:val="center"/>
              <w:rPr>
                <w:color w:val="000000"/>
                <w:lang w:eastAsia="en-US"/>
              </w:rPr>
            </w:pPr>
            <w:r>
              <w:rPr>
                <w:color w:val="000000"/>
                <w:lang w:eastAsia="en-US"/>
              </w:rPr>
              <w:t>47.85</w:t>
            </w:r>
          </w:p>
        </w:tc>
        <w:tc>
          <w:tcPr>
            <w:tcW w:w="1063" w:type="dxa"/>
            <w:tcBorders/>
          </w:tcPr>
          <w:p>
            <w:pPr>
              <w:pStyle w:val="Normal"/>
              <w:spacing w:before="0" w:after="0"/>
              <w:jc w:val="center"/>
              <w:rPr>
                <w:color w:val="FF0000"/>
                <w:lang w:eastAsia="en-US"/>
              </w:rPr>
            </w:pPr>
            <w:r>
              <w:rPr>
                <w:color w:val="FF0000"/>
                <w:lang w:eastAsia="en-US"/>
              </w:rPr>
              <w:t>34.39</w:t>
            </w:r>
          </w:p>
        </w:tc>
      </w:tr>
      <w:tr>
        <w:trPr>
          <w:trHeight w:val="250" w:hRule="atLeast"/>
        </w:trPr>
        <w:tc>
          <w:tcPr>
            <w:tcW w:w="1262" w:type="dxa"/>
            <w:tcBorders/>
          </w:tcPr>
          <w:p>
            <w:pPr>
              <w:pStyle w:val="Normal"/>
              <w:spacing w:before="0" w:after="0"/>
              <w:jc w:val="center"/>
              <w:rPr>
                <w:color w:val="000000"/>
                <w:lang w:eastAsia="en-US"/>
              </w:rPr>
            </w:pPr>
            <w:r>
              <w:rPr>
                <w:color w:val="000000"/>
                <w:lang w:eastAsia="en-US"/>
              </w:rPr>
              <w:t>5</w:t>
            </w:r>
          </w:p>
        </w:tc>
        <w:tc>
          <w:tcPr>
            <w:tcW w:w="1263" w:type="dxa"/>
            <w:tcBorders/>
          </w:tcPr>
          <w:p>
            <w:pPr>
              <w:pStyle w:val="Normal"/>
              <w:spacing w:before="0" w:after="0"/>
              <w:jc w:val="center"/>
              <w:rPr>
                <w:color w:val="000000"/>
                <w:lang w:eastAsia="en-US"/>
              </w:rPr>
            </w:pPr>
            <w:r>
              <w:rPr>
                <w:color w:val="000000"/>
                <w:lang w:eastAsia="en-US"/>
              </w:rPr>
              <w:t>43.79</w:t>
            </w:r>
          </w:p>
        </w:tc>
        <w:tc>
          <w:tcPr>
            <w:tcW w:w="1262" w:type="dxa"/>
            <w:tcBorders/>
          </w:tcPr>
          <w:p>
            <w:pPr>
              <w:pStyle w:val="Normal"/>
              <w:spacing w:before="0" w:after="0"/>
              <w:jc w:val="center"/>
              <w:rPr>
                <w:color w:val="000000"/>
                <w:lang w:eastAsia="en-US"/>
              </w:rPr>
            </w:pPr>
            <w:r>
              <w:rPr>
                <w:color w:val="000000"/>
                <w:lang w:eastAsia="en-US"/>
              </w:rPr>
              <w:t>46.85</w:t>
            </w:r>
          </w:p>
        </w:tc>
        <w:tc>
          <w:tcPr>
            <w:tcW w:w="1063" w:type="dxa"/>
            <w:tcBorders/>
          </w:tcPr>
          <w:p>
            <w:pPr>
              <w:pStyle w:val="Normal"/>
              <w:spacing w:before="0" w:after="0"/>
              <w:jc w:val="center"/>
              <w:rPr>
                <w:color w:val="FF0000"/>
                <w:lang w:eastAsia="en-US"/>
              </w:rPr>
            </w:pPr>
            <w:r>
              <w:rPr>
                <w:color w:val="FF0000"/>
                <w:lang w:eastAsia="en-US"/>
              </w:rPr>
              <w:t>28.86</w:t>
            </w:r>
          </w:p>
        </w:tc>
      </w:tr>
      <w:tr>
        <w:trPr>
          <w:trHeight w:val="250" w:hRule="atLeast"/>
        </w:trPr>
        <w:tc>
          <w:tcPr>
            <w:tcW w:w="1262" w:type="dxa"/>
            <w:tcBorders/>
          </w:tcPr>
          <w:p>
            <w:pPr>
              <w:pStyle w:val="Normal"/>
              <w:spacing w:before="0" w:after="0"/>
              <w:jc w:val="center"/>
              <w:rPr>
                <w:color w:val="000000"/>
                <w:lang w:eastAsia="en-US"/>
              </w:rPr>
            </w:pPr>
            <w:r>
              <w:rPr>
                <w:color w:val="000000"/>
                <w:lang w:eastAsia="en-US"/>
              </w:rPr>
              <w:t>6</w:t>
            </w:r>
          </w:p>
        </w:tc>
        <w:tc>
          <w:tcPr>
            <w:tcW w:w="1263" w:type="dxa"/>
            <w:tcBorders/>
          </w:tcPr>
          <w:p>
            <w:pPr>
              <w:pStyle w:val="Normal"/>
              <w:spacing w:before="0" w:after="0"/>
              <w:jc w:val="center"/>
              <w:rPr>
                <w:color w:val="000000"/>
                <w:lang w:eastAsia="en-US"/>
              </w:rPr>
            </w:pPr>
            <w:r>
              <w:rPr>
                <w:color w:val="000000"/>
                <w:lang w:eastAsia="en-US"/>
              </w:rPr>
              <w:t>43.67</w:t>
            </w:r>
          </w:p>
        </w:tc>
        <w:tc>
          <w:tcPr>
            <w:tcW w:w="1262" w:type="dxa"/>
            <w:tcBorders/>
          </w:tcPr>
          <w:p>
            <w:pPr>
              <w:pStyle w:val="Normal"/>
              <w:spacing w:before="0" w:after="0"/>
              <w:jc w:val="center"/>
              <w:rPr>
                <w:color w:val="000000"/>
                <w:lang w:eastAsia="en-US"/>
              </w:rPr>
            </w:pPr>
            <w:r>
              <w:rPr>
                <w:color w:val="000000"/>
                <w:lang w:eastAsia="en-US"/>
              </w:rPr>
              <w:t>49.10</w:t>
            </w:r>
          </w:p>
        </w:tc>
        <w:tc>
          <w:tcPr>
            <w:tcW w:w="1063" w:type="dxa"/>
            <w:tcBorders/>
          </w:tcPr>
          <w:p>
            <w:pPr>
              <w:pStyle w:val="Normal"/>
              <w:spacing w:before="0" w:after="0"/>
              <w:jc w:val="center"/>
              <w:rPr>
                <w:color w:val="000000"/>
                <w:lang w:eastAsia="en-US"/>
              </w:rPr>
            </w:pPr>
            <w:r>
              <w:rPr>
                <w:color w:val="000000"/>
                <w:lang w:eastAsia="en-US"/>
              </w:rPr>
              <w:t>53.43</w:t>
            </w:r>
          </w:p>
        </w:tc>
      </w:tr>
      <w:tr>
        <w:trPr>
          <w:trHeight w:val="250" w:hRule="atLeast"/>
        </w:trPr>
        <w:tc>
          <w:tcPr>
            <w:tcW w:w="1262" w:type="dxa"/>
            <w:tcBorders/>
          </w:tcPr>
          <w:p>
            <w:pPr>
              <w:pStyle w:val="Normal"/>
              <w:spacing w:before="0" w:after="0"/>
              <w:jc w:val="center"/>
              <w:rPr>
                <w:color w:val="000000"/>
                <w:lang w:eastAsia="en-US"/>
              </w:rPr>
            </w:pPr>
            <w:r>
              <w:rPr>
                <w:color w:val="000000"/>
                <w:lang w:eastAsia="en-US"/>
              </w:rPr>
              <w:t>7</w:t>
            </w:r>
          </w:p>
        </w:tc>
        <w:tc>
          <w:tcPr>
            <w:tcW w:w="1263" w:type="dxa"/>
            <w:tcBorders/>
          </w:tcPr>
          <w:p>
            <w:pPr>
              <w:pStyle w:val="Normal"/>
              <w:spacing w:before="0" w:after="0"/>
              <w:jc w:val="center"/>
              <w:rPr>
                <w:color w:val="000000"/>
                <w:lang w:eastAsia="en-US"/>
              </w:rPr>
            </w:pPr>
            <w:r>
              <w:rPr>
                <w:color w:val="000000"/>
                <w:lang w:eastAsia="en-US"/>
              </w:rPr>
              <w:t>43.86</w:t>
            </w:r>
          </w:p>
        </w:tc>
        <w:tc>
          <w:tcPr>
            <w:tcW w:w="1262" w:type="dxa"/>
            <w:tcBorders/>
          </w:tcPr>
          <w:p>
            <w:pPr>
              <w:pStyle w:val="Normal"/>
              <w:spacing w:before="0" w:after="0"/>
              <w:jc w:val="center"/>
              <w:rPr>
                <w:color w:val="FF0000"/>
                <w:lang w:eastAsia="en-US"/>
              </w:rPr>
            </w:pPr>
            <w:r>
              <w:rPr>
                <w:color w:val="FF0000"/>
                <w:lang w:eastAsia="en-US"/>
              </w:rPr>
              <w:t>34.32</w:t>
            </w:r>
          </w:p>
        </w:tc>
        <w:tc>
          <w:tcPr>
            <w:tcW w:w="1063" w:type="dxa"/>
            <w:tcBorders/>
          </w:tcPr>
          <w:p>
            <w:pPr>
              <w:pStyle w:val="Normal"/>
              <w:spacing w:before="0" w:after="0"/>
              <w:jc w:val="center"/>
              <w:rPr>
                <w:color w:val="000000"/>
                <w:lang w:eastAsia="en-US"/>
              </w:rPr>
            </w:pPr>
            <w:r>
              <w:rPr>
                <w:color w:val="000000"/>
                <w:lang w:eastAsia="en-US"/>
              </w:rPr>
              <w:t>50.07</w:t>
            </w:r>
          </w:p>
        </w:tc>
      </w:tr>
      <w:tr>
        <w:trPr>
          <w:trHeight w:val="250" w:hRule="atLeast"/>
        </w:trPr>
        <w:tc>
          <w:tcPr>
            <w:tcW w:w="1262" w:type="dxa"/>
            <w:tcBorders/>
          </w:tcPr>
          <w:p>
            <w:pPr>
              <w:pStyle w:val="Normal"/>
              <w:spacing w:before="0" w:after="0"/>
              <w:jc w:val="center"/>
              <w:rPr>
                <w:color w:val="000000"/>
                <w:lang w:eastAsia="en-US"/>
              </w:rPr>
            </w:pPr>
            <w:r>
              <w:rPr>
                <w:color w:val="000000"/>
                <w:lang w:eastAsia="en-US"/>
              </w:rPr>
              <w:t>8</w:t>
            </w:r>
          </w:p>
        </w:tc>
        <w:tc>
          <w:tcPr>
            <w:tcW w:w="1263" w:type="dxa"/>
            <w:tcBorders/>
          </w:tcPr>
          <w:p>
            <w:pPr>
              <w:pStyle w:val="Normal"/>
              <w:spacing w:before="0" w:after="0"/>
              <w:jc w:val="center"/>
              <w:rPr>
                <w:color w:val="000000"/>
                <w:lang w:eastAsia="en-US"/>
              </w:rPr>
            </w:pPr>
            <w:r>
              <w:rPr>
                <w:color w:val="000000"/>
                <w:lang w:eastAsia="en-US"/>
              </w:rPr>
              <w:t>44.34</w:t>
            </w:r>
          </w:p>
        </w:tc>
        <w:tc>
          <w:tcPr>
            <w:tcW w:w="1262" w:type="dxa"/>
            <w:tcBorders/>
          </w:tcPr>
          <w:p>
            <w:pPr>
              <w:pStyle w:val="Normal"/>
              <w:spacing w:before="0" w:after="0"/>
              <w:jc w:val="center"/>
              <w:rPr>
                <w:color w:val="FF0000"/>
                <w:lang w:eastAsia="en-US"/>
              </w:rPr>
            </w:pPr>
            <w:r>
              <w:rPr>
                <w:color w:val="FF0000"/>
                <w:lang w:eastAsia="en-US"/>
              </w:rPr>
              <w:t>35.00</w:t>
            </w:r>
          </w:p>
        </w:tc>
        <w:tc>
          <w:tcPr>
            <w:tcW w:w="1063" w:type="dxa"/>
            <w:tcBorders/>
          </w:tcPr>
          <w:p>
            <w:pPr>
              <w:pStyle w:val="Normal"/>
              <w:spacing w:before="0" w:after="0"/>
              <w:jc w:val="center"/>
              <w:rPr>
                <w:color w:val="000000"/>
                <w:lang w:eastAsia="en-US"/>
              </w:rPr>
            </w:pPr>
            <w:r>
              <w:rPr>
                <w:color w:val="000000"/>
                <w:lang w:eastAsia="en-US"/>
              </w:rPr>
              <w:t>41.76</w:t>
            </w:r>
          </w:p>
        </w:tc>
      </w:tr>
      <w:tr>
        <w:trPr>
          <w:trHeight w:val="250" w:hRule="atLeast"/>
        </w:trPr>
        <w:tc>
          <w:tcPr>
            <w:tcW w:w="1262" w:type="dxa"/>
            <w:tcBorders/>
          </w:tcPr>
          <w:p>
            <w:pPr>
              <w:pStyle w:val="Normal"/>
              <w:spacing w:before="0" w:after="0"/>
              <w:jc w:val="center"/>
              <w:rPr>
                <w:color w:val="000000"/>
                <w:lang w:eastAsia="en-US"/>
              </w:rPr>
            </w:pPr>
            <w:r>
              <w:rPr>
                <w:color w:val="000000"/>
                <w:lang w:eastAsia="en-US"/>
              </w:rPr>
              <w:t>9</w:t>
            </w:r>
          </w:p>
        </w:tc>
        <w:tc>
          <w:tcPr>
            <w:tcW w:w="1263" w:type="dxa"/>
            <w:tcBorders/>
          </w:tcPr>
          <w:p>
            <w:pPr>
              <w:pStyle w:val="Normal"/>
              <w:spacing w:before="0" w:after="0"/>
              <w:jc w:val="center"/>
              <w:rPr>
                <w:color w:val="000000"/>
                <w:lang w:eastAsia="en-US"/>
              </w:rPr>
            </w:pPr>
            <w:r>
              <w:rPr>
                <w:color w:val="000000"/>
                <w:lang w:eastAsia="en-US"/>
              </w:rPr>
              <w:t>45.32</w:t>
            </w:r>
          </w:p>
        </w:tc>
        <w:tc>
          <w:tcPr>
            <w:tcW w:w="1262" w:type="dxa"/>
            <w:tcBorders/>
          </w:tcPr>
          <w:p>
            <w:pPr>
              <w:pStyle w:val="Normal"/>
              <w:spacing w:before="0" w:after="0"/>
              <w:jc w:val="center"/>
              <w:rPr>
                <w:color w:val="000000"/>
                <w:lang w:eastAsia="en-US"/>
              </w:rPr>
            </w:pPr>
            <w:r>
              <w:rPr>
                <w:color w:val="000000"/>
                <w:lang w:eastAsia="en-US"/>
              </w:rPr>
              <w:t>49.48</w:t>
            </w:r>
          </w:p>
        </w:tc>
        <w:tc>
          <w:tcPr>
            <w:tcW w:w="1063" w:type="dxa"/>
            <w:tcBorders/>
          </w:tcPr>
          <w:p>
            <w:pPr>
              <w:pStyle w:val="Normal"/>
              <w:spacing w:before="0" w:after="0"/>
              <w:jc w:val="center"/>
              <w:rPr>
                <w:color w:val="000000"/>
                <w:lang w:eastAsia="en-US"/>
              </w:rPr>
            </w:pPr>
            <w:r>
              <w:rPr>
                <w:color w:val="000000"/>
                <w:lang w:eastAsia="en-US"/>
              </w:rPr>
              <w:t>41.50</w:t>
            </w:r>
          </w:p>
        </w:tc>
      </w:tr>
      <w:tr>
        <w:trPr>
          <w:trHeight w:val="250" w:hRule="atLeast"/>
        </w:trPr>
        <w:tc>
          <w:tcPr>
            <w:tcW w:w="1262" w:type="dxa"/>
            <w:tcBorders/>
          </w:tcPr>
          <w:p>
            <w:pPr>
              <w:pStyle w:val="Normal"/>
              <w:spacing w:before="0" w:after="0"/>
              <w:jc w:val="center"/>
              <w:rPr>
                <w:color w:val="000000"/>
                <w:lang w:eastAsia="en-US"/>
              </w:rPr>
            </w:pPr>
            <w:r>
              <w:rPr>
                <w:color w:val="000000"/>
                <w:lang w:eastAsia="en-US"/>
              </w:rPr>
              <w:t>10</w:t>
            </w:r>
          </w:p>
        </w:tc>
        <w:tc>
          <w:tcPr>
            <w:tcW w:w="1263" w:type="dxa"/>
            <w:tcBorders/>
          </w:tcPr>
          <w:p>
            <w:pPr>
              <w:pStyle w:val="Normal"/>
              <w:spacing w:before="0" w:after="0"/>
              <w:jc w:val="center"/>
              <w:rPr>
                <w:color w:val="FF0000"/>
                <w:lang w:eastAsia="en-US"/>
              </w:rPr>
            </w:pPr>
            <w:r>
              <w:rPr>
                <w:color w:val="FF0000"/>
                <w:lang w:eastAsia="en-US"/>
              </w:rPr>
              <w:t>41.9</w:t>
            </w:r>
          </w:p>
        </w:tc>
        <w:tc>
          <w:tcPr>
            <w:tcW w:w="1262" w:type="dxa"/>
            <w:tcBorders/>
          </w:tcPr>
          <w:p>
            <w:pPr>
              <w:pStyle w:val="Normal"/>
              <w:spacing w:before="0" w:after="0"/>
              <w:jc w:val="center"/>
              <w:rPr>
                <w:color w:val="000000"/>
                <w:lang w:eastAsia="en-US"/>
              </w:rPr>
            </w:pPr>
            <w:r>
              <w:rPr>
                <w:color w:val="000000"/>
                <w:lang w:eastAsia="en-US"/>
              </w:rPr>
              <w:t>47.18</w:t>
            </w:r>
          </w:p>
        </w:tc>
        <w:tc>
          <w:tcPr>
            <w:tcW w:w="1063" w:type="dxa"/>
            <w:tcBorders/>
          </w:tcPr>
          <w:p>
            <w:pPr>
              <w:pStyle w:val="Normal"/>
              <w:spacing w:before="0" w:after="0"/>
              <w:jc w:val="center"/>
              <w:rPr>
                <w:color w:val="000000"/>
                <w:lang w:eastAsia="en-US"/>
              </w:rPr>
            </w:pPr>
            <w:r>
              <w:rPr>
                <w:color w:val="000000"/>
                <w:lang w:eastAsia="en-US"/>
              </w:rPr>
              <w:t>49.10</w:t>
            </w:r>
          </w:p>
        </w:tc>
      </w:tr>
      <w:tr>
        <w:trPr>
          <w:trHeight w:val="250" w:hRule="atLeast"/>
        </w:trPr>
        <w:tc>
          <w:tcPr>
            <w:tcW w:w="1262" w:type="dxa"/>
            <w:tcBorders/>
          </w:tcPr>
          <w:p>
            <w:pPr>
              <w:pStyle w:val="Normal"/>
              <w:spacing w:before="0" w:after="0"/>
              <w:jc w:val="center"/>
              <w:rPr>
                <w:color w:val="000000"/>
                <w:lang w:eastAsia="en-US"/>
              </w:rPr>
            </w:pPr>
            <w:r>
              <w:rPr>
                <w:color w:val="000000"/>
                <w:lang w:eastAsia="en-US"/>
              </w:rPr>
              <w:t>11</w:t>
            </w:r>
          </w:p>
        </w:tc>
        <w:tc>
          <w:tcPr>
            <w:tcW w:w="1263" w:type="dxa"/>
            <w:tcBorders/>
          </w:tcPr>
          <w:p>
            <w:pPr>
              <w:pStyle w:val="Normal"/>
              <w:spacing w:before="0" w:after="0"/>
              <w:jc w:val="center"/>
              <w:rPr>
                <w:color w:val="FF0000"/>
                <w:lang w:eastAsia="en-US"/>
              </w:rPr>
            </w:pPr>
            <w:r>
              <w:rPr>
                <w:color w:val="FF0000"/>
                <w:lang w:eastAsia="en-US"/>
              </w:rPr>
              <w:t>45.56</w:t>
            </w:r>
          </w:p>
        </w:tc>
        <w:tc>
          <w:tcPr>
            <w:tcW w:w="1262" w:type="dxa"/>
            <w:tcBorders/>
          </w:tcPr>
          <w:p>
            <w:pPr>
              <w:pStyle w:val="Normal"/>
              <w:spacing w:before="0" w:after="0"/>
              <w:jc w:val="center"/>
              <w:rPr>
                <w:color w:val="000000"/>
                <w:lang w:eastAsia="en-US"/>
              </w:rPr>
            </w:pPr>
            <w:r>
              <w:rPr>
                <w:color w:val="000000"/>
                <w:lang w:eastAsia="en-US"/>
              </w:rPr>
              <w:t>48.44</w:t>
            </w:r>
          </w:p>
        </w:tc>
        <w:tc>
          <w:tcPr>
            <w:tcW w:w="1063" w:type="dxa"/>
            <w:tcBorders/>
          </w:tcPr>
          <w:p>
            <w:pPr>
              <w:pStyle w:val="Normal"/>
              <w:spacing w:before="0" w:after="0"/>
              <w:jc w:val="center"/>
              <w:rPr>
                <w:color w:val="FF0000"/>
                <w:lang w:eastAsia="en-US"/>
              </w:rPr>
            </w:pPr>
            <w:r>
              <w:rPr>
                <w:color w:val="FF0000"/>
                <w:lang w:eastAsia="en-US"/>
              </w:rPr>
              <w:t>43.13</w:t>
            </w:r>
          </w:p>
        </w:tc>
      </w:tr>
      <w:tr>
        <w:trPr>
          <w:trHeight w:val="250" w:hRule="atLeast"/>
        </w:trPr>
        <w:tc>
          <w:tcPr>
            <w:tcW w:w="1262" w:type="dxa"/>
            <w:tcBorders/>
          </w:tcPr>
          <w:p>
            <w:pPr>
              <w:pStyle w:val="Normal"/>
              <w:spacing w:before="0" w:after="0"/>
              <w:jc w:val="center"/>
              <w:rPr>
                <w:color w:val="000000"/>
                <w:lang w:eastAsia="en-US"/>
              </w:rPr>
            </w:pPr>
            <w:r>
              <w:rPr>
                <w:color w:val="000000"/>
                <w:lang w:eastAsia="en-US"/>
              </w:rPr>
              <w:t>12</w:t>
            </w:r>
          </w:p>
        </w:tc>
        <w:tc>
          <w:tcPr>
            <w:tcW w:w="1263" w:type="dxa"/>
            <w:tcBorders/>
          </w:tcPr>
          <w:p>
            <w:pPr>
              <w:pStyle w:val="Normal"/>
              <w:spacing w:before="0" w:after="0"/>
              <w:jc w:val="center"/>
              <w:rPr>
                <w:color w:val="000000"/>
                <w:lang w:eastAsia="en-US"/>
              </w:rPr>
            </w:pPr>
            <w:r>
              <w:rPr>
                <w:color w:val="000000"/>
                <w:lang w:eastAsia="en-US"/>
              </w:rPr>
              <w:t>45.04</w:t>
            </w:r>
          </w:p>
        </w:tc>
        <w:tc>
          <w:tcPr>
            <w:tcW w:w="1262" w:type="dxa"/>
            <w:tcBorders/>
          </w:tcPr>
          <w:p>
            <w:pPr>
              <w:pStyle w:val="Normal"/>
              <w:spacing w:before="0" w:after="0"/>
              <w:jc w:val="center"/>
              <w:rPr>
                <w:color w:val="000000"/>
                <w:lang w:eastAsia="en-US"/>
              </w:rPr>
            </w:pPr>
            <w:r>
              <w:rPr>
                <w:color w:val="000000"/>
                <w:lang w:eastAsia="en-US"/>
              </w:rPr>
              <w:t>52.23</w:t>
            </w:r>
          </w:p>
        </w:tc>
        <w:tc>
          <w:tcPr>
            <w:tcW w:w="1063" w:type="dxa"/>
            <w:tcBorders/>
          </w:tcPr>
          <w:p>
            <w:pPr>
              <w:pStyle w:val="Normal"/>
              <w:spacing w:before="0" w:after="0"/>
              <w:jc w:val="center"/>
              <w:rPr>
                <w:color w:val="FF0000"/>
                <w:lang w:eastAsia="en-US"/>
              </w:rPr>
            </w:pPr>
            <w:r>
              <w:rPr>
                <w:color w:val="FF0000"/>
                <w:lang w:eastAsia="en-US"/>
              </w:rPr>
              <w:t>35.92</w:t>
            </w:r>
          </w:p>
        </w:tc>
      </w:tr>
      <w:tr>
        <w:trPr>
          <w:trHeight w:val="250" w:hRule="atLeast"/>
        </w:trPr>
        <w:tc>
          <w:tcPr>
            <w:tcW w:w="1262" w:type="dxa"/>
            <w:tcBorders/>
          </w:tcPr>
          <w:p>
            <w:pPr>
              <w:pStyle w:val="Normal"/>
              <w:spacing w:before="0" w:after="0"/>
              <w:jc w:val="center"/>
              <w:rPr>
                <w:color w:val="000000"/>
                <w:lang w:eastAsia="en-US"/>
              </w:rPr>
            </w:pPr>
            <w:r>
              <w:rPr>
                <w:color w:val="000000"/>
                <w:lang w:eastAsia="en-US"/>
              </w:rPr>
              <w:t>13</w:t>
            </w:r>
          </w:p>
        </w:tc>
        <w:tc>
          <w:tcPr>
            <w:tcW w:w="1263" w:type="dxa"/>
            <w:tcBorders/>
          </w:tcPr>
          <w:p>
            <w:pPr>
              <w:pStyle w:val="Normal"/>
              <w:spacing w:before="0" w:after="0"/>
              <w:jc w:val="center"/>
              <w:rPr>
                <w:color w:val="000000"/>
                <w:lang w:eastAsia="en-US"/>
              </w:rPr>
            </w:pPr>
            <w:r>
              <w:rPr>
                <w:color w:val="000000"/>
                <w:lang w:eastAsia="en-US"/>
              </w:rPr>
              <w:t>43.04</w:t>
            </w:r>
          </w:p>
        </w:tc>
        <w:tc>
          <w:tcPr>
            <w:tcW w:w="1262" w:type="dxa"/>
            <w:tcBorders/>
          </w:tcPr>
          <w:p>
            <w:pPr>
              <w:pStyle w:val="Normal"/>
              <w:spacing w:before="0" w:after="0"/>
              <w:jc w:val="center"/>
              <w:rPr>
                <w:color w:val="000000"/>
                <w:lang w:eastAsia="en-US"/>
              </w:rPr>
            </w:pPr>
            <w:r>
              <w:rPr>
                <w:color w:val="000000"/>
                <w:lang w:eastAsia="en-US"/>
              </w:rPr>
              <w:t>47.13</w:t>
            </w:r>
          </w:p>
        </w:tc>
        <w:tc>
          <w:tcPr>
            <w:tcW w:w="1063" w:type="dxa"/>
            <w:tcBorders/>
          </w:tcPr>
          <w:p>
            <w:pPr>
              <w:pStyle w:val="Normal"/>
              <w:spacing w:before="0" w:after="0"/>
              <w:jc w:val="center"/>
              <w:rPr>
                <w:color w:val="000000"/>
                <w:lang w:eastAsia="en-US"/>
              </w:rPr>
            </w:pPr>
            <w:r>
              <w:rPr>
                <w:color w:val="000000"/>
                <w:lang w:eastAsia="en-US"/>
              </w:rPr>
              <w:t>52.52</w:t>
            </w:r>
          </w:p>
        </w:tc>
      </w:tr>
      <w:tr>
        <w:trPr>
          <w:trHeight w:val="250" w:hRule="atLeast"/>
        </w:trPr>
        <w:tc>
          <w:tcPr>
            <w:tcW w:w="1262" w:type="dxa"/>
            <w:tcBorders/>
          </w:tcPr>
          <w:p>
            <w:pPr>
              <w:pStyle w:val="Normal"/>
              <w:spacing w:before="0" w:after="0"/>
              <w:jc w:val="center"/>
              <w:rPr>
                <w:color w:val="000000"/>
                <w:lang w:eastAsia="en-US"/>
              </w:rPr>
            </w:pPr>
            <w:r>
              <w:rPr>
                <w:color w:val="000000"/>
                <w:lang w:eastAsia="en-US"/>
              </w:rPr>
              <w:t>14</w:t>
            </w:r>
          </w:p>
        </w:tc>
        <w:tc>
          <w:tcPr>
            <w:tcW w:w="1263" w:type="dxa"/>
            <w:tcBorders/>
          </w:tcPr>
          <w:p>
            <w:pPr>
              <w:pStyle w:val="Normal"/>
              <w:spacing w:before="0" w:after="0"/>
              <w:jc w:val="center"/>
              <w:rPr>
                <w:color w:val="000000"/>
                <w:lang w:eastAsia="en-US"/>
              </w:rPr>
            </w:pPr>
            <w:r>
              <w:rPr>
                <w:color w:val="000000"/>
                <w:lang w:eastAsia="en-US"/>
              </w:rPr>
              <w:t>44.82</w:t>
            </w:r>
          </w:p>
        </w:tc>
        <w:tc>
          <w:tcPr>
            <w:tcW w:w="1262" w:type="dxa"/>
            <w:tcBorders/>
          </w:tcPr>
          <w:p>
            <w:pPr>
              <w:pStyle w:val="Normal"/>
              <w:spacing w:before="0" w:after="0"/>
              <w:jc w:val="center"/>
              <w:rPr>
                <w:color w:val="FF0000"/>
                <w:lang w:eastAsia="en-US"/>
              </w:rPr>
            </w:pPr>
            <w:r>
              <w:rPr>
                <w:color w:val="FF0000"/>
                <w:lang w:eastAsia="en-US"/>
              </w:rPr>
              <w:t>37.69</w:t>
            </w:r>
          </w:p>
        </w:tc>
        <w:tc>
          <w:tcPr>
            <w:tcW w:w="1063" w:type="dxa"/>
            <w:tcBorders/>
          </w:tcPr>
          <w:p>
            <w:pPr>
              <w:pStyle w:val="Normal"/>
              <w:spacing w:before="0" w:after="0"/>
              <w:jc w:val="center"/>
              <w:rPr>
                <w:color w:val="000000"/>
                <w:lang w:eastAsia="en-US"/>
              </w:rPr>
            </w:pPr>
            <w:r>
              <w:rPr>
                <w:color w:val="000000"/>
                <w:lang w:eastAsia="en-US"/>
              </w:rPr>
              <w:t>46.11</w:t>
            </w:r>
          </w:p>
        </w:tc>
      </w:tr>
      <w:tr>
        <w:trPr>
          <w:trHeight w:val="250" w:hRule="atLeast"/>
        </w:trPr>
        <w:tc>
          <w:tcPr>
            <w:tcW w:w="1262" w:type="dxa"/>
            <w:tcBorders/>
          </w:tcPr>
          <w:p>
            <w:pPr>
              <w:pStyle w:val="Normal"/>
              <w:spacing w:before="0" w:after="0"/>
              <w:jc w:val="center"/>
              <w:rPr>
                <w:color w:val="000000"/>
                <w:lang w:eastAsia="en-US"/>
              </w:rPr>
            </w:pPr>
            <w:r>
              <w:rPr>
                <w:color w:val="000000"/>
                <w:lang w:eastAsia="en-US"/>
              </w:rPr>
              <w:t>15</w:t>
            </w:r>
          </w:p>
        </w:tc>
        <w:tc>
          <w:tcPr>
            <w:tcW w:w="1263" w:type="dxa"/>
            <w:tcBorders/>
          </w:tcPr>
          <w:p>
            <w:pPr>
              <w:pStyle w:val="Normal"/>
              <w:spacing w:before="0" w:after="0"/>
              <w:jc w:val="center"/>
              <w:rPr>
                <w:color w:val="000000"/>
                <w:lang w:eastAsia="en-US"/>
              </w:rPr>
            </w:pPr>
            <w:r>
              <w:rPr>
                <w:color w:val="000000"/>
                <w:lang w:eastAsia="en-US"/>
              </w:rPr>
              <w:t>45.88</w:t>
            </w:r>
          </w:p>
        </w:tc>
        <w:tc>
          <w:tcPr>
            <w:tcW w:w="1262" w:type="dxa"/>
            <w:tcBorders/>
          </w:tcPr>
          <w:p>
            <w:pPr>
              <w:pStyle w:val="Normal"/>
              <w:spacing w:before="0" w:after="0"/>
              <w:jc w:val="center"/>
              <w:rPr>
                <w:color w:val="FF0000"/>
                <w:lang w:eastAsia="en-US"/>
              </w:rPr>
            </w:pPr>
            <w:r>
              <w:rPr>
                <w:color w:val="FF0000"/>
                <w:lang w:eastAsia="en-US"/>
              </w:rPr>
              <w:t>42.05</w:t>
            </w:r>
          </w:p>
        </w:tc>
        <w:tc>
          <w:tcPr>
            <w:tcW w:w="1063" w:type="dxa"/>
            <w:tcBorders/>
          </w:tcPr>
          <w:p>
            <w:pPr>
              <w:pStyle w:val="Normal"/>
              <w:spacing w:before="0" w:after="0"/>
              <w:jc w:val="center"/>
              <w:rPr>
                <w:color w:val="000000"/>
                <w:lang w:eastAsia="en-US"/>
              </w:rPr>
            </w:pPr>
            <w:r>
              <w:rPr>
                <w:color w:val="000000"/>
                <w:lang w:eastAsia="en-US"/>
              </w:rPr>
              <w:t>45.52</w:t>
            </w:r>
          </w:p>
        </w:tc>
      </w:tr>
      <w:tr>
        <w:trPr>
          <w:trHeight w:val="250" w:hRule="atLeast"/>
        </w:trPr>
        <w:tc>
          <w:tcPr>
            <w:tcW w:w="1262" w:type="dxa"/>
            <w:tcBorders/>
          </w:tcPr>
          <w:p>
            <w:pPr>
              <w:pStyle w:val="Normal"/>
              <w:spacing w:before="0" w:after="0"/>
              <w:jc w:val="center"/>
              <w:rPr>
                <w:color w:val="000000"/>
                <w:lang w:eastAsia="en-US"/>
              </w:rPr>
            </w:pPr>
            <w:r>
              <w:rPr>
                <w:color w:val="000000"/>
                <w:lang w:eastAsia="en-US"/>
              </w:rPr>
              <w:t>16</w:t>
            </w:r>
          </w:p>
        </w:tc>
        <w:tc>
          <w:tcPr>
            <w:tcW w:w="1263" w:type="dxa"/>
            <w:tcBorders/>
          </w:tcPr>
          <w:p>
            <w:pPr>
              <w:pStyle w:val="Normal"/>
              <w:spacing w:before="0" w:after="0"/>
              <w:jc w:val="center"/>
              <w:rPr>
                <w:color w:val="000000"/>
                <w:lang w:eastAsia="en-US"/>
              </w:rPr>
            </w:pPr>
            <w:r>
              <w:rPr>
                <w:color w:val="000000"/>
                <w:lang w:eastAsia="en-US"/>
              </w:rPr>
              <w:t>46.26</w:t>
            </w:r>
          </w:p>
        </w:tc>
        <w:tc>
          <w:tcPr>
            <w:tcW w:w="1262" w:type="dxa"/>
            <w:tcBorders/>
          </w:tcPr>
          <w:p>
            <w:pPr>
              <w:pStyle w:val="Normal"/>
              <w:spacing w:before="0" w:after="0"/>
              <w:jc w:val="center"/>
              <w:rPr>
                <w:color w:val="000000"/>
                <w:lang w:eastAsia="en-US"/>
              </w:rPr>
            </w:pPr>
            <w:r>
              <w:rPr>
                <w:color w:val="000000"/>
                <w:lang w:eastAsia="en-US"/>
              </w:rPr>
              <w:t>53.42</w:t>
            </w:r>
          </w:p>
        </w:tc>
        <w:tc>
          <w:tcPr>
            <w:tcW w:w="1063" w:type="dxa"/>
            <w:tcBorders/>
          </w:tcPr>
          <w:p>
            <w:pPr>
              <w:pStyle w:val="Normal"/>
              <w:spacing w:before="0" w:after="0"/>
              <w:jc w:val="center"/>
              <w:rPr>
                <w:color w:val="000000"/>
                <w:lang w:eastAsia="en-US"/>
              </w:rPr>
            </w:pPr>
            <w:r>
              <w:rPr>
                <w:color w:val="000000"/>
                <w:lang w:eastAsia="en-US"/>
              </w:rPr>
              <w:t>49.77</w:t>
            </w:r>
          </w:p>
        </w:tc>
      </w:tr>
      <w:tr>
        <w:trPr>
          <w:trHeight w:val="250" w:hRule="atLeast"/>
        </w:trPr>
        <w:tc>
          <w:tcPr>
            <w:tcW w:w="1262" w:type="dxa"/>
            <w:tcBorders/>
          </w:tcPr>
          <w:p>
            <w:pPr>
              <w:pStyle w:val="Normal"/>
              <w:spacing w:before="0" w:after="0"/>
              <w:jc w:val="center"/>
              <w:rPr>
                <w:color w:val="000000"/>
                <w:lang w:eastAsia="en-US"/>
              </w:rPr>
            </w:pPr>
            <w:r>
              <w:rPr>
                <w:color w:val="000000"/>
                <w:lang w:eastAsia="en-US"/>
              </w:rPr>
              <w:t>17</w:t>
            </w:r>
          </w:p>
        </w:tc>
        <w:tc>
          <w:tcPr>
            <w:tcW w:w="1263" w:type="dxa"/>
            <w:tcBorders/>
          </w:tcPr>
          <w:p>
            <w:pPr>
              <w:pStyle w:val="Normal"/>
              <w:spacing w:before="0" w:after="0"/>
              <w:jc w:val="center"/>
              <w:rPr>
                <w:color w:val="FF0000"/>
                <w:lang w:eastAsia="en-US"/>
              </w:rPr>
            </w:pPr>
            <w:r>
              <w:rPr>
                <w:color w:val="FF0000"/>
                <w:lang w:eastAsia="en-US"/>
              </w:rPr>
              <w:t>42.44</w:t>
            </w:r>
          </w:p>
        </w:tc>
        <w:tc>
          <w:tcPr>
            <w:tcW w:w="1262" w:type="dxa"/>
            <w:tcBorders/>
          </w:tcPr>
          <w:p>
            <w:pPr>
              <w:pStyle w:val="Normal"/>
              <w:spacing w:before="0" w:after="0"/>
              <w:jc w:val="center"/>
              <w:rPr>
                <w:color w:val="000000"/>
                <w:lang w:eastAsia="en-US"/>
              </w:rPr>
            </w:pPr>
            <w:r>
              <w:rPr>
                <w:color w:val="000000"/>
                <w:lang w:eastAsia="en-US"/>
              </w:rPr>
              <w:t>53.32</w:t>
            </w:r>
          </w:p>
        </w:tc>
        <w:tc>
          <w:tcPr>
            <w:tcW w:w="1063" w:type="dxa"/>
            <w:tcBorders/>
          </w:tcPr>
          <w:p>
            <w:pPr>
              <w:pStyle w:val="Normal"/>
              <w:spacing w:before="0" w:after="0"/>
              <w:jc w:val="center"/>
              <w:rPr>
                <w:color w:val="000000"/>
                <w:lang w:eastAsia="en-US"/>
              </w:rPr>
            </w:pPr>
            <w:r>
              <w:rPr>
                <w:color w:val="000000"/>
                <w:lang w:eastAsia="en-US"/>
              </w:rPr>
              <w:t>55.03</w:t>
            </w:r>
          </w:p>
        </w:tc>
      </w:tr>
      <w:tr>
        <w:trPr>
          <w:trHeight w:val="250" w:hRule="atLeast"/>
        </w:trPr>
        <w:tc>
          <w:tcPr>
            <w:tcW w:w="1262" w:type="dxa"/>
            <w:tcBorders/>
          </w:tcPr>
          <w:p>
            <w:pPr>
              <w:pStyle w:val="Normal"/>
              <w:spacing w:before="0" w:after="0"/>
              <w:jc w:val="center"/>
              <w:rPr>
                <w:color w:val="000000"/>
                <w:lang w:eastAsia="en-US"/>
              </w:rPr>
            </w:pPr>
            <w:r>
              <w:rPr>
                <w:color w:val="000000"/>
                <w:lang w:eastAsia="en-US"/>
              </w:rPr>
              <w:t>18</w:t>
            </w:r>
          </w:p>
        </w:tc>
        <w:tc>
          <w:tcPr>
            <w:tcW w:w="1263" w:type="dxa"/>
            <w:tcBorders/>
          </w:tcPr>
          <w:p>
            <w:pPr>
              <w:pStyle w:val="Normal"/>
              <w:spacing w:before="0" w:after="0"/>
              <w:jc w:val="center"/>
              <w:rPr>
                <w:color w:val="FF0000"/>
                <w:lang w:eastAsia="en-US"/>
              </w:rPr>
            </w:pPr>
            <w:r>
              <w:rPr>
                <w:color w:val="FF0000"/>
                <w:lang w:eastAsia="en-US"/>
              </w:rPr>
              <w:t>42.44</w:t>
            </w:r>
          </w:p>
        </w:tc>
        <w:tc>
          <w:tcPr>
            <w:tcW w:w="1262" w:type="dxa"/>
            <w:tcBorders/>
          </w:tcPr>
          <w:p>
            <w:pPr>
              <w:pStyle w:val="Normal"/>
              <w:spacing w:before="0" w:after="0"/>
              <w:jc w:val="center"/>
              <w:rPr>
                <w:color w:val="000000"/>
                <w:lang w:eastAsia="en-US"/>
              </w:rPr>
            </w:pPr>
            <w:r>
              <w:rPr>
                <w:color w:val="000000"/>
                <w:lang w:eastAsia="en-US"/>
              </w:rPr>
              <w:t>51.98</w:t>
            </w:r>
          </w:p>
        </w:tc>
        <w:tc>
          <w:tcPr>
            <w:tcW w:w="1063" w:type="dxa"/>
            <w:tcBorders/>
          </w:tcPr>
          <w:p>
            <w:pPr>
              <w:pStyle w:val="Normal"/>
              <w:spacing w:before="0" w:after="0"/>
              <w:jc w:val="center"/>
              <w:rPr>
                <w:color w:val="FF0000"/>
                <w:lang w:eastAsia="en-US"/>
              </w:rPr>
            </w:pPr>
            <w:r>
              <w:rPr>
                <w:color w:val="FF0000"/>
                <w:lang w:eastAsia="en-US"/>
              </w:rPr>
              <w:t>50.27</w:t>
            </w:r>
          </w:p>
        </w:tc>
      </w:tr>
      <w:tr>
        <w:trPr>
          <w:trHeight w:val="250" w:hRule="atLeast"/>
        </w:trPr>
        <w:tc>
          <w:tcPr>
            <w:tcW w:w="1262" w:type="dxa"/>
            <w:tcBorders/>
          </w:tcPr>
          <w:p>
            <w:pPr>
              <w:pStyle w:val="Normal"/>
              <w:spacing w:before="0" w:after="0"/>
              <w:jc w:val="center"/>
              <w:rPr>
                <w:color w:val="000000"/>
                <w:lang w:eastAsia="en-US"/>
              </w:rPr>
            </w:pPr>
            <w:r>
              <w:rPr>
                <w:color w:val="000000"/>
                <w:lang w:eastAsia="en-US"/>
              </w:rPr>
              <w:t>19</w:t>
            </w:r>
          </w:p>
        </w:tc>
        <w:tc>
          <w:tcPr>
            <w:tcW w:w="1263" w:type="dxa"/>
            <w:tcBorders/>
          </w:tcPr>
          <w:p>
            <w:pPr>
              <w:pStyle w:val="Normal"/>
              <w:spacing w:before="0" w:after="0"/>
              <w:jc w:val="center"/>
              <w:rPr>
                <w:color w:val="000000"/>
                <w:lang w:eastAsia="en-US"/>
              </w:rPr>
            </w:pPr>
            <w:r>
              <w:rPr>
                <w:color w:val="000000"/>
                <w:lang w:eastAsia="en-US"/>
              </w:rPr>
              <w:t>47.78</w:t>
            </w:r>
          </w:p>
        </w:tc>
        <w:tc>
          <w:tcPr>
            <w:tcW w:w="1262" w:type="dxa"/>
            <w:tcBorders/>
          </w:tcPr>
          <w:p>
            <w:pPr>
              <w:pStyle w:val="Normal"/>
              <w:spacing w:before="0" w:after="0"/>
              <w:jc w:val="center"/>
              <w:rPr>
                <w:color w:val="000000"/>
                <w:lang w:eastAsia="en-US"/>
              </w:rPr>
            </w:pPr>
            <w:r>
              <w:rPr>
                <w:color w:val="000000"/>
                <w:lang w:eastAsia="en-US"/>
              </w:rPr>
              <w:t>47.83</w:t>
            </w:r>
          </w:p>
        </w:tc>
        <w:tc>
          <w:tcPr>
            <w:tcW w:w="1063" w:type="dxa"/>
            <w:tcBorders/>
          </w:tcPr>
          <w:p>
            <w:pPr>
              <w:pStyle w:val="Normal"/>
              <w:spacing w:before="0" w:after="0"/>
              <w:jc w:val="center"/>
              <w:rPr>
                <w:color w:val="FF0000"/>
                <w:lang w:eastAsia="en-US"/>
              </w:rPr>
            </w:pPr>
            <w:r>
              <w:rPr>
                <w:color w:val="FF0000"/>
                <w:lang w:eastAsia="en-US"/>
              </w:rPr>
              <w:t>57.80</w:t>
            </w:r>
          </w:p>
        </w:tc>
      </w:tr>
      <w:tr>
        <w:trPr>
          <w:trHeight w:val="250" w:hRule="atLeast"/>
        </w:trPr>
        <w:tc>
          <w:tcPr>
            <w:tcW w:w="1262" w:type="dxa"/>
            <w:tcBorders/>
          </w:tcPr>
          <w:p>
            <w:pPr>
              <w:pStyle w:val="Normal"/>
              <w:spacing w:before="0" w:after="0"/>
              <w:jc w:val="center"/>
              <w:rPr>
                <w:color w:val="000000"/>
                <w:lang w:eastAsia="en-US"/>
              </w:rPr>
            </w:pPr>
            <w:r>
              <w:rPr>
                <w:color w:val="000000"/>
                <w:lang w:eastAsia="en-US"/>
              </w:rPr>
              <w:t>20</w:t>
            </w:r>
          </w:p>
        </w:tc>
        <w:tc>
          <w:tcPr>
            <w:tcW w:w="1263" w:type="dxa"/>
            <w:tcBorders/>
          </w:tcPr>
          <w:p>
            <w:pPr>
              <w:pStyle w:val="Normal"/>
              <w:spacing w:before="0" w:after="0"/>
              <w:jc w:val="center"/>
              <w:rPr>
                <w:color w:val="000000"/>
                <w:lang w:eastAsia="en-US"/>
              </w:rPr>
            </w:pPr>
            <w:r>
              <w:rPr>
                <w:color w:val="000000"/>
                <w:lang w:eastAsia="en-US"/>
              </w:rPr>
              <w:t>46.33</w:t>
            </w:r>
          </w:p>
        </w:tc>
        <w:tc>
          <w:tcPr>
            <w:tcW w:w="1262" w:type="dxa"/>
            <w:tcBorders/>
          </w:tcPr>
          <w:p>
            <w:pPr>
              <w:pStyle w:val="Normal"/>
              <w:spacing w:before="0" w:after="0"/>
              <w:jc w:val="center"/>
              <w:rPr>
                <w:color w:val="000000"/>
                <w:lang w:eastAsia="en-US"/>
              </w:rPr>
            </w:pPr>
            <w:r>
              <w:rPr>
                <w:color w:val="000000"/>
                <w:lang w:eastAsia="en-US"/>
              </w:rPr>
              <w:t>45.48</w:t>
            </w:r>
          </w:p>
        </w:tc>
        <w:tc>
          <w:tcPr>
            <w:tcW w:w="1063" w:type="dxa"/>
            <w:tcBorders/>
          </w:tcPr>
          <w:p>
            <w:pPr>
              <w:pStyle w:val="Normal"/>
              <w:spacing w:before="0" w:after="0"/>
              <w:jc w:val="center"/>
              <w:rPr>
                <w:color w:val="000000"/>
                <w:lang w:eastAsia="en-US"/>
              </w:rPr>
            </w:pPr>
            <w:r>
              <w:rPr>
                <w:color w:val="000000"/>
                <w:lang w:eastAsia="en-US"/>
              </w:rPr>
              <w:t>45.68</w:t>
            </w:r>
          </w:p>
        </w:tc>
      </w:tr>
      <w:tr>
        <w:trPr>
          <w:trHeight w:val="250" w:hRule="atLeast"/>
        </w:trPr>
        <w:tc>
          <w:tcPr>
            <w:tcW w:w="1262" w:type="dxa"/>
            <w:tcBorders/>
          </w:tcPr>
          <w:p>
            <w:pPr>
              <w:pStyle w:val="Normal"/>
              <w:spacing w:before="0" w:after="0"/>
              <w:jc w:val="center"/>
              <w:rPr>
                <w:color w:val="000000"/>
                <w:lang w:eastAsia="en-US"/>
              </w:rPr>
            </w:pPr>
            <w:r>
              <w:rPr>
                <w:color w:val="000000"/>
                <w:lang w:eastAsia="en-US"/>
              </w:rPr>
              <w:t>21</w:t>
            </w:r>
          </w:p>
        </w:tc>
        <w:tc>
          <w:tcPr>
            <w:tcW w:w="1263" w:type="dxa"/>
            <w:tcBorders/>
          </w:tcPr>
          <w:p>
            <w:pPr>
              <w:pStyle w:val="Normal"/>
              <w:spacing w:before="0" w:after="0"/>
              <w:jc w:val="center"/>
              <w:rPr>
                <w:color w:val="000000"/>
                <w:lang w:eastAsia="en-US"/>
              </w:rPr>
            </w:pPr>
            <w:r>
              <w:rPr>
                <w:color w:val="000000"/>
                <w:lang w:eastAsia="en-US"/>
              </w:rPr>
              <w:t>46.93</w:t>
            </w:r>
          </w:p>
        </w:tc>
        <w:tc>
          <w:tcPr>
            <w:tcW w:w="1262" w:type="dxa"/>
            <w:tcBorders/>
          </w:tcPr>
          <w:p>
            <w:pPr>
              <w:pStyle w:val="Normal"/>
              <w:spacing w:before="0" w:after="0"/>
              <w:jc w:val="center"/>
              <w:rPr>
                <w:color w:val="FF0000"/>
                <w:lang w:eastAsia="en-US"/>
              </w:rPr>
            </w:pPr>
            <w:r>
              <w:rPr>
                <w:color w:val="FF0000"/>
                <w:lang w:eastAsia="en-US"/>
              </w:rPr>
              <w:t>37.62</w:t>
            </w:r>
          </w:p>
        </w:tc>
        <w:tc>
          <w:tcPr>
            <w:tcW w:w="1063" w:type="dxa"/>
            <w:tcBorders/>
          </w:tcPr>
          <w:p>
            <w:pPr>
              <w:pStyle w:val="Normal"/>
              <w:spacing w:before="0" w:after="0"/>
              <w:jc w:val="center"/>
              <w:rPr>
                <w:color w:val="000000"/>
                <w:lang w:eastAsia="en-US"/>
              </w:rPr>
            </w:pPr>
            <w:r>
              <w:rPr>
                <w:color w:val="000000"/>
                <w:lang w:eastAsia="en-US"/>
              </w:rPr>
              <w:t>53.79</w:t>
            </w:r>
          </w:p>
        </w:tc>
      </w:tr>
      <w:tr>
        <w:trPr>
          <w:trHeight w:val="250" w:hRule="atLeast"/>
        </w:trPr>
        <w:tc>
          <w:tcPr>
            <w:tcW w:w="1262" w:type="dxa"/>
            <w:tcBorders/>
          </w:tcPr>
          <w:p>
            <w:pPr>
              <w:pStyle w:val="Normal"/>
              <w:spacing w:before="0" w:after="0"/>
              <w:jc w:val="center"/>
              <w:rPr>
                <w:color w:val="000000"/>
                <w:lang w:eastAsia="en-US"/>
              </w:rPr>
            </w:pPr>
            <w:r>
              <w:rPr>
                <w:color w:val="000000"/>
                <w:lang w:eastAsia="en-US"/>
              </w:rPr>
              <w:t>22</w:t>
            </w:r>
          </w:p>
        </w:tc>
        <w:tc>
          <w:tcPr>
            <w:tcW w:w="1263" w:type="dxa"/>
            <w:tcBorders/>
          </w:tcPr>
          <w:p>
            <w:pPr>
              <w:pStyle w:val="Normal"/>
              <w:spacing w:before="0" w:after="0"/>
              <w:jc w:val="center"/>
              <w:rPr>
                <w:color w:val="000000"/>
                <w:lang w:eastAsia="en-US"/>
              </w:rPr>
            </w:pPr>
            <w:r>
              <w:rPr>
                <w:color w:val="000000"/>
                <w:lang w:eastAsia="en-US"/>
              </w:rPr>
              <w:t>49.68</w:t>
            </w:r>
          </w:p>
        </w:tc>
        <w:tc>
          <w:tcPr>
            <w:tcW w:w="1262" w:type="dxa"/>
            <w:tcBorders/>
          </w:tcPr>
          <w:p>
            <w:pPr>
              <w:pStyle w:val="Normal"/>
              <w:spacing w:before="0" w:after="0"/>
              <w:jc w:val="center"/>
              <w:rPr>
                <w:color w:val="FF0000"/>
                <w:lang w:eastAsia="en-US"/>
              </w:rPr>
            </w:pPr>
            <w:r>
              <w:rPr>
                <w:color w:val="FF0000"/>
                <w:lang w:eastAsia="en-US"/>
              </w:rPr>
              <w:t>36.37</w:t>
            </w:r>
          </w:p>
        </w:tc>
        <w:tc>
          <w:tcPr>
            <w:tcW w:w="1063" w:type="dxa"/>
            <w:tcBorders/>
          </w:tcPr>
          <w:p>
            <w:pPr>
              <w:pStyle w:val="Normal"/>
              <w:spacing w:before="0" w:after="0"/>
              <w:jc w:val="center"/>
              <w:rPr>
                <w:color w:val="000000"/>
                <w:lang w:eastAsia="en-US"/>
              </w:rPr>
            </w:pPr>
            <w:r>
              <w:rPr>
                <w:color w:val="000000"/>
                <w:lang w:eastAsia="en-US"/>
              </w:rPr>
              <w:t>48.86</w:t>
            </w:r>
          </w:p>
        </w:tc>
      </w:tr>
      <w:tr>
        <w:trPr>
          <w:trHeight w:val="250" w:hRule="atLeast"/>
        </w:trPr>
        <w:tc>
          <w:tcPr>
            <w:tcW w:w="1262" w:type="dxa"/>
            <w:tcBorders/>
          </w:tcPr>
          <w:p>
            <w:pPr>
              <w:pStyle w:val="Normal"/>
              <w:spacing w:before="0" w:after="0"/>
              <w:jc w:val="center"/>
              <w:rPr>
                <w:color w:val="000000"/>
                <w:lang w:eastAsia="en-US"/>
              </w:rPr>
            </w:pPr>
            <w:r>
              <w:rPr>
                <w:color w:val="000000"/>
                <w:lang w:eastAsia="en-US"/>
              </w:rPr>
              <w:t>23</w:t>
            </w:r>
          </w:p>
        </w:tc>
        <w:tc>
          <w:tcPr>
            <w:tcW w:w="1263" w:type="dxa"/>
            <w:tcBorders/>
          </w:tcPr>
          <w:p>
            <w:pPr>
              <w:pStyle w:val="Normal"/>
              <w:spacing w:before="0" w:after="0"/>
              <w:jc w:val="center"/>
              <w:rPr>
                <w:color w:val="000000"/>
                <w:lang w:eastAsia="en-US"/>
              </w:rPr>
            </w:pPr>
            <w:r>
              <w:rPr>
                <w:color w:val="000000"/>
                <w:lang w:eastAsia="en-US"/>
              </w:rPr>
              <w:t>44.96</w:t>
            </w:r>
          </w:p>
        </w:tc>
        <w:tc>
          <w:tcPr>
            <w:tcW w:w="1262" w:type="dxa"/>
            <w:tcBorders/>
          </w:tcPr>
          <w:p>
            <w:pPr>
              <w:pStyle w:val="Normal"/>
              <w:spacing w:before="0" w:after="0"/>
              <w:jc w:val="center"/>
              <w:rPr>
                <w:color w:val="000000"/>
                <w:lang w:eastAsia="en-US"/>
              </w:rPr>
            </w:pPr>
            <w:r>
              <w:rPr>
                <w:color w:val="000000"/>
                <w:lang w:eastAsia="en-US"/>
              </w:rPr>
              <w:t>48.61</w:t>
            </w:r>
          </w:p>
        </w:tc>
        <w:tc>
          <w:tcPr>
            <w:tcW w:w="1063" w:type="dxa"/>
            <w:tcBorders/>
          </w:tcPr>
          <w:p>
            <w:pPr>
              <w:pStyle w:val="Normal"/>
              <w:spacing w:before="0" w:after="0"/>
              <w:jc w:val="center"/>
              <w:rPr>
                <w:color w:val="000000"/>
                <w:lang w:eastAsia="en-US"/>
              </w:rPr>
            </w:pPr>
            <w:r>
              <w:rPr>
                <w:color w:val="000000"/>
                <w:lang w:eastAsia="en-US"/>
              </w:rPr>
              <w:t>50.16</w:t>
            </w:r>
          </w:p>
        </w:tc>
      </w:tr>
      <w:tr>
        <w:trPr>
          <w:trHeight w:val="250" w:hRule="atLeast"/>
        </w:trPr>
        <w:tc>
          <w:tcPr>
            <w:tcW w:w="1262" w:type="dxa"/>
            <w:tcBorders/>
          </w:tcPr>
          <w:p>
            <w:pPr>
              <w:pStyle w:val="Normal"/>
              <w:spacing w:before="0" w:after="0"/>
              <w:jc w:val="center"/>
              <w:rPr>
                <w:color w:val="000000"/>
                <w:lang w:eastAsia="en-US"/>
              </w:rPr>
            </w:pPr>
            <w:r>
              <w:rPr>
                <w:color w:val="000000"/>
                <w:lang w:eastAsia="en-US"/>
              </w:rPr>
              <w:t>24</w:t>
            </w:r>
          </w:p>
        </w:tc>
        <w:tc>
          <w:tcPr>
            <w:tcW w:w="1263" w:type="dxa"/>
            <w:tcBorders/>
          </w:tcPr>
          <w:p>
            <w:pPr>
              <w:pStyle w:val="Normal"/>
              <w:spacing w:before="0" w:after="0"/>
              <w:jc w:val="center"/>
              <w:rPr>
                <w:color w:val="FF0000"/>
                <w:lang w:eastAsia="en-US"/>
              </w:rPr>
            </w:pPr>
            <w:r>
              <w:rPr>
                <w:color w:val="FF0000"/>
                <w:lang w:eastAsia="en-US"/>
              </w:rPr>
              <w:t>42.44</w:t>
            </w:r>
          </w:p>
        </w:tc>
        <w:tc>
          <w:tcPr>
            <w:tcW w:w="1262" w:type="dxa"/>
            <w:tcBorders/>
          </w:tcPr>
          <w:p>
            <w:pPr>
              <w:pStyle w:val="Normal"/>
              <w:spacing w:before="0" w:after="0"/>
              <w:jc w:val="center"/>
              <w:rPr>
                <w:color w:val="000000"/>
                <w:lang w:eastAsia="en-US"/>
              </w:rPr>
            </w:pPr>
            <w:r>
              <w:rPr>
                <w:color w:val="000000"/>
                <w:lang w:eastAsia="en-US"/>
              </w:rPr>
              <w:t>44.26</w:t>
            </w:r>
          </w:p>
        </w:tc>
        <w:tc>
          <w:tcPr>
            <w:tcW w:w="1063" w:type="dxa"/>
            <w:tcBorders/>
          </w:tcPr>
          <w:p>
            <w:pPr>
              <w:pStyle w:val="Normal"/>
              <w:spacing w:before="0" w:after="0"/>
              <w:jc w:val="center"/>
              <w:rPr>
                <w:color w:val="000000"/>
                <w:lang w:eastAsia="en-US"/>
              </w:rPr>
            </w:pPr>
            <w:r>
              <w:rPr>
                <w:color w:val="000000"/>
                <w:lang w:eastAsia="en-US"/>
              </w:rPr>
              <w:t>54.45</w:t>
            </w:r>
          </w:p>
        </w:tc>
      </w:tr>
      <w:tr>
        <w:trPr>
          <w:trHeight w:val="250" w:hRule="atLeast"/>
        </w:trPr>
        <w:tc>
          <w:tcPr>
            <w:tcW w:w="1262" w:type="dxa"/>
            <w:tcBorders/>
          </w:tcPr>
          <w:p>
            <w:pPr>
              <w:pStyle w:val="Normal"/>
              <w:spacing w:before="0" w:after="0"/>
              <w:jc w:val="center"/>
              <w:rPr>
                <w:color w:val="000000"/>
                <w:lang w:eastAsia="en-US"/>
              </w:rPr>
            </w:pPr>
            <w:r>
              <w:rPr>
                <w:color w:val="000000"/>
                <w:lang w:eastAsia="en-US"/>
              </w:rPr>
              <w:t>25</w:t>
            </w:r>
          </w:p>
        </w:tc>
        <w:tc>
          <w:tcPr>
            <w:tcW w:w="1263" w:type="dxa"/>
            <w:tcBorders/>
          </w:tcPr>
          <w:p>
            <w:pPr>
              <w:pStyle w:val="Normal"/>
              <w:spacing w:before="0" w:after="0"/>
              <w:jc w:val="center"/>
              <w:rPr>
                <w:color w:val="FF0000"/>
                <w:lang w:eastAsia="en-US"/>
              </w:rPr>
            </w:pPr>
            <w:r>
              <w:rPr>
                <w:color w:val="FF0000"/>
                <w:lang w:eastAsia="en-US"/>
              </w:rPr>
              <w:t>44.35</w:t>
            </w:r>
          </w:p>
        </w:tc>
        <w:tc>
          <w:tcPr>
            <w:tcW w:w="1262" w:type="dxa"/>
            <w:tcBorders/>
          </w:tcPr>
          <w:p>
            <w:pPr>
              <w:pStyle w:val="Normal"/>
              <w:spacing w:before="0" w:after="0"/>
              <w:jc w:val="center"/>
              <w:rPr>
                <w:color w:val="000000"/>
                <w:lang w:eastAsia="en-US"/>
              </w:rPr>
            </w:pPr>
            <w:r>
              <w:rPr>
                <w:color w:val="000000"/>
                <w:lang w:eastAsia="en-US"/>
              </w:rPr>
              <w:t>47.63</w:t>
            </w:r>
          </w:p>
        </w:tc>
        <w:tc>
          <w:tcPr>
            <w:tcW w:w="1063" w:type="dxa"/>
            <w:tcBorders/>
          </w:tcPr>
          <w:p>
            <w:pPr>
              <w:pStyle w:val="Normal"/>
              <w:spacing w:before="0" w:after="0"/>
              <w:jc w:val="center"/>
              <w:rPr>
                <w:color w:val="FF0000"/>
                <w:lang w:eastAsia="en-US"/>
              </w:rPr>
            </w:pPr>
            <w:r>
              <w:rPr>
                <w:color w:val="FF0000"/>
                <w:lang w:eastAsia="en-US"/>
              </w:rPr>
              <w:t>39.30</w:t>
            </w:r>
          </w:p>
        </w:tc>
      </w:tr>
      <w:tr>
        <w:trPr>
          <w:trHeight w:val="250" w:hRule="atLeast"/>
        </w:trPr>
        <w:tc>
          <w:tcPr>
            <w:tcW w:w="1262" w:type="dxa"/>
            <w:tcBorders/>
          </w:tcPr>
          <w:p>
            <w:pPr>
              <w:pStyle w:val="Normal"/>
              <w:spacing w:before="0" w:after="0"/>
              <w:jc w:val="center"/>
              <w:rPr>
                <w:color w:val="000000"/>
                <w:lang w:eastAsia="en-US"/>
              </w:rPr>
            </w:pPr>
            <w:r>
              <w:rPr>
                <w:color w:val="000000"/>
                <w:lang w:eastAsia="en-US"/>
              </w:rPr>
              <w:t>26</w:t>
            </w:r>
          </w:p>
        </w:tc>
        <w:tc>
          <w:tcPr>
            <w:tcW w:w="1263" w:type="dxa"/>
            <w:tcBorders/>
          </w:tcPr>
          <w:p>
            <w:pPr>
              <w:pStyle w:val="Normal"/>
              <w:spacing w:before="0" w:after="0"/>
              <w:jc w:val="center"/>
              <w:rPr>
                <w:color w:val="000000"/>
                <w:lang w:eastAsia="en-US"/>
              </w:rPr>
            </w:pPr>
            <w:r>
              <w:rPr>
                <w:color w:val="000000"/>
                <w:lang w:eastAsia="en-US"/>
              </w:rPr>
              <w:t>47.51</w:t>
            </w:r>
          </w:p>
        </w:tc>
        <w:tc>
          <w:tcPr>
            <w:tcW w:w="1262" w:type="dxa"/>
            <w:tcBorders/>
          </w:tcPr>
          <w:p>
            <w:pPr>
              <w:pStyle w:val="Normal"/>
              <w:spacing w:before="0" w:after="0"/>
              <w:jc w:val="center"/>
              <w:rPr>
                <w:color w:val="000000"/>
                <w:lang w:eastAsia="en-US"/>
              </w:rPr>
            </w:pPr>
            <w:r>
              <w:rPr>
                <w:color w:val="000000"/>
                <w:lang w:eastAsia="en-US"/>
              </w:rPr>
              <w:t>53.15</w:t>
            </w:r>
          </w:p>
        </w:tc>
        <w:tc>
          <w:tcPr>
            <w:tcW w:w="1063" w:type="dxa"/>
            <w:tcBorders/>
          </w:tcPr>
          <w:p>
            <w:pPr>
              <w:pStyle w:val="Normal"/>
              <w:spacing w:before="0" w:after="0"/>
              <w:jc w:val="center"/>
              <w:rPr>
                <w:color w:val="FF0000"/>
                <w:lang w:eastAsia="en-US"/>
              </w:rPr>
            </w:pPr>
            <w:r>
              <w:rPr>
                <w:color w:val="FF0000"/>
                <w:lang w:eastAsia="en-US"/>
              </w:rPr>
              <w:t>35.90</w:t>
            </w:r>
          </w:p>
        </w:tc>
      </w:tr>
      <w:tr>
        <w:trPr>
          <w:trHeight w:val="250" w:hRule="atLeast"/>
        </w:trPr>
        <w:tc>
          <w:tcPr>
            <w:tcW w:w="1262" w:type="dxa"/>
            <w:tcBorders/>
          </w:tcPr>
          <w:p>
            <w:pPr>
              <w:pStyle w:val="Normal"/>
              <w:spacing w:before="0" w:after="0"/>
              <w:jc w:val="center"/>
              <w:rPr>
                <w:color w:val="000000"/>
                <w:lang w:eastAsia="en-US"/>
              </w:rPr>
            </w:pPr>
            <w:r>
              <w:rPr>
                <w:color w:val="000000"/>
                <w:lang w:eastAsia="en-US"/>
              </w:rPr>
              <w:t>27</w:t>
            </w:r>
          </w:p>
        </w:tc>
        <w:tc>
          <w:tcPr>
            <w:tcW w:w="1263" w:type="dxa"/>
            <w:tcBorders/>
          </w:tcPr>
          <w:p>
            <w:pPr>
              <w:pStyle w:val="Normal"/>
              <w:spacing w:before="0" w:after="0"/>
              <w:jc w:val="center"/>
              <w:rPr>
                <w:color w:val="000000"/>
                <w:lang w:eastAsia="en-US"/>
              </w:rPr>
            </w:pPr>
            <w:r>
              <w:rPr>
                <w:color w:val="000000"/>
                <w:lang w:eastAsia="en-US"/>
              </w:rPr>
              <w:t>46.96</w:t>
            </w:r>
          </w:p>
        </w:tc>
        <w:tc>
          <w:tcPr>
            <w:tcW w:w="1262" w:type="dxa"/>
            <w:tcBorders/>
          </w:tcPr>
          <w:p>
            <w:pPr>
              <w:pStyle w:val="Normal"/>
              <w:spacing w:before="0" w:after="0"/>
              <w:jc w:val="center"/>
              <w:rPr>
                <w:color w:val="000000"/>
                <w:lang w:eastAsia="en-US"/>
              </w:rPr>
            </w:pPr>
            <w:r>
              <w:rPr>
                <w:color w:val="000000"/>
                <w:lang w:eastAsia="en-US"/>
              </w:rPr>
              <w:t>52.26</w:t>
            </w:r>
          </w:p>
        </w:tc>
        <w:tc>
          <w:tcPr>
            <w:tcW w:w="1063" w:type="dxa"/>
            <w:tcBorders/>
          </w:tcPr>
          <w:p>
            <w:pPr>
              <w:pStyle w:val="Normal"/>
              <w:spacing w:before="0" w:after="0"/>
              <w:jc w:val="center"/>
              <w:rPr>
                <w:color w:val="000000"/>
                <w:lang w:eastAsia="en-US"/>
              </w:rPr>
            </w:pPr>
            <w:r>
              <w:rPr>
                <w:color w:val="000000"/>
                <w:lang w:eastAsia="en-US"/>
              </w:rPr>
              <w:t>39.33</w:t>
            </w:r>
          </w:p>
        </w:tc>
      </w:tr>
      <w:tr>
        <w:trPr>
          <w:trHeight w:val="250" w:hRule="atLeast"/>
        </w:trPr>
        <w:tc>
          <w:tcPr>
            <w:tcW w:w="1262" w:type="dxa"/>
            <w:tcBorders/>
          </w:tcPr>
          <w:p>
            <w:pPr>
              <w:pStyle w:val="Normal"/>
              <w:spacing w:before="0" w:after="0"/>
              <w:jc w:val="center"/>
              <w:rPr>
                <w:color w:val="000000"/>
                <w:lang w:eastAsia="en-US"/>
              </w:rPr>
            </w:pPr>
            <w:r>
              <w:rPr>
                <w:color w:val="000000"/>
                <w:lang w:eastAsia="en-US"/>
              </w:rPr>
              <w:t>28</w:t>
            </w:r>
          </w:p>
        </w:tc>
        <w:tc>
          <w:tcPr>
            <w:tcW w:w="1263" w:type="dxa"/>
            <w:tcBorders/>
          </w:tcPr>
          <w:p>
            <w:pPr>
              <w:pStyle w:val="Normal"/>
              <w:spacing w:before="0" w:after="0"/>
              <w:jc w:val="center"/>
              <w:rPr>
                <w:color w:val="000000"/>
                <w:lang w:eastAsia="en-US"/>
              </w:rPr>
            </w:pPr>
            <w:r>
              <w:rPr>
                <w:color w:val="000000"/>
                <w:lang w:eastAsia="en-US"/>
              </w:rPr>
              <w:t>46.27</w:t>
            </w:r>
          </w:p>
        </w:tc>
        <w:tc>
          <w:tcPr>
            <w:tcW w:w="1262" w:type="dxa"/>
            <w:tcBorders/>
          </w:tcPr>
          <w:p>
            <w:pPr>
              <w:pStyle w:val="Normal"/>
              <w:spacing w:before="0" w:after="0"/>
              <w:jc w:val="center"/>
              <w:rPr>
                <w:color w:val="FF0000"/>
                <w:lang w:eastAsia="en-US"/>
              </w:rPr>
            </w:pPr>
            <w:r>
              <w:rPr>
                <w:color w:val="FF0000"/>
                <w:lang w:eastAsia="en-US"/>
              </w:rPr>
              <w:t>40.40</w:t>
            </w:r>
          </w:p>
        </w:tc>
        <w:tc>
          <w:tcPr>
            <w:tcW w:w="1063" w:type="dxa"/>
            <w:tcBorders/>
          </w:tcPr>
          <w:p>
            <w:pPr>
              <w:pStyle w:val="Normal"/>
              <w:spacing w:before="0" w:after="0"/>
              <w:jc w:val="center"/>
              <w:rPr>
                <w:color w:val="000000"/>
                <w:lang w:eastAsia="en-US"/>
              </w:rPr>
            </w:pPr>
            <w:r>
              <w:rPr>
                <w:color w:val="000000"/>
                <w:lang w:eastAsia="en-US"/>
              </w:rPr>
              <w:t>40.46</w:t>
            </w:r>
          </w:p>
        </w:tc>
      </w:tr>
      <w:tr>
        <w:trPr>
          <w:trHeight w:val="250" w:hRule="atLeast"/>
        </w:trPr>
        <w:tc>
          <w:tcPr>
            <w:tcW w:w="1262" w:type="dxa"/>
            <w:tcBorders/>
          </w:tcPr>
          <w:p>
            <w:pPr>
              <w:pStyle w:val="Normal"/>
              <w:spacing w:before="0" w:after="0"/>
              <w:jc w:val="center"/>
              <w:rPr>
                <w:color w:val="000000"/>
                <w:lang w:eastAsia="en-US"/>
              </w:rPr>
            </w:pPr>
            <w:r>
              <w:rPr>
                <w:color w:val="000000"/>
                <w:lang w:eastAsia="en-US"/>
              </w:rPr>
              <w:t>29</w:t>
            </w:r>
          </w:p>
        </w:tc>
        <w:tc>
          <w:tcPr>
            <w:tcW w:w="1263" w:type="dxa"/>
            <w:tcBorders/>
          </w:tcPr>
          <w:p>
            <w:pPr>
              <w:pStyle w:val="Normal"/>
              <w:spacing w:before="0" w:after="0"/>
              <w:jc w:val="center"/>
              <w:rPr>
                <w:color w:val="000000"/>
                <w:lang w:eastAsia="en-US"/>
              </w:rPr>
            </w:pPr>
            <w:r>
              <w:rPr>
                <w:color w:val="000000"/>
                <w:lang w:eastAsia="en-US"/>
              </w:rPr>
              <w:t>47.52</w:t>
            </w:r>
          </w:p>
        </w:tc>
        <w:tc>
          <w:tcPr>
            <w:tcW w:w="1262" w:type="dxa"/>
            <w:tcBorders/>
          </w:tcPr>
          <w:p>
            <w:pPr>
              <w:pStyle w:val="Normal"/>
              <w:spacing w:before="0" w:after="0"/>
              <w:jc w:val="center"/>
              <w:rPr>
                <w:color w:val="FF0000"/>
                <w:lang w:eastAsia="en-US"/>
              </w:rPr>
            </w:pPr>
            <w:r>
              <w:rPr>
                <w:color w:val="FF0000"/>
                <w:lang w:eastAsia="en-US"/>
              </w:rPr>
              <w:t>35.21</w:t>
            </w:r>
          </w:p>
        </w:tc>
        <w:tc>
          <w:tcPr>
            <w:tcW w:w="1063" w:type="dxa"/>
            <w:tcBorders/>
          </w:tcPr>
          <w:p>
            <w:pPr>
              <w:pStyle w:val="Normal"/>
              <w:spacing w:before="0" w:after="0"/>
              <w:jc w:val="center"/>
              <w:rPr>
                <w:color w:val="000000"/>
                <w:lang w:eastAsia="en-US"/>
              </w:rPr>
            </w:pPr>
            <w:r>
              <w:rPr>
                <w:color w:val="000000"/>
                <w:lang w:eastAsia="en-US"/>
              </w:rPr>
              <w:t>41.34</w:t>
            </w:r>
          </w:p>
        </w:tc>
      </w:tr>
      <w:tr>
        <w:trPr>
          <w:trHeight w:val="250" w:hRule="atLeast"/>
        </w:trPr>
        <w:tc>
          <w:tcPr>
            <w:tcW w:w="1262" w:type="dxa"/>
            <w:tcBorders/>
          </w:tcPr>
          <w:p>
            <w:pPr>
              <w:pStyle w:val="Normal"/>
              <w:spacing w:before="0" w:after="0"/>
              <w:jc w:val="center"/>
              <w:rPr>
                <w:color w:val="000000"/>
                <w:lang w:eastAsia="en-US"/>
              </w:rPr>
            </w:pPr>
            <w:r>
              <w:rPr>
                <w:color w:val="000000"/>
                <w:lang w:eastAsia="en-US"/>
              </w:rPr>
              <w:t>30</w:t>
            </w:r>
          </w:p>
        </w:tc>
        <w:tc>
          <w:tcPr>
            <w:tcW w:w="1263" w:type="dxa"/>
            <w:tcBorders/>
          </w:tcPr>
          <w:p>
            <w:pPr>
              <w:pStyle w:val="Normal"/>
              <w:spacing w:before="0" w:after="0"/>
              <w:jc w:val="center"/>
              <w:rPr>
                <w:color w:val="000000"/>
                <w:lang w:eastAsia="en-US"/>
              </w:rPr>
            </w:pPr>
            <w:r>
              <w:rPr>
                <w:color w:val="000000"/>
                <w:lang w:eastAsia="en-US"/>
              </w:rPr>
              <w:t>48.88</w:t>
            </w:r>
          </w:p>
        </w:tc>
        <w:tc>
          <w:tcPr>
            <w:tcW w:w="1262" w:type="dxa"/>
            <w:tcBorders/>
          </w:tcPr>
          <w:p>
            <w:pPr>
              <w:pStyle w:val="Normal"/>
              <w:spacing w:before="0" w:after="0"/>
              <w:jc w:val="center"/>
              <w:rPr>
                <w:color w:val="000000"/>
                <w:lang w:eastAsia="en-US"/>
              </w:rPr>
            </w:pPr>
            <w:r>
              <w:rPr>
                <w:color w:val="000000"/>
                <w:lang w:eastAsia="en-US"/>
              </w:rPr>
              <w:t>59.04</w:t>
            </w:r>
          </w:p>
        </w:tc>
        <w:tc>
          <w:tcPr>
            <w:tcW w:w="1063" w:type="dxa"/>
            <w:tcBorders/>
          </w:tcPr>
          <w:p>
            <w:pPr>
              <w:pStyle w:val="Normal"/>
              <w:spacing w:before="0" w:after="0"/>
              <w:jc w:val="center"/>
              <w:rPr>
                <w:color w:val="000000"/>
                <w:lang w:eastAsia="en-US"/>
              </w:rPr>
            </w:pPr>
            <w:r>
              <w:rPr>
                <w:color w:val="000000"/>
                <w:lang w:eastAsia="en-US"/>
              </w:rPr>
              <w:t>39.62</w:t>
            </w:r>
          </w:p>
        </w:tc>
      </w:tr>
      <w:tr>
        <w:trPr>
          <w:trHeight w:val="250" w:hRule="atLeast"/>
        </w:trPr>
        <w:tc>
          <w:tcPr>
            <w:tcW w:w="1262" w:type="dxa"/>
            <w:tcBorders/>
          </w:tcPr>
          <w:p>
            <w:pPr>
              <w:pStyle w:val="Normal"/>
              <w:spacing w:before="0" w:after="0"/>
              <w:jc w:val="center"/>
              <w:rPr>
                <w:color w:val="000000"/>
                <w:lang w:eastAsia="en-US"/>
              </w:rPr>
            </w:pPr>
            <w:r>
              <w:rPr>
                <w:color w:val="000000"/>
                <w:lang w:eastAsia="en-US"/>
              </w:rPr>
              <w:t>31</w:t>
            </w:r>
          </w:p>
        </w:tc>
        <w:tc>
          <w:tcPr>
            <w:tcW w:w="1263" w:type="dxa"/>
            <w:tcBorders/>
          </w:tcPr>
          <w:p>
            <w:pPr>
              <w:pStyle w:val="Normal"/>
              <w:spacing w:before="0" w:after="0"/>
              <w:jc w:val="center"/>
              <w:rPr>
                <w:color w:val="FF0000"/>
                <w:lang w:eastAsia="en-US"/>
              </w:rPr>
            </w:pPr>
            <w:r>
              <w:rPr>
                <w:color w:val="FF0000"/>
                <w:lang w:eastAsia="en-US"/>
              </w:rPr>
              <w:t>43.81</w:t>
            </w:r>
          </w:p>
        </w:tc>
        <w:tc>
          <w:tcPr>
            <w:tcW w:w="1262" w:type="dxa"/>
            <w:tcBorders/>
          </w:tcPr>
          <w:p>
            <w:pPr>
              <w:pStyle w:val="Normal"/>
              <w:spacing w:before="0" w:after="0"/>
              <w:jc w:val="center"/>
              <w:rPr>
                <w:color w:val="000000"/>
                <w:lang w:eastAsia="en-US"/>
              </w:rPr>
            </w:pPr>
            <w:r>
              <w:rPr>
                <w:color w:val="000000"/>
                <w:lang w:eastAsia="en-US"/>
              </w:rPr>
              <w:t>54.14</w:t>
            </w:r>
          </w:p>
        </w:tc>
        <w:tc>
          <w:tcPr>
            <w:tcW w:w="1063" w:type="dxa"/>
            <w:tcBorders/>
          </w:tcPr>
          <w:p>
            <w:pPr>
              <w:pStyle w:val="Normal"/>
              <w:snapToGrid w:val="false"/>
              <w:spacing w:before="0" w:after="0"/>
              <w:jc w:val="center"/>
              <w:rPr>
                <w:color w:val="000000"/>
                <w:lang w:eastAsia="en-US"/>
              </w:rPr>
            </w:pPr>
            <w:r>
              <w:rPr>
                <w:color w:val="000000"/>
                <w:lang w:eastAsia="en-US"/>
              </w:rPr>
            </w:r>
          </w:p>
        </w:tc>
      </w:tr>
    </w:tbl>
    <w:p>
      <w:pPr>
        <w:pStyle w:val="CopyList"/>
        <w:tabs>
          <w:tab w:val="clear" w:pos="504"/>
        </w:tabs>
        <w:spacing w:before="0" w:after="0"/>
        <w:ind w:hanging="0" w:start="450" w:end="0"/>
        <w:rPr>
          <w:b/>
        </w:rPr>
      </w:pPr>
      <w:r>
        <w:rPr>
          <w:b/>
        </w:rPr>
      </w:r>
    </w:p>
    <w:p>
      <w:pPr>
        <w:pStyle w:val="CopyList"/>
        <w:numPr>
          <w:ilvl w:val="0"/>
          <w:numId w:val="19"/>
        </w:numPr>
        <w:tabs>
          <w:tab w:val="clear" w:pos="504"/>
        </w:tabs>
        <w:spacing w:before="0" w:after="0"/>
        <w:rPr>
          <w:b/>
        </w:rPr>
      </w:pPr>
      <w:r>
        <w:rPr>
          <w:b/>
        </w:rPr>
        <w:t>International Transactions</w:t>
      </w:r>
    </w:p>
    <w:p>
      <w:pPr>
        <w:pStyle w:val="CopyList"/>
        <w:numPr>
          <w:ilvl w:val="0"/>
          <w:numId w:val="11"/>
        </w:numPr>
        <w:tabs>
          <w:tab w:val="clear" w:pos="504"/>
        </w:tabs>
        <w:spacing w:before="0" w:after="0"/>
        <w:jc w:val="both"/>
        <w:rPr/>
      </w:pPr>
      <w:r>
        <w:rPr/>
        <w:t>Import and export contracts must comply with requirements defined for the Contract Market.  These transactions will be administered according to the same procedures as in domestic contracts.  The exchange of commercial in formation for the administration of import and export contracts will be channeled between the CND and their equivalents in the corresponding country.</w:t>
      </w:r>
    </w:p>
    <w:p>
      <w:pPr>
        <w:pStyle w:val="CopyList"/>
        <w:numPr>
          <w:ilvl w:val="0"/>
          <w:numId w:val="11"/>
        </w:numPr>
        <w:tabs>
          <w:tab w:val="clear" w:pos="504"/>
        </w:tabs>
        <w:spacing w:before="0" w:after="0"/>
        <w:jc w:val="both"/>
        <w:rPr/>
      </w:pPr>
      <w:r>
        <w:rPr/>
        <w:t>A Company in another country that sells through an import contract will comply with the same procedures and terms as a Domestic Producer.  A Company in an another country that buys through an export contract will comply with the same procedures as a Domestic Consumer Participant.</w:t>
      </w:r>
    </w:p>
    <w:p>
      <w:pPr>
        <w:pStyle w:val="CopyList"/>
        <w:numPr>
          <w:ilvl w:val="0"/>
          <w:numId w:val="11"/>
        </w:numPr>
        <w:tabs>
          <w:tab w:val="clear" w:pos="504"/>
        </w:tabs>
        <w:spacing w:before="0" w:after="0"/>
        <w:jc w:val="both"/>
        <w:rPr/>
      </w:pPr>
      <w:r>
        <w:rPr/>
        <w:t>The CND shall assign the charges or credits that occur in th Spot Market as a result of import contracts to the Domestic Participant that is the purchasing party.  In an export contract these charges or credits shall be assigned to a Domestic Participant that is the selling party.</w:t>
      </w:r>
    </w:p>
    <w:p>
      <w:pPr>
        <w:pStyle w:val="CopyList"/>
        <w:numPr>
          <w:ilvl w:val="0"/>
          <w:numId w:val="11"/>
        </w:numPr>
        <w:tabs>
          <w:tab w:val="clear" w:pos="504"/>
        </w:tabs>
        <w:spacing w:before="0" w:after="0"/>
        <w:jc w:val="both"/>
        <w:rPr/>
      </w:pPr>
      <w:r>
        <w:rPr/>
        <w:t>Transactions in the Sport Market with interconnected countries will be exchanged between the CND and their equivalent in the corresponding country and shall follow the same methodology as the offer and consumption in the Spot Market for Domestic Participants.</w:t>
      </w:r>
    </w:p>
    <w:p>
      <w:pPr>
        <w:pStyle w:val="CopyList"/>
        <w:numPr>
          <w:ilvl w:val="0"/>
          <w:numId w:val="11"/>
        </w:numPr>
        <w:tabs>
          <w:tab w:val="clear" w:pos="504"/>
        </w:tabs>
        <w:spacing w:before="0" w:after="0"/>
        <w:jc w:val="both"/>
        <w:rPr/>
      </w:pPr>
      <w:r>
        <w:rPr/>
        <w:t>The CND shall model Spot Imports as a Generator with a location in a interconnecting node with power and/or energy equal to the Spot Export offer.  Corresponding charges associated to imports (for instance, charges for the use of the transmission network or charges for losses) will be added to the offered prices in the international interconnection to obtain prices considered as offered in the Spot Market.</w:t>
      </w:r>
    </w:p>
    <w:p>
      <w:pPr>
        <w:pStyle w:val="CopyList"/>
        <w:numPr>
          <w:ilvl w:val="0"/>
          <w:numId w:val="11"/>
        </w:numPr>
        <w:tabs>
          <w:tab w:val="clear" w:pos="504"/>
        </w:tabs>
        <w:spacing w:before="0" w:after="0"/>
        <w:jc w:val="both"/>
        <w:rPr/>
      </w:pPr>
      <w:r>
        <w:rPr/>
        <w:t>The CND shall model Spot Exports as a Large Consumer located in a interconnecting node with power and/or energy equal to the Spot Export offer.  Corresponding charges associated with the operation will be added to the offered prices in the Spot Market in order to obtain prices considered as offered in the interconnecting node.</w:t>
      </w:r>
    </w:p>
    <w:p>
      <w:pPr>
        <w:pStyle w:val="CopyList"/>
        <w:numPr>
          <w:ilvl w:val="0"/>
          <w:numId w:val="11"/>
        </w:numPr>
        <w:tabs>
          <w:tab w:val="clear" w:pos="504"/>
        </w:tabs>
        <w:spacing w:before="0" w:after="0"/>
        <w:jc w:val="both"/>
        <w:rPr/>
      </w:pPr>
      <w:r>
        <w:rPr/>
        <w:t>The CND shall calculate the charges or credits that occur as a result of imports in the Spot Market and discount or add them to the sum that results from the sale of the imported energy in the Spot Market.  The CND shall liquidate the net balance to the equivalents in the corresponding country, so it may account ut as determined in that country.</w:t>
      </w:r>
    </w:p>
    <w:p>
      <w:pPr>
        <w:pStyle w:val="CopyList"/>
        <w:numPr>
          <w:ilvl w:val="1"/>
          <w:numId w:val="24"/>
        </w:numPr>
        <w:tabs>
          <w:tab w:val="clear" w:pos="504"/>
        </w:tabs>
        <w:spacing w:before="0" w:after="0"/>
        <w:rPr>
          <w:b/>
        </w:rPr>
      </w:pPr>
      <w:r>
        <w:rPr>
          <w:b/>
        </w:rPr>
        <w:t>Rules of  Coordinating other ISO’s:</w:t>
      </w:r>
    </w:p>
    <w:p>
      <w:pPr>
        <w:pStyle w:val="CopyList"/>
        <w:tabs>
          <w:tab w:val="clear" w:pos="504"/>
        </w:tabs>
        <w:spacing w:before="0" w:after="0"/>
        <w:ind w:firstLine="450" w:start="0" w:end="0"/>
        <w:rPr>
          <w:b/>
        </w:rPr>
      </w:pPr>
      <w:r>
        <w:rPr>
          <w:b/>
        </w:rPr>
      </w:r>
    </w:p>
    <w:p>
      <w:pPr>
        <w:pStyle w:val="CopyList"/>
        <w:numPr>
          <w:ilvl w:val="1"/>
          <w:numId w:val="24"/>
        </w:numPr>
        <w:tabs>
          <w:tab w:val="clear" w:pos="504"/>
        </w:tabs>
        <w:spacing w:before="0" w:after="0"/>
        <w:rPr>
          <w:b/>
        </w:rPr>
      </w:pPr>
      <w:r>
        <w:rPr>
          <w:b/>
        </w:rPr>
        <w:t>Rules of Allocating Capacities on the Interties:</w:t>
      </w:r>
    </w:p>
    <w:p>
      <w:pPr>
        <w:pStyle w:val="CopyList"/>
        <w:tabs>
          <w:tab w:val="clear" w:pos="504"/>
        </w:tabs>
        <w:spacing w:before="0" w:after="0"/>
        <w:rPr>
          <w:b/>
        </w:rPr>
      </w:pPr>
      <w:r>
        <w:rPr>
          <w:b/>
        </w:rPr>
      </w:r>
    </w:p>
    <w:p>
      <w:pPr>
        <w:pStyle w:val="CopyList"/>
        <w:tabs>
          <w:tab w:val="clear" w:pos="504"/>
        </w:tabs>
        <w:spacing w:before="0" w:after="0"/>
        <w:rPr>
          <w:b/>
        </w:rPr>
      </w:pPr>
      <w:r>
        <w:rPr>
          <w:b/>
        </w:rPr>
      </w:r>
    </w:p>
    <w:p>
      <w:pPr>
        <w:pStyle w:val="Normal"/>
        <w:rPr>
          <w:b/>
        </w:rPr>
      </w:pPr>
      <w:r>
        <w:rPr>
          <w:b/>
        </w:rPr>
      </w:r>
    </w:p>
    <w:p>
      <w:pPr>
        <w:pStyle w:val="CopyList"/>
        <w:rPr>
          <w:b/>
        </w:rPr>
      </w:pPr>
      <w:r>
        <w:rPr>
          <w:b/>
        </w:rPr>
        <w:t>CC:</w:t>
      </w:r>
    </w:p>
    <w:p>
      <w:pPr>
        <w:pStyle w:val="Subject"/>
        <w:spacing w:before="60" w:after="60"/>
        <w:rPr>
          <w:b/>
        </w:rPr>
      </w:pPr>
      <w:r>
        <w:rPr>
          <w:b/>
        </w:rPr>
      </w:r>
    </w:p>
    <w:sectPr>
      <w:headerReference w:type="default" r:id="rId6"/>
      <w:headerReference w:type="first" r:id="rId7"/>
      <w:footerReference w:type="default" r:id="rId8"/>
      <w:footerReference w:type="first" r:id="rId9"/>
      <w:type w:val="nextPage"/>
      <w:pgSz w:w="12240" w:h="15840"/>
      <w:pgMar w:left="1800" w:right="1800" w:gutter="0" w:header="720" w:top="108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ind w:end="360"/>
      <w:rPr/>
    </w:pPr>
    <w:r>
      <w:rPr/>
    </w:r>
    <w:r>
      <mc:AlternateContent>
        <mc:Choice Requires="wps">
          <w:drawing>
            <wp:anchor behindDoc="0" distT="0" distB="0" distL="0" distR="0" simplePos="0" locked="0" layoutInCell="0" allowOverlap="1" relativeHeight="12">
              <wp:simplePos x="0" y="0"/>
              <wp:positionH relativeFrom="margin">
                <wp:align>right</wp:align>
              </wp:positionH>
              <wp:positionV relativeFrom="paragraph">
                <wp:posOffset>635</wp:posOffset>
              </wp:positionV>
              <wp:extent cx="127635" cy="184785"/>
              <wp:effectExtent l="0" t="0" r="0" b="0"/>
              <wp:wrapSquare wrapText="bothSides"/>
              <wp:docPr id="3" name="Frame3"/>
              <a:graphic xmlns:a="http://schemas.openxmlformats.org/drawingml/2006/main">
                <a:graphicData uri="http://schemas.microsoft.com/office/word/2010/wordprocessingShape">
                  <wps:wsp>
                    <wps:cNvSpPr txBox="1"/>
                    <wps:spPr>
                      <a:xfrm>
                        <a:off x="0" y="0"/>
                        <a:ext cx="127635" cy="184785"/>
                      </a:xfrm>
                      <a:prstGeom prst="rect"/>
                      <a:solidFill>
                        <a:srgbClr val="FFFFFF">
                          <a:alpha val="0"/>
                        </a:srgbClr>
                      </a:solidFill>
                    </wps:spPr>
                    <wps:txbx>
                      <w:txbxContent>
                        <w:p>
                          <w:pPr>
                            <w:pStyle w:val="Footer"/>
                            <w:spacing w:before="60" w:after="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4.55pt;mso-wrap-distance-left:0pt;mso-wrap-distance-right:0pt;mso-wrap-distance-top:0pt;mso-wrap-distance-bottom:0pt;margin-top:0.05pt;mso-position-vertical-relative:text;margin-left:421.95pt;mso-position-horizontal:right;mso-position-horizontal-relative:margin">
              <v:fill opacity="0f"/>
              <v:textbox inset="0in,0in,0in,0in">
                <w:txbxContent>
                  <w:p>
                    <w:pPr>
                      <w:pStyle w:val="Footer"/>
                      <w:spacing w:before="60" w:after="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Liberation Serif" w:hAnsi="Liberation Serif" w:cs="Liberation Serif" w:hint="default"/>
      </w:rPr>
    </w:lvl>
  </w:abstractNum>
  <w:abstractNum w:abstractNumId="3">
    <w:lvl w:ilvl="0">
      <w:numFmt w:val="bullet"/>
      <w:lvlText w:val="-"/>
      <w:lvlJc w:val="start"/>
      <w:pPr>
        <w:tabs>
          <w:tab w:val="num" w:pos="360"/>
        </w:tabs>
        <w:ind w:start="360" w:hanging="360"/>
      </w:pPr>
      <w:rPr>
        <w:rFonts w:ascii="Liberation Serif" w:hAnsi="Liberation Serif" w:cs="Liberation Serif" w:hint="default"/>
      </w:rPr>
    </w:lvl>
  </w:abstractNum>
  <w:abstractNum w:abstractNumId="4">
    <w:lvl w:ilvl="0">
      <w:start w:val="5"/>
      <w:numFmt w:val="decimal"/>
      <w:lvlText w:val="%1"/>
      <w:lvlJc w:val="start"/>
      <w:pPr>
        <w:tabs>
          <w:tab w:val="num" w:pos="495"/>
        </w:tabs>
        <w:ind w:start="495" w:hanging="495"/>
      </w:pPr>
      <w:rPr/>
    </w:lvl>
    <w:lvl w:ilvl="1">
      <w:start w:val="2"/>
      <w:numFmt w:val="decimal"/>
      <w:lvlText w:val="%1.%2"/>
      <w:lvlJc w:val="start"/>
      <w:pPr>
        <w:tabs>
          <w:tab w:val="num" w:pos="855"/>
        </w:tabs>
        <w:ind w:start="855" w:hanging="49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160"/>
        </w:tabs>
        <w:ind w:start="2160" w:hanging="72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320"/>
        </w:tabs>
        <w:ind w:start="4320" w:hanging="1440"/>
      </w:pPr>
      <w:rPr/>
    </w:lvl>
  </w:abstractNum>
  <w:abstractNum w:abstractNumId="5">
    <w:lvl w:ilvl="0">
      <w:numFmt w:val="bullet"/>
      <w:lvlText w:val="-"/>
      <w:lvlJc w:val="start"/>
      <w:pPr>
        <w:tabs>
          <w:tab w:val="num" w:pos="360"/>
        </w:tabs>
        <w:ind w:start="360" w:hanging="360"/>
      </w:pPr>
      <w:rPr>
        <w:rFonts w:ascii="Liberation Serif" w:hAnsi="Liberation Serif" w:cs="Liberation Serif" w:hint="default"/>
      </w:rPr>
    </w:lvl>
  </w:abstractNum>
  <w:abstractNum w:abstractNumId="6">
    <w:lvl w:ilvl="0">
      <w:start w:val="5"/>
      <w:numFmt w:val="decimal"/>
      <w:lvlText w:val="%1."/>
      <w:lvlJc w:val="start"/>
      <w:pPr>
        <w:tabs>
          <w:tab w:val="num" w:pos="540"/>
        </w:tabs>
        <w:ind w:start="540" w:hanging="540"/>
      </w:pPr>
      <w:rPr/>
    </w:lvl>
    <w:lvl w:ilvl="1">
      <w:start w:val="2"/>
      <w:numFmt w:val="decimal"/>
      <w:lvlText w:val="%1.%2."/>
      <w:lvlJc w:val="start"/>
      <w:pPr>
        <w:tabs>
          <w:tab w:val="num" w:pos="900"/>
        </w:tabs>
        <w:ind w:start="900" w:hanging="540"/>
      </w:pPr>
      <w:rPr/>
    </w:lvl>
    <w:lvl w:ilvl="2">
      <w:start w:val="2"/>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320"/>
        </w:tabs>
        <w:ind w:start="4320" w:hanging="1440"/>
      </w:pPr>
      <w:rPr/>
    </w:lvl>
  </w:abstractNum>
  <w:abstractNum w:abstractNumId="7">
    <w:lvl w:ilvl="0">
      <w:numFmt w:val="bullet"/>
      <w:lvlText w:val="-"/>
      <w:lvlJc w:val="start"/>
      <w:pPr>
        <w:tabs>
          <w:tab w:val="num" w:pos="360"/>
        </w:tabs>
        <w:ind w:start="360" w:hanging="360"/>
      </w:pPr>
      <w:rPr>
        <w:rFonts w:ascii="Liberation Serif" w:hAnsi="Liberation Serif" w:cs="Liberation Serif" w:hint="default"/>
      </w:rPr>
    </w:lvl>
  </w:abstractNum>
  <w:abstractNum w:abstractNumId="8">
    <w:lvl w:ilvl="0">
      <w:numFmt w:val="bullet"/>
      <w:lvlText w:val="-"/>
      <w:lvlJc w:val="start"/>
      <w:pPr>
        <w:tabs>
          <w:tab w:val="num" w:pos="360"/>
        </w:tabs>
        <w:ind w:start="360" w:hanging="360"/>
      </w:pPr>
      <w:rPr>
        <w:rFonts w:ascii="Liberation Serif" w:hAnsi="Liberation Serif" w:cs="Liberation Serif" w:hint="default"/>
      </w:rPr>
    </w:lvl>
  </w:abstractNum>
  <w:abstractNum w:abstractNumId="9">
    <w:lvl w:ilvl="0">
      <w:numFmt w:val="bullet"/>
      <w:lvlText w:val="-"/>
      <w:lvlJc w:val="start"/>
      <w:pPr>
        <w:tabs>
          <w:tab w:val="num" w:pos="360"/>
        </w:tabs>
        <w:ind w:start="360" w:hanging="360"/>
      </w:pPr>
      <w:rPr>
        <w:rFonts w:ascii="Liberation Serif" w:hAnsi="Liberation Serif" w:cs="Liberation Serif" w:hint="default"/>
      </w:rPr>
    </w:lvl>
  </w:abstractNum>
  <w:abstractNum w:abstractNumId="10">
    <w:lvl w:ilvl="0">
      <w:numFmt w:val="bullet"/>
      <w:lvlText w:val="-"/>
      <w:lvlJc w:val="start"/>
      <w:pPr>
        <w:tabs>
          <w:tab w:val="num" w:pos="360"/>
        </w:tabs>
        <w:ind w:start="360" w:hanging="360"/>
      </w:pPr>
      <w:rPr>
        <w:rFonts w:ascii="Liberation Serif" w:hAnsi="Liberation Serif" w:cs="Liberation Serif" w:hint="default"/>
      </w:rPr>
    </w:lvl>
  </w:abstractNum>
  <w:abstractNum w:abstractNumId="11">
    <w:lvl w:ilvl="0">
      <w:start w:val="1"/>
      <w:numFmt w:val="bullet"/>
      <w:lvlText w:val="-"/>
      <w:lvlJc w:val="start"/>
      <w:pPr>
        <w:tabs>
          <w:tab w:val="num" w:pos="720"/>
        </w:tabs>
        <w:ind w:start="900" w:hanging="375"/>
      </w:pPr>
      <w:rPr>
        <w:rFonts w:ascii="Times New Roman" w:hAnsi="Times New Roman" w:cs="Times New Roman" w:hint="default"/>
      </w:rPr>
    </w:lvl>
  </w:abstractNum>
  <w:abstractNum w:abstractNumId="12">
    <w:lvl w:ilvl="0">
      <w:start w:val="6"/>
      <w:numFmt w:val="decimal"/>
      <w:lvlText w:val="%1."/>
      <w:lvlJc w:val="start"/>
      <w:pPr>
        <w:tabs>
          <w:tab w:val="num" w:pos="540"/>
        </w:tabs>
        <w:ind w:start="540" w:hanging="540"/>
      </w:pPr>
      <w:rPr/>
    </w:lvl>
    <w:lvl w:ilvl="1">
      <w:start w:val="1"/>
      <w:numFmt w:val="decimal"/>
      <w:lvlText w:val="%1.%2."/>
      <w:lvlJc w:val="start"/>
      <w:pPr>
        <w:tabs>
          <w:tab w:val="num" w:pos="900"/>
        </w:tabs>
        <w:ind w:start="900" w:hanging="540"/>
      </w:pPr>
      <w:rPr/>
    </w:lvl>
    <w:lvl w:ilvl="2">
      <w:start w:val="2"/>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320"/>
        </w:tabs>
        <w:ind w:start="4320" w:hanging="1440"/>
      </w:pPr>
      <w:rPr/>
    </w:lvl>
  </w:abstractNum>
  <w:abstractNum w:abstractNumId="13">
    <w:lvl w:ilvl="0">
      <w:numFmt w:val="bullet"/>
      <w:lvlText w:val="-"/>
      <w:lvlJc w:val="start"/>
      <w:pPr>
        <w:tabs>
          <w:tab w:val="num" w:pos="360"/>
        </w:tabs>
        <w:ind w:start="360" w:hanging="360"/>
      </w:pPr>
      <w:rPr>
        <w:rFonts w:ascii="Liberation Serif" w:hAnsi="Liberation Serif" w:cs="Liberation Serif" w:hint="default"/>
      </w:rPr>
    </w:lvl>
  </w:abstractNum>
  <w:abstractNum w:abstractNumId="14">
    <w:lvl w:ilvl="0">
      <w:numFmt w:val="bullet"/>
      <w:lvlText w:val="-"/>
      <w:lvlJc w:val="start"/>
      <w:pPr>
        <w:tabs>
          <w:tab w:val="num" w:pos="360"/>
        </w:tabs>
        <w:ind w:start="360" w:hanging="360"/>
      </w:pPr>
      <w:rPr>
        <w:rFonts w:ascii="Liberation Serif" w:hAnsi="Liberation Serif" w:cs="Liberation Serif" w:hint="default"/>
      </w:rPr>
    </w:lvl>
  </w:abstractNum>
  <w:abstractNum w:abstractNumId="15">
    <w:lvl w:ilvl="0">
      <w:numFmt w:val="bullet"/>
      <w:lvlText w:val="-"/>
      <w:lvlJc w:val="start"/>
      <w:pPr>
        <w:tabs>
          <w:tab w:val="num" w:pos="360"/>
        </w:tabs>
        <w:ind w:start="360" w:hanging="360"/>
      </w:pPr>
      <w:rPr>
        <w:rFonts w:ascii="Liberation Serif" w:hAnsi="Liberation Serif" w:cs="Liberation Serif" w:hint="default"/>
      </w:rPr>
    </w:lvl>
  </w:abstractNum>
  <w:abstractNum w:abstractNumId="16">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17">
    <w:lvl w:ilvl="0">
      <w:numFmt w:val="bullet"/>
      <w:lvlText w:val="-"/>
      <w:lvlJc w:val="start"/>
      <w:pPr>
        <w:tabs>
          <w:tab w:val="num" w:pos="360"/>
        </w:tabs>
        <w:ind w:start="360" w:hanging="360"/>
      </w:pPr>
      <w:rPr>
        <w:rFonts w:ascii="Liberation Serif" w:hAnsi="Liberation Serif" w:cs="Liberation Serif" w:hint="default"/>
      </w:rPr>
    </w:lvl>
  </w:abstractNum>
  <w:abstractNum w:abstractNumId="18">
    <w:lvl w:ilvl="0">
      <w:numFmt w:val="bullet"/>
      <w:lvlText w:val="-"/>
      <w:lvlJc w:val="start"/>
      <w:pPr>
        <w:tabs>
          <w:tab w:val="num" w:pos="360"/>
        </w:tabs>
        <w:ind w:start="360" w:hanging="360"/>
      </w:pPr>
      <w:rPr>
        <w:rFonts w:ascii="Liberation Serif" w:hAnsi="Liberation Serif" w:cs="Liberation Serif" w:hint="default"/>
      </w:rPr>
    </w:lvl>
  </w:abstractNum>
  <w:abstractNum w:abstractNumId="19">
    <w:lvl w:ilvl="0">
      <w:start w:val="7"/>
      <w:numFmt w:val="decimal"/>
      <w:lvlText w:val="%1."/>
      <w:lvlJc w:val="start"/>
      <w:pPr>
        <w:tabs>
          <w:tab w:val="num" w:pos="390"/>
        </w:tabs>
        <w:ind w:start="390" w:hanging="390"/>
      </w:pPr>
      <w:rPr/>
    </w:lvl>
    <w:lvl w:ilvl="1">
      <w:start w:val="1"/>
      <w:numFmt w:val="decimal"/>
      <w:lvlText w:val="%1.%2."/>
      <w:lvlJc w:val="start"/>
      <w:pPr>
        <w:tabs>
          <w:tab w:val="num" w:pos="840"/>
        </w:tabs>
        <w:ind w:start="840" w:hanging="390"/>
      </w:pPr>
      <w:rPr/>
    </w:lvl>
    <w:lvl w:ilvl="2">
      <w:start w:val="1"/>
      <w:numFmt w:val="decimal"/>
      <w:lvlText w:val="%1.%2.%3."/>
      <w:lvlJc w:val="start"/>
      <w:pPr>
        <w:tabs>
          <w:tab w:val="num" w:pos="1620"/>
        </w:tabs>
        <w:ind w:start="1620" w:hanging="720"/>
      </w:pPr>
      <w:rPr/>
    </w:lvl>
    <w:lvl w:ilvl="3">
      <w:start w:val="1"/>
      <w:numFmt w:val="decimal"/>
      <w:lvlText w:val="%1.%2.%3.%4."/>
      <w:lvlJc w:val="start"/>
      <w:pPr>
        <w:tabs>
          <w:tab w:val="num" w:pos="2070"/>
        </w:tabs>
        <w:ind w:start="2070" w:hanging="720"/>
      </w:pPr>
      <w:rPr/>
    </w:lvl>
    <w:lvl w:ilvl="4">
      <w:start w:val="1"/>
      <w:numFmt w:val="decimal"/>
      <w:lvlText w:val="%1.%2.%3.%4.%5."/>
      <w:lvlJc w:val="start"/>
      <w:pPr>
        <w:tabs>
          <w:tab w:val="num" w:pos="2880"/>
        </w:tabs>
        <w:ind w:start="2880" w:hanging="1080"/>
      </w:pPr>
      <w:rPr/>
    </w:lvl>
    <w:lvl w:ilvl="5">
      <w:start w:val="1"/>
      <w:numFmt w:val="decimal"/>
      <w:lvlText w:val="%1.%2.%3.%4.%5.%6."/>
      <w:lvlJc w:val="start"/>
      <w:pPr>
        <w:tabs>
          <w:tab w:val="num" w:pos="3330"/>
        </w:tabs>
        <w:ind w:start="3330" w:hanging="1080"/>
      </w:pPr>
      <w:rPr/>
    </w:lvl>
    <w:lvl w:ilvl="6">
      <w:start w:val="1"/>
      <w:numFmt w:val="decimal"/>
      <w:lvlText w:val="%1.%2.%3.%4.%5.%6.%7."/>
      <w:lvlJc w:val="start"/>
      <w:pPr>
        <w:tabs>
          <w:tab w:val="num" w:pos="3780"/>
        </w:tabs>
        <w:ind w:start="3780" w:hanging="1080"/>
      </w:pPr>
      <w:rPr/>
    </w:lvl>
    <w:lvl w:ilvl="7">
      <w:start w:val="1"/>
      <w:numFmt w:val="decimal"/>
      <w:lvlText w:val="%1.%2.%3.%4.%5.%6.%7.%8."/>
      <w:lvlJc w:val="start"/>
      <w:pPr>
        <w:tabs>
          <w:tab w:val="num" w:pos="4590"/>
        </w:tabs>
        <w:ind w:start="4590" w:hanging="1440"/>
      </w:pPr>
      <w:rPr/>
    </w:lvl>
    <w:lvl w:ilvl="8">
      <w:start w:val="1"/>
      <w:numFmt w:val="decimal"/>
      <w:lvlText w:val="%1.%2.%3.%4.%5.%6.%7.%8.%9."/>
      <w:lvlJc w:val="start"/>
      <w:pPr>
        <w:tabs>
          <w:tab w:val="num" w:pos="5040"/>
        </w:tabs>
        <w:ind w:start="5040" w:hanging="1440"/>
      </w:pPr>
      <w:rPr/>
    </w:lvl>
  </w:abstractNum>
  <w:abstractNum w:abstractNumId="20">
    <w:lvl w:ilvl="0">
      <w:numFmt w:val="bullet"/>
      <w:lvlText w:val="-"/>
      <w:lvlJc w:val="start"/>
      <w:pPr>
        <w:tabs>
          <w:tab w:val="num" w:pos="360"/>
        </w:tabs>
        <w:ind w:start="360" w:hanging="360"/>
      </w:pPr>
      <w:rPr>
        <w:rFonts w:ascii="Liberation Serif" w:hAnsi="Liberation Serif" w:cs="Liberation Serif" w:hint="default"/>
      </w:rPr>
    </w:lvl>
  </w:abstractNum>
  <w:abstractNum w:abstractNumId="21">
    <w:lvl w:ilvl="0">
      <w:start w:val="6"/>
      <w:numFmt w:val="decimal"/>
      <w:lvlText w:val="%1."/>
      <w:lvlJc w:val="start"/>
      <w:pPr>
        <w:tabs>
          <w:tab w:val="num" w:pos="390"/>
        </w:tabs>
        <w:ind w:start="390" w:hanging="390"/>
      </w:pPr>
      <w:rPr/>
    </w:lvl>
    <w:lvl w:ilvl="1">
      <w:start w:val="2"/>
      <w:numFmt w:val="decimal"/>
      <w:lvlText w:val="%1.%2."/>
      <w:lvlJc w:val="start"/>
      <w:pPr>
        <w:tabs>
          <w:tab w:val="num" w:pos="840"/>
        </w:tabs>
        <w:ind w:start="840" w:hanging="390"/>
      </w:pPr>
      <w:rPr/>
    </w:lvl>
    <w:lvl w:ilvl="2">
      <w:start w:val="1"/>
      <w:numFmt w:val="decimal"/>
      <w:lvlText w:val="%1.%2.%3."/>
      <w:lvlJc w:val="start"/>
      <w:pPr>
        <w:tabs>
          <w:tab w:val="num" w:pos="1620"/>
        </w:tabs>
        <w:ind w:start="1620" w:hanging="720"/>
      </w:pPr>
      <w:rPr/>
    </w:lvl>
    <w:lvl w:ilvl="3">
      <w:start w:val="1"/>
      <w:numFmt w:val="decimal"/>
      <w:lvlText w:val="%1.%2.%3.%4."/>
      <w:lvlJc w:val="start"/>
      <w:pPr>
        <w:tabs>
          <w:tab w:val="num" w:pos="2070"/>
        </w:tabs>
        <w:ind w:start="2070" w:hanging="720"/>
      </w:pPr>
      <w:rPr/>
    </w:lvl>
    <w:lvl w:ilvl="4">
      <w:start w:val="1"/>
      <w:numFmt w:val="decimal"/>
      <w:lvlText w:val="%1.%2.%3.%4.%5."/>
      <w:lvlJc w:val="start"/>
      <w:pPr>
        <w:tabs>
          <w:tab w:val="num" w:pos="2880"/>
        </w:tabs>
        <w:ind w:start="2880" w:hanging="1080"/>
      </w:pPr>
      <w:rPr/>
    </w:lvl>
    <w:lvl w:ilvl="5">
      <w:start w:val="1"/>
      <w:numFmt w:val="decimal"/>
      <w:lvlText w:val="%1.%2.%3.%4.%5.%6."/>
      <w:lvlJc w:val="start"/>
      <w:pPr>
        <w:tabs>
          <w:tab w:val="num" w:pos="3330"/>
        </w:tabs>
        <w:ind w:start="3330" w:hanging="1080"/>
      </w:pPr>
      <w:rPr/>
    </w:lvl>
    <w:lvl w:ilvl="6">
      <w:start w:val="1"/>
      <w:numFmt w:val="decimal"/>
      <w:lvlText w:val="%1.%2.%3.%4.%5.%6.%7."/>
      <w:lvlJc w:val="start"/>
      <w:pPr>
        <w:tabs>
          <w:tab w:val="num" w:pos="3780"/>
        </w:tabs>
        <w:ind w:start="3780" w:hanging="1080"/>
      </w:pPr>
      <w:rPr/>
    </w:lvl>
    <w:lvl w:ilvl="7">
      <w:start w:val="1"/>
      <w:numFmt w:val="decimal"/>
      <w:lvlText w:val="%1.%2.%3.%4.%5.%6.%7.%8."/>
      <w:lvlJc w:val="start"/>
      <w:pPr>
        <w:tabs>
          <w:tab w:val="num" w:pos="4590"/>
        </w:tabs>
        <w:ind w:start="4590" w:hanging="1440"/>
      </w:pPr>
      <w:rPr/>
    </w:lvl>
    <w:lvl w:ilvl="8">
      <w:start w:val="1"/>
      <w:numFmt w:val="decimal"/>
      <w:lvlText w:val="%1.%2.%3.%4.%5.%6.%7.%8.%9."/>
      <w:lvlJc w:val="start"/>
      <w:pPr>
        <w:tabs>
          <w:tab w:val="num" w:pos="5040"/>
        </w:tabs>
        <w:ind w:start="5040" w:hanging="1440"/>
      </w:pPr>
      <w:rPr/>
    </w:lvl>
  </w:abstractNum>
  <w:abstractNum w:abstractNumId="22">
    <w:lvl w:ilvl="0">
      <w:numFmt w:val="bullet"/>
      <w:lvlText w:val="-"/>
      <w:lvlJc w:val="start"/>
      <w:pPr>
        <w:tabs>
          <w:tab w:val="num" w:pos="360"/>
        </w:tabs>
        <w:ind w:start="360" w:hanging="360"/>
      </w:pPr>
      <w:rPr>
        <w:rFonts w:ascii="Liberation Serif" w:hAnsi="Liberation Serif" w:cs="Liberation Serif" w:hint="default"/>
      </w:rPr>
    </w:lvl>
  </w:abstractNum>
  <w:abstractNum w:abstractNumId="23">
    <w:lvl w:ilvl="0">
      <w:numFmt w:val="bullet"/>
      <w:lvlText w:val="-"/>
      <w:lvlJc w:val="start"/>
      <w:pPr>
        <w:tabs>
          <w:tab w:val="num" w:pos="360"/>
        </w:tabs>
        <w:ind w:start="360" w:hanging="360"/>
      </w:pPr>
      <w:rPr>
        <w:rFonts w:ascii="Liberation Serif" w:hAnsi="Liberation Serif" w:cs="Liberation Serif" w:hint="default"/>
      </w:rPr>
    </w:lvl>
  </w:abstractNum>
  <w:abstractNum w:abstractNumId="24">
    <w:lvl w:ilvl="0">
      <w:start w:val="9"/>
      <w:numFmt w:val="decimal"/>
      <w:lvlText w:val="%1."/>
      <w:lvlJc w:val="start"/>
      <w:pPr>
        <w:tabs>
          <w:tab w:val="num" w:pos="390"/>
        </w:tabs>
        <w:ind w:start="390" w:hanging="390"/>
      </w:pPr>
      <w:rPr/>
    </w:lvl>
    <w:lvl w:ilvl="1">
      <w:start w:val="1"/>
      <w:numFmt w:val="decimal"/>
      <w:lvlText w:val="%1.%2."/>
      <w:lvlJc w:val="start"/>
      <w:pPr>
        <w:tabs>
          <w:tab w:val="num" w:pos="840"/>
        </w:tabs>
        <w:ind w:start="840" w:hanging="390"/>
      </w:pPr>
      <w:rPr/>
    </w:lvl>
    <w:lvl w:ilvl="2">
      <w:start w:val="1"/>
      <w:numFmt w:val="decimal"/>
      <w:lvlText w:val="%1.%2.%3."/>
      <w:lvlJc w:val="start"/>
      <w:pPr>
        <w:tabs>
          <w:tab w:val="num" w:pos="1620"/>
        </w:tabs>
        <w:ind w:start="1620" w:hanging="720"/>
      </w:pPr>
      <w:rPr/>
    </w:lvl>
    <w:lvl w:ilvl="3">
      <w:start w:val="1"/>
      <w:numFmt w:val="decimal"/>
      <w:lvlText w:val="%1.%2.%3.%4."/>
      <w:lvlJc w:val="start"/>
      <w:pPr>
        <w:tabs>
          <w:tab w:val="num" w:pos="2070"/>
        </w:tabs>
        <w:ind w:start="2070" w:hanging="720"/>
      </w:pPr>
      <w:rPr/>
    </w:lvl>
    <w:lvl w:ilvl="4">
      <w:start w:val="1"/>
      <w:numFmt w:val="decimal"/>
      <w:lvlText w:val="%1.%2.%3.%4.%5."/>
      <w:lvlJc w:val="start"/>
      <w:pPr>
        <w:tabs>
          <w:tab w:val="num" w:pos="2880"/>
        </w:tabs>
        <w:ind w:start="2880" w:hanging="1080"/>
      </w:pPr>
      <w:rPr/>
    </w:lvl>
    <w:lvl w:ilvl="5">
      <w:start w:val="1"/>
      <w:numFmt w:val="decimal"/>
      <w:lvlText w:val="%1.%2.%3.%4.%5.%6."/>
      <w:lvlJc w:val="start"/>
      <w:pPr>
        <w:tabs>
          <w:tab w:val="num" w:pos="3330"/>
        </w:tabs>
        <w:ind w:start="3330" w:hanging="1080"/>
      </w:pPr>
      <w:rPr/>
    </w:lvl>
    <w:lvl w:ilvl="6">
      <w:start w:val="1"/>
      <w:numFmt w:val="decimal"/>
      <w:lvlText w:val="%1.%2.%3.%4.%5.%6.%7."/>
      <w:lvlJc w:val="start"/>
      <w:pPr>
        <w:tabs>
          <w:tab w:val="num" w:pos="3780"/>
        </w:tabs>
        <w:ind w:start="3780" w:hanging="1080"/>
      </w:pPr>
      <w:rPr/>
    </w:lvl>
    <w:lvl w:ilvl="7">
      <w:start w:val="1"/>
      <w:numFmt w:val="decimal"/>
      <w:lvlText w:val="%1.%2.%3.%4.%5.%6.%7.%8."/>
      <w:lvlJc w:val="start"/>
      <w:pPr>
        <w:tabs>
          <w:tab w:val="num" w:pos="4590"/>
        </w:tabs>
        <w:ind w:start="4590" w:hanging="1440"/>
      </w:pPr>
      <w:rPr/>
    </w:lvl>
    <w:lvl w:ilvl="8">
      <w:start w:val="1"/>
      <w:numFmt w:val="decimal"/>
      <w:lvlText w:val="%1.%2.%3.%4.%5.%6.%7.%8.%9."/>
      <w:lvlJc w:val="start"/>
      <w:pPr>
        <w:tabs>
          <w:tab w:val="num" w:pos="5040"/>
        </w:tabs>
        <w:ind w:start="5040" w:hanging="1440"/>
      </w:pPr>
      <w:rPr/>
    </w:lvl>
  </w:abstractNum>
  <w:abstractNum w:abstractNumId="25">
    <w:lvl w:ilvl="0">
      <w:numFmt w:val="bullet"/>
      <w:lvlText w:val="-"/>
      <w:lvlJc w:val="start"/>
      <w:pPr>
        <w:tabs>
          <w:tab w:val="num" w:pos="360"/>
        </w:tabs>
        <w:ind w:start="360" w:hanging="360"/>
      </w:pPr>
      <w:rPr>
        <w:rFonts w:ascii="Liberation Serif" w:hAnsi="Liberation Serif" w:cs="Liberation Serif" w:hint="default"/>
      </w:rPr>
    </w:lvl>
  </w:abstractNum>
  <w:abstractNum w:abstractNumId="26">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numPr>
        <w:ilvl w:val="0"/>
        <w:numId w:val="1"/>
      </w:numPr>
      <w:spacing w:before="180" w:after="0"/>
      <w:outlineLvl w:val="0"/>
    </w:pPr>
    <w:rPr>
      <w:b/>
      <w:sz w:val="24"/>
    </w:rPr>
  </w:style>
  <w:style w:type="paragraph" w:styleId="Heading2">
    <w:name w:val="heading 2"/>
    <w:basedOn w:val="Heading1"/>
    <w:next w:val="Normal"/>
    <w:qFormat/>
    <w:pPr>
      <w:numPr>
        <w:ilvl w:val="1"/>
        <w:numId w:val="1"/>
      </w:numPr>
      <w:spacing w:before="120" w:after="0"/>
      <w:outlineLvl w:val="1"/>
    </w:pPr>
    <w:rPr>
      <w:sz w:val="22"/>
    </w:rPr>
  </w:style>
  <w:style w:type="paragraph" w:styleId="Heading3">
    <w:name w:val="heading 3"/>
    <w:basedOn w:val="Heading2"/>
    <w:next w:val="Normal"/>
    <w:qFormat/>
    <w:pPr>
      <w:numPr>
        <w:ilvl w:val="2"/>
        <w:numId w:val="1"/>
      </w:numPr>
      <w:outlineLvl w:val="2"/>
    </w:pPr>
    <w:rPr>
      <w:sz w:val="20"/>
    </w:rPr>
  </w:style>
  <w:style w:type="character" w:styleId="WW8Num6z0">
    <w:name w:val="WW8Num6z0"/>
    <w:qFormat/>
    <w:rPr>
      <w:rFonts w:ascii="Symbol" w:hAnsi="Symbol" w:cs="Symbol"/>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9z0">
    <w:name w:val="WW8Num19z0"/>
    <w:qFormat/>
    <w:rPr/>
  </w:style>
  <w:style w:type="character" w:styleId="WW8Num20z0">
    <w:name w:val="WW8Num20z0"/>
    <w:qFormat/>
    <w:rPr>
      <w:rFonts w:ascii="Symbol" w:hAnsi="Symbol" w:cs="Symbol"/>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6z0">
    <w:name w:val="WW8Num26z0"/>
    <w:qFormat/>
    <w:rPr>
      <w:rFonts w:ascii="Times New Roman" w:hAnsi="Times New Roman" w:cs="Times New Roman"/>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style>
  <w:style w:type="character" w:styleId="WW8Num35z0">
    <w:name w:val="WW8Num35z0"/>
    <w:qFormat/>
    <w:rPr/>
  </w:style>
  <w:style w:type="character" w:styleId="WW8Num37z0">
    <w:name w:val="WW8Num37z0"/>
    <w:qFormat/>
    <w:rPr/>
  </w:style>
  <w:style w:type="character" w:styleId="WW8Num38z0">
    <w:name w:val="WW8Num38z0"/>
    <w:qFormat/>
    <w:rPr/>
  </w:style>
  <w:style w:type="character" w:styleId="WW8Num40z0">
    <w:name w:val="WW8Num40z0"/>
    <w:qFormat/>
    <w:rPr/>
  </w:style>
  <w:style w:type="character" w:styleId="WW8Num42z0">
    <w:name w:val="WW8Num42z0"/>
    <w:qFormat/>
    <w:rPr/>
  </w:style>
  <w:style w:type="character" w:styleId="WW8Num45z0">
    <w:name w:val="WW8Num45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3z0">
    <w:name w:val="WW8Num53z0"/>
    <w:qFormat/>
    <w:rPr/>
  </w:style>
  <w:style w:type="character" w:styleId="WW8Num54z0">
    <w:name w:val="WW8Num54z0"/>
    <w:qFormat/>
    <w:rPr/>
  </w:style>
  <w:style w:type="character" w:styleId="WW8Num57z0">
    <w:name w:val="WW8Num57z0"/>
    <w:qFormat/>
    <w:rPr>
      <w:rFonts w:ascii="Times New Roman" w:hAnsi="Times New Roman" w:cs="Times New Roman"/>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rFonts w:ascii="Symbol" w:hAnsi="Symbol" w:cs="Symbol"/>
    </w:rPr>
  </w:style>
  <w:style w:type="character" w:styleId="WW8Num71z0">
    <w:name w:val="WW8Num7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Heading1"/>
    <w:next w:val="BodyText"/>
    <w:qFormat/>
    <w:pPr>
      <w:numPr>
        <w:ilvl w:val="0"/>
        <w:numId w:val="0"/>
      </w:numPr>
      <w:spacing w:before="0" w:after="0"/>
      <w:outlineLvl w:val="9"/>
    </w:pPr>
    <w:rPr/>
  </w:style>
  <w:style w:type="paragraph" w:styleId="BodyText">
    <w:name w:val="Body Text"/>
    <w:basedOn w:val="Normal"/>
    <w:pPr>
      <w:jc w:val="both"/>
    </w:pPr>
    <w:rPr>
      <w:sz w:val="22"/>
    </w:rPr>
  </w:style>
  <w:style w:type="paragraph" w:styleId="List">
    <w:name w:val="List"/>
    <w:basedOn w:val="Normal"/>
    <w:pPr>
      <w:ind w:hanging="36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 w:val="right" w:pos="9000" w:leader="none"/>
      </w:tabs>
      <w:spacing w:before="0" w:after="0"/>
    </w:pPr>
    <w:rPr/>
  </w:style>
  <w:style w:type="paragraph" w:styleId="FootnoteText">
    <w:name w:val="footnote text"/>
    <w:basedOn w:val="Normal"/>
    <w:pPr>
      <w:ind w:hanging="360" w:start="360" w:end="0"/>
    </w:pPr>
    <w:rPr/>
  </w:style>
  <w:style w:type="paragraph" w:styleId="NormalIndent">
    <w:name w:val="Normal Indent"/>
    <w:basedOn w:val="Normal"/>
    <w:qFormat/>
    <w:pPr>
      <w:ind w:hanging="0" w:start="720" w:end="0"/>
    </w:pPr>
    <w:rPr/>
  </w:style>
  <w:style w:type="paragraph" w:styleId="SubList">
    <w:name w:val="SubList"/>
    <w:basedOn w:val="List"/>
    <w:qFormat/>
    <w:pPr>
      <w:ind w:hanging="360" w:start="1440" w:end="0"/>
    </w:pPr>
    <w:rPr/>
  </w:style>
  <w:style w:type="paragraph" w:styleId="Subject">
    <w:name w:val="Subject"/>
    <w:basedOn w:val="Normal"/>
    <w:qFormat/>
    <w:pPr/>
    <w:rPr/>
  </w:style>
  <w:style w:type="paragraph" w:styleId="Date">
    <w:name w:val="Date"/>
    <w:basedOn w:val="Normal"/>
    <w:qFormat/>
    <w:pPr/>
    <w:rPr/>
  </w:style>
  <w:style w:type="paragraph" w:styleId="To">
    <w:name w:val="To"/>
    <w:basedOn w:val="Normal"/>
    <w:qFormat/>
    <w:pPr/>
    <w:rPr/>
  </w:style>
  <w:style w:type="paragraph" w:styleId="From">
    <w:name w:val="From"/>
    <w:basedOn w:val="Normal"/>
    <w:qFormat/>
    <w:pPr/>
    <w:rPr/>
  </w:style>
  <w:style w:type="paragraph" w:styleId="Closed">
    <w:name w:val="Closed"/>
    <w:basedOn w:val="Normal"/>
    <w:qFormat/>
    <w:pPr>
      <w:spacing w:before="0" w:after="0"/>
    </w:pPr>
    <w:rPr/>
  </w:style>
  <w:style w:type="paragraph" w:styleId="CopyList">
    <w:name w:val="CopyList"/>
    <w:basedOn w:val="Normal"/>
    <w:qFormat/>
    <w:pPr>
      <w:tabs>
        <w:tab w:val="clear" w:pos="720"/>
        <w:tab w:val="left" w:pos="504" w:leader="none"/>
      </w:tabs>
      <w:spacing w:before="360" w:after="0"/>
      <w:ind w:hanging="504" w:start="504" w:end="0"/>
    </w:pPr>
    <w:rPr/>
  </w:style>
  <w:style w:type="paragraph" w:styleId="Level1">
    <w:name w:val="Level 1"/>
    <w:basedOn w:val="Normal"/>
    <w:qFormat/>
    <w:pPr>
      <w:widowControl w:val="false"/>
      <w:numPr>
        <w:ilvl w:val="0"/>
        <w:numId w:val="26"/>
      </w:numPr>
      <w:spacing w:before="0" w:after="0"/>
      <w:ind w:hanging="720" w:start="2160" w:end="0"/>
      <w:outlineLvl w:val="0"/>
    </w:pPr>
    <w:rPr>
      <w:sz w:val="24"/>
      <w:lang w:eastAsia="en-US"/>
    </w:rPr>
  </w:style>
  <w:style w:type="paragraph" w:styleId="Level3">
    <w:name w:val="Level 3"/>
    <w:basedOn w:val="Normal"/>
    <w:qFormat/>
    <w:pPr>
      <w:widowControl w:val="false"/>
      <w:numPr>
        <w:ilvl w:val="0"/>
        <w:numId w:val="26"/>
      </w:numPr>
      <w:spacing w:before="0" w:after="0"/>
      <w:ind w:hanging="720" w:start="2160" w:end="0"/>
      <w:outlineLvl w:val="2"/>
    </w:pPr>
    <w:rPr>
      <w:sz w:val="24"/>
      <w:lang w:eastAsia="en-US"/>
    </w:rPr>
  </w:style>
  <w:style w:type="paragraph" w:styleId="BodyTextIndent">
    <w:name w:val="Body Text Indent"/>
    <w:basedOn w:val="Normal"/>
    <w:pPr>
      <w:ind w:hanging="0" w:start="993" w:end="0"/>
      <w:jc w:val="both"/>
    </w:pPr>
    <w:rPr>
      <w:sz w:val="22"/>
    </w:rPr>
  </w:style>
  <w:style w:type="paragraph" w:styleId="BodyTextIndent2">
    <w:name w:val="Body Text Indent 2"/>
    <w:basedOn w:val="Normal"/>
    <w:qFormat/>
    <w:pPr>
      <w:spacing w:before="0" w:after="0"/>
      <w:ind w:hanging="0" w:start="851" w:end="0"/>
      <w:jc w:val="both"/>
    </w:pPr>
    <w:rPr>
      <w:sz w:val="22"/>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oleObject" Target="embeddings/oleObject2.bin"/><Relationship Id="rId5" Type="http://schemas.openxmlformats.org/officeDocument/2006/relationships/image" Target="media/image1.emf"/><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Eimemo</Template>
  <TotalTime>206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1999-10-18T12:44:00Z</dcterms:created>
  <dc:creator>EDC</dc:creator>
  <dc:description/>
  <dc:language>en-CA</dc:language>
  <cp:lastModifiedBy>EI</cp:lastModifiedBy>
  <cp:lastPrinted>1999-11-22T14:26:00Z</cp:lastPrinted>
  <dcterms:modified xsi:type="dcterms:W3CDTF">1999-11-22T18:51:00Z</dcterms:modified>
  <cp:revision>25</cp:revision>
  <dc:subject/>
  <dc:title>Enron International Memo</dc:title>
</cp:coreProperties>
</file>