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CTitle"/>
        <w:rPr/>
      </w:pPr>
      <w:r>
        <w:rPr/>
        <w:t>SULLIVAN &amp; CROMWELL</w:t>
      </w:r>
    </w:p>
    <w:p>
      <w:pPr>
        <w:pStyle w:val="Date"/>
        <w:rPr/>
      </w:pPr>
      <w:r>
        <w:rPr/>
        <w:t>July 23, 2001</w:t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90"/>
        <w:gridCol w:w="187"/>
        <w:gridCol w:w="6163"/>
      </w:tblGrid>
      <w:tr>
        <w:trPr>
          <w:trHeight w:val="403" w:hRule="atLeast"/>
        </w:trPr>
        <w:tc>
          <w:tcPr>
            <w:tcW w:w="2290" w:type="dxa"/>
            <w:tcBorders/>
          </w:tcPr>
          <w:p>
            <w:pPr>
              <w:pStyle w:val="LeftColumn"/>
              <w:rPr/>
            </w:pPr>
            <w:r>
              <w:rPr/>
              <w:t>MEMORANDUM TO:</w:t>
            </w:r>
          </w:p>
        </w:tc>
        <w:tc>
          <w:tcPr>
            <w:tcW w:w="18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163" w:type="dxa"/>
            <w:tcBorders/>
          </w:tcPr>
          <w:p>
            <w:pPr>
              <w:pStyle w:val="To"/>
              <w:spacing w:before="0" w:after="240"/>
              <w:rPr/>
            </w:pPr>
            <w:r>
              <w:rPr/>
              <w:t>Vicky Sharp</w:t>
              <w:br/>
              <w:t xml:space="preserve">(Enron Energy Services) </w:t>
            </w:r>
          </w:p>
        </w:tc>
      </w:tr>
      <w:tr>
        <w:trPr>
          <w:trHeight w:val="403" w:hRule="atLeast"/>
        </w:trPr>
        <w:tc>
          <w:tcPr>
            <w:tcW w:w="2290" w:type="dxa"/>
            <w:tcBorders/>
          </w:tcPr>
          <w:p>
            <w:pPr>
              <w:pStyle w:val="LeftColumn"/>
              <w:rPr/>
            </w:pPr>
            <w:r>
              <w:rPr/>
              <w:t>FROM:</w:t>
            </w:r>
          </w:p>
        </w:tc>
        <w:tc>
          <w:tcPr>
            <w:tcW w:w="18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163" w:type="dxa"/>
            <w:tcBorders/>
          </w:tcPr>
          <w:p>
            <w:pPr>
              <w:pStyle w:val="From"/>
              <w:rPr/>
            </w:pPr>
            <w:r>
              <w:rPr/>
              <w:t>Kenneth M. Raisler</w:t>
            </w:r>
          </w:p>
        </w:tc>
      </w:tr>
      <w:tr>
        <w:trPr>
          <w:trHeight w:val="240" w:hRule="atLeast"/>
        </w:trPr>
        <w:tc>
          <w:tcPr>
            <w:tcW w:w="2290" w:type="dxa"/>
            <w:tcBorders/>
          </w:tcPr>
          <w:p>
            <w:pPr>
              <w:pStyle w:val="LeftColumn"/>
              <w:rPr/>
            </w:pPr>
            <w:r>
              <w:rPr/>
              <w:t>RE:</w:t>
            </w:r>
          </w:p>
        </w:tc>
        <w:tc>
          <w:tcPr>
            <w:tcW w:w="187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6163" w:type="dxa"/>
            <w:tcBorders/>
          </w:tcPr>
          <w:p>
            <w:pPr>
              <w:pStyle w:val="Subject"/>
              <w:rPr>
                <w:u w:val="single"/>
              </w:rPr>
            </w:pPr>
            <w:r>
              <w:rPr>
                <w:u w:val="single"/>
              </w:rPr>
              <w:t>Light-Handed Regulatory Scheme for Retail Swaps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jc w:val="both"/>
        <w:rPr/>
      </w:pPr>
      <w:r>
        <w:rPr/>
        <w:t>The CFTC could use its exemptive authority (17 U.S.C. § 4(c)) to create a regulatory program to permit retail swaps.  This could be done without legislation and could be done now (perhaps on a pilot basis).  The elements of the program could include:</w:t>
      </w:r>
    </w:p>
    <w:p>
      <w:pPr>
        <w:pStyle w:val="BodyText"/>
        <w:ind w:hanging="0" w:end="0"/>
        <w:rPr>
          <w:u w:val="single"/>
        </w:rPr>
      </w:pPr>
      <w:r>
        <w:rPr>
          <w:u w:val="single"/>
        </w:rPr>
        <w:t>Registration</w:t>
      </w:r>
    </w:p>
    <w:p>
      <w:pPr>
        <w:pStyle w:val="BodyText"/>
        <w:numPr>
          <w:ilvl w:val="0"/>
          <w:numId w:val="12"/>
        </w:numPr>
        <w:jc w:val="both"/>
        <w:rPr/>
      </w:pPr>
      <w:r>
        <w:rPr/>
        <w:t>Either a new category of registration or registration of the retail swap dealer as a Futures Commission Merchant (“FCM”).  Individuals would not have to register (although the registrant may be required to represent that no involved individual is subject to statutory disqualification - - e.g. no criminal record).</w:t>
      </w:r>
    </w:p>
    <w:p>
      <w:pPr>
        <w:pStyle w:val="BodyText"/>
        <w:numPr>
          <w:ilvl w:val="0"/>
          <w:numId w:val="12"/>
        </w:numPr>
        <w:jc w:val="both"/>
        <w:rPr/>
      </w:pPr>
      <w:r>
        <w:rPr/>
        <w:t>Also may have to become a member of the National Futures Association which may have certain responsibilities (see below).</w:t>
      </w:r>
    </w:p>
    <w:p>
      <w:pPr>
        <w:pStyle w:val="BodyText"/>
        <w:ind w:hanging="0" w:end="0"/>
        <w:rPr>
          <w:u w:val="single"/>
        </w:rPr>
      </w:pPr>
      <w:r>
        <w:rPr>
          <w:u w:val="single"/>
        </w:rPr>
        <w:t>Capital Requirements</w:t>
      </w:r>
    </w:p>
    <w:p>
      <w:pPr>
        <w:pStyle w:val="BodyText"/>
        <w:numPr>
          <w:ilvl w:val="0"/>
          <w:numId w:val="13"/>
        </w:numPr>
        <w:jc w:val="both"/>
        <w:rPr/>
      </w:pPr>
      <w:r>
        <w:rPr/>
        <w:t>Minimum capital (e.g. $250,000) plus some kind of capital requirement to cover “open” retail positions/exposure.  With foreign currency, the capital charge ranges from 6%-20% of net exposed contract notional value, depending on the underlying currency.</w:t>
      </w:r>
    </w:p>
    <w:p>
      <w:pPr>
        <w:pStyle w:val="BodyText"/>
        <w:ind w:hanging="0" w:end="0"/>
        <w:rPr>
          <w:u w:val="single"/>
        </w:rPr>
      </w:pPr>
      <w:r>
        <w:rPr>
          <w:u w:val="single"/>
        </w:rPr>
        <w:t>Record keeping and Reporting</w:t>
      </w:r>
    </w:p>
    <w:p>
      <w:pPr>
        <w:pStyle w:val="BodyText"/>
        <w:numPr>
          <w:ilvl w:val="0"/>
          <w:numId w:val="13"/>
        </w:numPr>
        <w:jc w:val="both"/>
        <w:rPr/>
      </w:pPr>
      <w:r>
        <w:rPr/>
        <w:t>Books and records appropriate for the business must be kept (likely for 5 years) and be made available for inspection by the CFTC and/or the Department of Justice.</w:t>
      </w:r>
    </w:p>
    <w:p>
      <w:pPr>
        <w:pStyle w:val="BodyText"/>
        <w:numPr>
          <w:ilvl w:val="0"/>
          <w:numId w:val="13"/>
        </w:numPr>
        <w:jc w:val="both"/>
        <w:rPr/>
      </w:pPr>
      <w:r>
        <w:rPr/>
        <w:t>There may be some limited reporting of volumes of transactions and transaction type to the CFTC and/or NFA.</w:t>
      </w:r>
    </w:p>
    <w:p>
      <w:pPr>
        <w:pStyle w:val="BodyText"/>
        <w:ind w:hanging="0" w:end="0"/>
        <w:rPr>
          <w:u w:val="single"/>
        </w:rPr>
      </w:pPr>
      <w:r>
        <w:rPr>
          <w:u w:val="single"/>
        </w:rPr>
        <w:t>Disclosure and Sales Practice</w:t>
      </w:r>
    </w:p>
    <w:p>
      <w:pPr>
        <w:pStyle w:val="BodyText"/>
        <w:numPr>
          <w:ilvl w:val="0"/>
          <w:numId w:val="14"/>
        </w:numPr>
        <w:jc w:val="both"/>
        <w:rPr/>
      </w:pPr>
      <w:r>
        <w:rPr/>
        <w:t>Perhaps provide a standard form disclosure document to retail participants.  In addition, there may be some general sales practice rules or guidelines including a “know your customer” standard (consistent with NFA’s current rule) likely to be subject to audit by the NFA.</w:t>
      </w:r>
    </w:p>
    <w:p>
      <w:pPr>
        <w:pStyle w:val="BodyText"/>
        <w:ind w:hanging="0" w:end="0"/>
        <w:rPr>
          <w:u w:val="single"/>
        </w:rPr>
      </w:pPr>
      <w:r>
        <w:rPr>
          <w:u w:val="single"/>
        </w:rPr>
        <w:t>Antifraud Rules</w:t>
      </w:r>
    </w:p>
    <w:p>
      <w:pPr>
        <w:pStyle w:val="BodyText"/>
        <w:numPr>
          <w:ilvl w:val="0"/>
          <w:numId w:val="14"/>
        </w:numPr>
        <w:jc w:val="both"/>
        <w:rPr/>
      </w:pPr>
      <w:r>
        <w:rPr/>
        <w:t>NFA to develop an antifraud rule for retail swaps which it can apply where appropriate (it is currently developing such a rule for retail foreign exchange).  The CFTC also can apply its antifraud rule and also may elect to amend its rule.</w:t>
      </w:r>
    </w:p>
    <w:p>
      <w:pPr>
        <w:pStyle w:val="BodyText"/>
        <w:rPr/>
      </w:pPr>
      <w:r>
        <w:rPr/>
      </w:r>
    </w:p>
    <w:p>
      <w:pPr>
        <w:pStyle w:val="Initials"/>
        <w:rPr/>
      </w:pPr>
      <w:r>
        <w:rPr/>
        <w:t>K.M.R.</w:t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915" w:footer="965" w:bottom="102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GarmdITC Bk BT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16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>-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.05pt;mso-position-vertical-relative:text;margin-left:227.0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>-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-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outlineLvl w:val="0"/>
    </w:pPr>
    <w:rPr>
      <w:b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spacing w:before="0" w:after="240"/>
      <w:jc w:val="center"/>
    </w:pPr>
    <w:rPr>
      <w:caps/>
    </w:rPr>
  </w:style>
  <w:style w:type="paragraph" w:styleId="BodyText">
    <w:name w:val="Body Text"/>
    <w:basedOn w:val="Normal"/>
    <w:pPr>
      <w:spacing w:lineRule="auto" w:line="480"/>
      <w:ind w:firstLine="1440" w:start="0" w:end="0"/>
    </w:pPr>
    <w:rPr/>
  </w:style>
  <w:style w:type="paragraph" w:styleId="List">
    <w:name w:val="List"/>
    <w:basedOn w:val="Normal"/>
    <w:pPr>
      <w:spacing w:before="0" w:after="240"/>
      <w:ind w:hanging="720" w:start="72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CTitle">
    <w:name w:val="S&amp;C Title"/>
    <w:basedOn w:val="Normal"/>
    <w:qFormat/>
    <w:pPr>
      <w:spacing w:before="0" w:after="360"/>
      <w:ind w:hanging="0" w:start="-963" w:end="0"/>
    </w:pPr>
    <w:rPr>
      <w:rFonts w:ascii="GarmdITC Bk BT" w:hAnsi="GarmdITC Bk BT" w:cs="GarmdITC Bk BT"/>
      <w:sz w:val="2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/>
  </w:style>
  <w:style w:type="paragraph" w:styleId="Date">
    <w:name w:val="Date"/>
    <w:basedOn w:val="Normal"/>
    <w:next w:val="Normal"/>
    <w:qFormat/>
    <w:pPr>
      <w:spacing w:before="240" w:after="480"/>
      <w:ind w:hanging="0" w:start="5760" w:end="0"/>
    </w:pPr>
    <w:rPr/>
  </w:style>
  <w:style w:type="paragraph" w:styleId="To">
    <w:name w:val="To"/>
    <w:basedOn w:val="Normal"/>
    <w:qFormat/>
    <w:pPr>
      <w:spacing w:before="0" w:after="240"/>
    </w:pPr>
    <w:rPr/>
  </w:style>
  <w:style w:type="paragraph" w:styleId="Company">
    <w:name w:val="Company"/>
    <w:basedOn w:val="Normal"/>
    <w:qFormat/>
    <w:pPr>
      <w:spacing w:before="0" w:after="240"/>
    </w:pPr>
    <w:rPr/>
  </w:style>
  <w:style w:type="paragraph" w:styleId="From">
    <w:name w:val="From"/>
    <w:basedOn w:val="Normal"/>
    <w:qFormat/>
    <w:pPr/>
    <w:rPr/>
  </w:style>
  <w:style w:type="paragraph" w:styleId="Subject">
    <w:name w:val="Subject"/>
    <w:basedOn w:val="Normal"/>
    <w:qFormat/>
    <w:pPr/>
    <w:rPr/>
  </w:style>
  <w:style w:type="paragraph" w:styleId="Initials">
    <w:name w:val="Initials"/>
    <w:basedOn w:val="Normal"/>
    <w:qFormat/>
    <w:pPr>
      <w:spacing w:before="0" w:after="240"/>
      <w:ind w:hanging="0" w:start="5760" w:end="0"/>
    </w:pPr>
    <w:rPr/>
  </w:style>
  <w:style w:type="paragraph" w:styleId="cc">
    <w:name w:val="cc"/>
    <w:basedOn w:val="Normal"/>
    <w:qFormat/>
    <w:pPr>
      <w:spacing w:before="0" w:after="240"/>
      <w:ind w:hanging="720" w:start="720" w:end="0"/>
    </w:pPr>
    <w:rPr/>
  </w:style>
  <w:style w:type="paragraph" w:styleId="bcc">
    <w:name w:val="bcc"/>
    <w:basedOn w:val="Normal"/>
    <w:qFormat/>
    <w:pPr>
      <w:spacing w:before="0" w:after="240"/>
      <w:ind w:hanging="720" w:start="720" w:end="0"/>
    </w:pPr>
    <w:rPr/>
  </w:style>
  <w:style w:type="paragraph" w:styleId="LeftColumn">
    <w:name w:val="LeftColumn"/>
    <w:basedOn w:val="Normal"/>
    <w:qFormat/>
    <w:pPr>
      <w:jc w:val="end"/>
    </w:pPr>
    <w:rPr/>
  </w:style>
  <w:style w:type="paragraph" w:styleId="Attachments">
    <w:name w:val="Attachments"/>
    <w:basedOn w:val="Normal"/>
    <w:qFormat/>
    <w:pPr/>
    <w:rPr/>
  </w:style>
  <w:style w:type="paragraph" w:styleId="DeliveryMethod">
    <w:name w:val="DeliveryMethod"/>
    <w:basedOn w:val="Normal"/>
    <w:qFormat/>
    <w:pPr>
      <w:spacing w:before="0" w:after="240"/>
    </w:pPr>
    <w:rPr>
      <w:u w:val="single"/>
    </w:rPr>
  </w:style>
  <w:style w:type="paragraph" w:styleId="DraftLine">
    <w:name w:val="DraftLine"/>
    <w:basedOn w:val="Normal"/>
    <w:qFormat/>
    <w:pPr>
      <w:jc w:val="end"/>
    </w:pPr>
    <w:rPr/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BodyText2">
    <w:name w:val="Body Text 2"/>
    <w:basedOn w:val="Normal"/>
    <w:qFormat/>
    <w:pPr>
      <w:spacing w:before="0" w:after="240"/>
    </w:pPr>
    <w:rPr/>
  </w:style>
  <w:style w:type="paragraph" w:styleId="BodyText3">
    <w:name w:val="Body Text 3"/>
    <w:basedOn w:val="Normal"/>
    <w:qFormat/>
    <w:pPr>
      <w:spacing w:before="0" w:after="240"/>
      <w:ind w:firstLine="720" w:start="720" w:end="0"/>
    </w:pPr>
    <w:rPr/>
  </w:style>
  <w:style w:type="paragraph" w:styleId="BodyTextIndent">
    <w:name w:val="Body Text Indent"/>
    <w:basedOn w:val="Normal"/>
    <w:pPr>
      <w:spacing w:before="0" w:after="240"/>
      <w:ind w:hanging="0" w:start="720" w:end="0"/>
    </w:pPr>
    <w:rPr/>
  </w:style>
  <w:style w:type="paragraph" w:styleId="BodyTextFirstIndent2">
    <w:name w:val="Body Text First Indent 2"/>
    <w:basedOn w:val="Normal"/>
    <w:qFormat/>
    <w:pPr>
      <w:spacing w:before="0" w:after="240"/>
      <w:ind w:firstLine="720" w:start="0" w:end="0"/>
    </w:pPr>
    <w:rPr/>
  </w:style>
  <w:style w:type="paragraph" w:styleId="BodyTextFirstIndent">
    <w:name w:val="Body Text First Indent"/>
    <w:basedOn w:val="Normal"/>
    <w:qFormat/>
    <w:pPr>
      <w:spacing w:before="0" w:after="240"/>
      <w:ind w:firstLine="1440" w:start="0" w:end="0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720" w:end="0"/>
    </w:pPr>
    <w:rPr/>
  </w:style>
  <w:style w:type="paragraph" w:styleId="BodyTextIndent3">
    <w:name w:val="Body Text Indent 3"/>
    <w:basedOn w:val="Normal"/>
    <w:qFormat/>
    <w:pPr>
      <w:spacing w:before="0" w:after="240"/>
      <w:ind w:hanging="0" w:start="720" w:end="0"/>
    </w:pPr>
    <w:rPr/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ocumentMap">
    <w:name w:val="Document Map"/>
    <w:basedOn w:val="Normal"/>
    <w:qFormat/>
    <w:pPr>
      <w:shd w:fill="000080" w:val="clear"/>
      <w:jc w:val="both"/>
    </w:pPr>
    <w:rPr>
      <w:rFonts w:ascii="Tahoma" w:hAnsi="Tahoma" w:cs="Tahoma"/>
      <w:sz w:val="20"/>
    </w:rPr>
  </w:style>
  <w:style w:type="paragraph" w:styleId="Draft">
    <w:name w:val="Draft"/>
    <w:basedOn w:val="Normal"/>
    <w:qFormat/>
    <w:pPr>
      <w:jc w:val="end"/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Index1">
    <w:name w:val="index 1"/>
    <w:basedOn w:val="Normal"/>
    <w:pPr>
      <w:spacing w:before="0" w:after="240"/>
      <w:ind w:hanging="720" w:start="720" w:end="0"/>
    </w:pPr>
    <w:rPr/>
  </w:style>
  <w:style w:type="paragraph" w:styleId="Index2">
    <w:name w:val="index 2"/>
    <w:basedOn w:val="Normal"/>
    <w:pPr>
      <w:spacing w:before="0" w:after="240"/>
      <w:ind w:hanging="720" w:start="1440" w:end="0"/>
    </w:pPr>
    <w:rPr/>
  </w:style>
  <w:style w:type="paragraph" w:styleId="Index3">
    <w:name w:val="index 3"/>
    <w:basedOn w:val="Normal"/>
    <w:pPr>
      <w:spacing w:before="0" w:after="240"/>
      <w:ind w:hanging="720" w:start="2160" w:end="0"/>
    </w:pPr>
    <w:rPr/>
  </w:style>
  <w:style w:type="paragraph" w:styleId="Index4">
    <w:name w:val="Index 4"/>
    <w:basedOn w:val="Normal"/>
    <w:qFormat/>
    <w:pPr>
      <w:spacing w:before="0" w:after="240"/>
      <w:ind w:hanging="720" w:start="2880" w:end="0"/>
    </w:pPr>
    <w:rPr/>
  </w:style>
  <w:style w:type="paragraph" w:styleId="Index5">
    <w:name w:val="Index 5"/>
    <w:basedOn w:val="Normal"/>
    <w:qFormat/>
    <w:pPr>
      <w:spacing w:before="0" w:after="240"/>
      <w:ind w:hanging="720" w:start="3600" w:end="0"/>
    </w:pPr>
    <w:rPr/>
  </w:style>
  <w:style w:type="paragraph" w:styleId="Index6">
    <w:name w:val="Index 6"/>
    <w:basedOn w:val="Normal"/>
    <w:qFormat/>
    <w:pPr>
      <w:spacing w:before="0" w:after="240"/>
      <w:ind w:hanging="720" w:start="3600" w:end="0"/>
    </w:pPr>
    <w:rPr/>
  </w:style>
  <w:style w:type="paragraph" w:styleId="Index7">
    <w:name w:val="Index 7"/>
    <w:basedOn w:val="Normal"/>
    <w:qFormat/>
    <w:pPr>
      <w:spacing w:before="0" w:after="240"/>
      <w:ind w:hanging="720" w:start="4320" w:end="0"/>
    </w:pPr>
    <w:rPr/>
  </w:style>
  <w:style w:type="paragraph" w:styleId="Index8">
    <w:name w:val="Index 8"/>
    <w:basedOn w:val="Normal"/>
    <w:qFormat/>
    <w:pPr>
      <w:spacing w:before="0" w:after="240"/>
      <w:ind w:hanging="720" w:start="5040" w:end="0"/>
    </w:pPr>
    <w:rPr/>
  </w:style>
  <w:style w:type="paragraph" w:styleId="Index9">
    <w:name w:val="Index 9"/>
    <w:basedOn w:val="Normal"/>
    <w:qFormat/>
    <w:pPr>
      <w:spacing w:before="0" w:after="240"/>
      <w:ind w:hanging="720" w:start="5760" w:end="0"/>
    </w:pPr>
    <w:rPr/>
  </w:style>
  <w:style w:type="paragraph" w:styleId="IndexHeading">
    <w:name w:val="index heading"/>
    <w:basedOn w:val="Normal"/>
    <w:next w:val="Index1"/>
    <w:pPr>
      <w:spacing w:before="0" w:after="240"/>
    </w:pPr>
    <w:rPr/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WW-List2">
    <w:name w:val="WW-List 2"/>
    <w:basedOn w:val="Normal"/>
    <w:qFormat/>
    <w:pPr>
      <w:spacing w:before="0" w:after="240"/>
      <w:ind w:hanging="720" w:start="1440" w:end="0"/>
    </w:pPr>
    <w:rPr/>
  </w:style>
  <w:style w:type="paragraph" w:styleId="ListBullet3">
    <w:name w:val="List Bullet 3"/>
    <w:basedOn w:val="List"/>
    <w:pPr>
      <w:spacing w:before="0" w:after="120"/>
      <w:ind w:hanging="360" w:start="1080"/>
    </w:pPr>
    <w:rPr/>
  </w:style>
  <w:style w:type="paragraph" w:styleId="WW-List3">
    <w:name w:val="WW-List 3"/>
    <w:basedOn w:val="Normal"/>
    <w:qFormat/>
    <w:pPr>
      <w:spacing w:before="0" w:after="240"/>
      <w:ind w:hanging="720" w:start="2160" w:end="0"/>
    </w:pPr>
    <w:rPr/>
  </w:style>
  <w:style w:type="paragraph" w:styleId="ListBullet4">
    <w:name w:val="List Bullet 4"/>
    <w:basedOn w:val="List"/>
    <w:pPr>
      <w:spacing w:before="0" w:after="120"/>
      <w:ind w:hanging="360" w:start="1440"/>
    </w:pPr>
    <w:rPr/>
  </w:style>
  <w:style w:type="paragraph" w:styleId="WW-List4">
    <w:name w:val="WW-List 4"/>
    <w:basedOn w:val="Normal"/>
    <w:qFormat/>
    <w:pPr>
      <w:spacing w:before="0" w:after="240"/>
      <w:ind w:hanging="720" w:start="2880" w:end="0"/>
    </w:pPr>
    <w:rPr/>
  </w:style>
  <w:style w:type="paragraph" w:styleId="ListBullet5">
    <w:name w:val="List Bullet 5"/>
    <w:basedOn w:val="List"/>
    <w:pPr>
      <w:spacing w:before="0" w:after="120"/>
      <w:ind w:hanging="360" w:start="1800"/>
    </w:pPr>
    <w:rPr/>
  </w:style>
  <w:style w:type="paragraph" w:styleId="WW-List5">
    <w:name w:val="WW-List 5"/>
    <w:basedOn w:val="Normal"/>
    <w:qFormat/>
    <w:pPr>
      <w:spacing w:before="0" w:after="240"/>
      <w:ind w:hanging="720" w:start="3600" w:end="0"/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  <w:tab w:val="left" w:pos="1440" w:leader="none"/>
      </w:tabs>
      <w:spacing w:before="0" w:after="240"/>
      <w:ind w:hanging="720" w:start="1440" w:end="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  <w:tab w:val="left" w:pos="2880" w:leader="none"/>
      </w:tabs>
      <w:spacing w:before="0" w:after="240"/>
      <w:ind w:hanging="720" w:start="2880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  <w:tab w:val="left" w:pos="3600" w:leader="none"/>
      </w:tabs>
      <w:spacing w:before="0" w:after="240"/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  <w:spacing w:before="0" w:after="240"/>
      <w:ind w:hanging="720" w:start="72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144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216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2880" w:end="0"/>
    </w:pPr>
    <w:rPr/>
  </w:style>
  <w:style w:type="paragraph" w:styleId="ListContinue">
    <w:name w:val="List Continue"/>
    <w:basedOn w:val="Normal"/>
    <w:qFormat/>
    <w:pPr>
      <w:spacing w:before="0" w:after="24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  <w:tab w:val="left" w:pos="1440" w:leader="none"/>
      </w:tabs>
      <w:spacing w:before="0" w:after="240"/>
      <w:ind w:hanging="720" w:start="1440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  <w:tab w:val="left" w:pos="2880" w:leader="none"/>
      </w:tabs>
      <w:spacing w:before="0" w:after="240"/>
      <w:ind w:hanging="720" w:start="288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  <w:tab w:val="left" w:pos="3600" w:leader="none"/>
      </w:tabs>
      <w:spacing w:before="0" w:after="240"/>
      <w:ind w:hanging="720" w:start="36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720" w:leader="none"/>
      </w:tabs>
      <w:spacing w:before="0" w:after="240"/>
      <w:ind w:hanging="720" w:start="7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  <w:jc w:val="both"/>
    </w:pPr>
    <w:rPr>
      <w:rFonts w:ascii="Arial" w:hAnsi="Arial" w:cs="Arial"/>
      <w:sz w:val="20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240"/>
      <w:jc w:val="center"/>
    </w:pPr>
    <w:rPr/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/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/>
  </w:style>
  <w:style w:type="paragraph" w:styleId="TableText">
    <w:name w:val="Table Text"/>
    <w:basedOn w:val="Normal"/>
    <w:qFormat/>
    <w:pPr/>
    <w:rPr/>
  </w:style>
  <w:style w:type="paragraph" w:styleId="TOAHeading">
    <w:name w:val="TOA Heading"/>
    <w:basedOn w:val="Normal"/>
    <w:next w:val="Normal"/>
    <w:qFormat/>
    <w:pPr>
      <w:spacing w:before="0" w:after="240"/>
    </w:pPr>
    <w:rPr>
      <w:b/>
    </w:rPr>
  </w:style>
  <w:style w:type="paragraph" w:styleId="TOC1">
    <w:name w:val="toc 1"/>
    <w:basedOn w:val="Normal"/>
    <w:next w:val="Normal"/>
    <w:pPr>
      <w:tabs>
        <w:tab w:val="clear" w:pos="720"/>
        <w:tab w:val="right" w:pos="4147" w:leader="dot"/>
      </w:tabs>
      <w:ind w:hanging="0" w:start="0" w:end="432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left" w:pos="1440" w:leader="none"/>
        <w:tab w:val="right" w:pos="8640" w:leader="dot"/>
      </w:tabs>
      <w:ind w:hanging="0" w:start="720" w:end="720"/>
    </w:pPr>
    <w:rPr>
      <w:color w:val="000000"/>
    </w:rPr>
  </w:style>
  <w:style w:type="paragraph" w:styleId="TOC3">
    <w:name w:val="toc 3"/>
    <w:basedOn w:val="Normal"/>
    <w:next w:val="Normal"/>
    <w:pPr>
      <w:ind w:hanging="0" w:start="1440" w:end="0"/>
    </w:pPr>
    <w:rPr/>
  </w:style>
  <w:style w:type="paragraph" w:styleId="TOC4">
    <w:name w:val="toc 4"/>
    <w:basedOn w:val="Normal"/>
    <w:next w:val="Normal"/>
    <w:pPr>
      <w:ind w:hanging="0" w:start="2160" w:end="0"/>
    </w:pPr>
    <w:rPr/>
  </w:style>
  <w:style w:type="paragraph" w:styleId="TOC5">
    <w:name w:val="toc 5"/>
    <w:basedOn w:val="Normal"/>
    <w:next w:val="Normal"/>
    <w:pPr>
      <w:ind w:hanging="0" w:start="2880" w:end="0"/>
    </w:pPr>
    <w:rPr/>
  </w:style>
  <w:style w:type="paragraph" w:styleId="TOC6">
    <w:name w:val="toc 6"/>
    <w:basedOn w:val="Normal"/>
    <w:next w:val="Normal"/>
    <w:pPr>
      <w:ind w:hanging="0" w:start="3600" w:end="0"/>
    </w:pPr>
    <w:rPr/>
  </w:style>
  <w:style w:type="paragraph" w:styleId="TOC7">
    <w:name w:val="toc 7"/>
    <w:basedOn w:val="Normal"/>
    <w:next w:val="Normal"/>
    <w:pPr>
      <w:ind w:hanging="0" w:start="4320" w:end="0"/>
    </w:pPr>
    <w:rPr/>
  </w:style>
  <w:style w:type="paragraph" w:styleId="TOC8">
    <w:name w:val="toc 8"/>
    <w:basedOn w:val="Normal"/>
    <w:next w:val="Normal"/>
    <w:pPr>
      <w:ind w:hanging="0" w:start="5040" w:end="0"/>
    </w:pPr>
    <w:rPr/>
  </w:style>
  <w:style w:type="paragraph" w:styleId="TOC9">
    <w:name w:val="toc 9"/>
    <w:basedOn w:val="Normal"/>
    <w:next w:val="Normal"/>
    <w:pPr>
      <w:ind w:hanging="0" w:start="5760" w:end="0"/>
    </w:pPr>
    <w:rPr/>
  </w:style>
  <w:style w:type="paragraph" w:styleId="Divider">
    <w:name w:val="Divider"/>
    <w:basedOn w:val="Normal"/>
    <w:qFormat/>
    <w:pPr/>
    <w:rPr>
      <w:sz w:val="16"/>
    </w:rPr>
  </w:style>
  <w:style w:type="paragraph" w:styleId="SCFileStamp">
    <w:name w:val="S&amp;CFileStamp"/>
    <w:basedOn w:val="Normal"/>
    <w:qFormat/>
    <w:pPr>
      <w:jc w:val="end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S&amp;C Memo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2001-07-23T13:18:00Z</dcterms:created>
  <dc:creator>cerratc</dc:creator>
  <dc:description/>
  <dc:language>en-CA</dc:language>
  <cp:lastModifiedBy>cerratc</cp:lastModifiedBy>
  <cp:lastPrinted>2001-07-23T11:48:00Z</cp:lastPrinted>
  <dcterms:modified xsi:type="dcterms:W3CDTF">2001-07-23T13:18:00Z</dcterms:modified>
  <cp:revision>2</cp:revision>
  <dc:subject/>
  <dc:title>SULLIVAN &amp; CROMWELL</dc:title>
</cp:coreProperties>
</file>