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color w:val="000000"/>
          <w:sz w:val="28"/>
          <w:lang w:eastAsia="en-US"/>
        </w:rPr>
      </w:pPr>
      <w:r>
        <w:rPr>
          <w:b/>
          <w:color w:val="000000"/>
          <w:sz w:val="28"/>
          <w:lang w:eastAsia="en-US"/>
        </w:rPr>
        <w:t>Regulatory Risk Management   -   Firm Numbers</w:t>
      </w:r>
    </w:p>
    <w:p>
      <w:pPr>
        <w:pStyle w:val="Normal"/>
        <w:spacing w:lineRule="atLeast" w:line="240"/>
        <w:rPr>
          <w:b/>
          <w:color w:val="000000"/>
          <w:sz w:val="24"/>
          <w:lang w:eastAsia="en-US"/>
        </w:rPr>
      </w:pPr>
      <w:r>
        <w:rPr>
          <w:b/>
          <w:color w:val="000000"/>
          <w:sz w:val="24"/>
          <w:lang w:eastAsia="en-US"/>
        </w:rPr>
      </w:r>
    </w:p>
    <w:p>
      <w:pPr>
        <w:pStyle w:val="Heading2"/>
        <w:ind w:hanging="0" w:start="0"/>
        <w:rPr>
          <w:lang w:eastAsia="en-US"/>
        </w:rPr>
      </w:pPr>
      <w:r>
        <w:rPr>
          <w:lang w:eastAsia="en-US"/>
        </w:rPr>
        <w:t>Elektro EBIDTA Recovery --</w:t>
        <w:tab/>
        <w:t>$40m EBIDAT/year</w:t>
      </w:r>
    </w:p>
    <w:p>
      <w:pPr>
        <w:pStyle w:val="Normal"/>
        <w:rPr/>
      </w:pPr>
      <w:r>
        <w:rPr/>
        <w:t xml:space="preserve">The 1999 devaluation in Brazil created an impact in US$ recovery of tariff. While not specified in the concession contracts, we are arguing that this constituted a change of government policy, causing an economic equilibrium impact, and reducing the capacity of electric distribution companies to further absorb US$ obligations. </w:t>
      </w:r>
    </w:p>
    <w:p>
      <w:pPr>
        <w:pStyle w:val="Normal"/>
        <w:rPr/>
      </w:pPr>
      <w:r>
        <w:rPr/>
      </w:r>
    </w:p>
    <w:p>
      <w:pPr>
        <w:pStyle w:val="Normal"/>
        <w:ind w:start="720" w:end="0"/>
        <w:rPr/>
      </w:pPr>
      <w:r>
        <w:rPr>
          <w:b/>
        </w:rPr>
        <w:t>Status</w:t>
      </w:r>
      <w:r>
        <w:rPr/>
        <w:t>. The “Investor Group” organization was formed, lead by Enron/Elektro, to take this issue through the Government entities. President Cardoso requested that an inter-ministerial group be formed to consider the issue. Actively being discuss. Decision expected this year.</w:t>
      </w:r>
    </w:p>
    <w:p>
      <w:pPr>
        <w:pStyle w:val="Normal"/>
        <w:rPr/>
      </w:pPr>
      <w:r>
        <w:rPr/>
      </w:r>
    </w:p>
    <w:p>
      <w:pPr>
        <w:pStyle w:val="Heading2"/>
        <w:ind w:hanging="0" w:start="0"/>
        <w:rPr>
          <w:lang w:eastAsia="en-US"/>
        </w:rPr>
      </w:pPr>
      <w:r>
        <w:rPr>
          <w:lang w:eastAsia="en-US"/>
        </w:rPr>
        <w:t>Transredes Administrative Rule 411/99 + 412/99 -   (25% of )$16m IBIT 2000/2001</w:t>
      </w:r>
    </w:p>
    <w:p>
      <w:pPr>
        <w:pStyle w:val="Normal"/>
        <w:rPr/>
      </w:pPr>
      <w:r>
        <w:rPr/>
        <w:t>A “budget settlement”  which described a tariff methodology had been agreed with the Bolivian hydrocarbon regulator, Sirese. This methodology was not adopted in the subsequent decisions. (1) it changed the tax treatment form the normalization method to flow-through method, and (2) it disregarded from the “rate base” a balance sheet asset which was in the books at the time of capitalization.</w:t>
      </w:r>
    </w:p>
    <w:p>
      <w:pPr>
        <w:pStyle w:val="Normal"/>
        <w:rPr/>
      </w:pPr>
      <w:r>
        <w:rPr/>
      </w:r>
    </w:p>
    <w:p>
      <w:pPr>
        <w:pStyle w:val="Normal"/>
        <w:ind w:start="720" w:end="0"/>
        <w:rPr/>
      </w:pPr>
      <w:r>
        <w:rPr>
          <w:b/>
        </w:rPr>
        <w:t>Status</w:t>
      </w:r>
      <w:r>
        <w:rPr/>
        <w:t>.- On Appeal</w:t>
      </w:r>
    </w:p>
    <w:p>
      <w:pPr>
        <w:pStyle w:val="Normal"/>
        <w:rPr/>
      </w:pPr>
      <w:r>
        <w:rPr/>
      </w:r>
    </w:p>
    <w:p>
      <w:pPr>
        <w:pStyle w:val="Heading2"/>
        <w:ind w:hanging="0" w:start="0"/>
        <w:rPr>
          <w:lang w:eastAsia="en-US"/>
        </w:rPr>
      </w:pPr>
      <w:r>
        <w:rPr>
          <w:lang w:eastAsia="en-US"/>
        </w:rPr>
        <w:t xml:space="preserve">Transredes Deferred Account </w:t>
        <w:tab/>
        <w:t>--</w:t>
        <w:tab/>
        <w:tab/>
        <w:tab/>
        <w:tab/>
        <w:t>(25 % of) $140 m.</w:t>
      </w:r>
    </w:p>
    <w:p>
      <w:pPr>
        <w:pStyle w:val="Normal"/>
        <w:rPr/>
      </w:pPr>
      <w:r>
        <w:rPr/>
        <w:t>The initial Transredes tariff were not sufficiently high to recover the revenue requirement for the initial “transition period”. The under-recovery was deferred a until  the next  full rate case. The balance to date is $140m. Given that Producers could build their own pipelines, this gave them an incentive to bypass Transredes to avoid paying for this tariff. Petrobras filed for a bypass line.</w:t>
      </w:r>
    </w:p>
    <w:p>
      <w:pPr>
        <w:pStyle w:val="Normal"/>
        <w:rPr/>
      </w:pPr>
      <w:r>
        <w:rPr/>
      </w:r>
    </w:p>
    <w:p>
      <w:pPr>
        <w:pStyle w:val="Normal"/>
        <w:ind w:start="720" w:end="0"/>
        <w:rPr/>
      </w:pPr>
      <w:r>
        <w:rPr>
          <w:b/>
        </w:rPr>
        <w:t>Status.</w:t>
      </w:r>
      <w:r>
        <w:rPr/>
        <w:t>- We convinced the Bolivian Government that this is not a Transredes issue but a country wide issue and that if the revenues was not recovered from all pipelines, that the Bolivian domestic consumer would have to absorb the whole amount. In addition, the Bolivian tariff methodology to determine the recovery had to be decided. A Supreme Decree has been drafted and circulated for comments. A final draft is due this week. (Petrobras is reconsidering the by-pass option). To be passed in October.</w:t>
      </w:r>
    </w:p>
    <w:p>
      <w:pPr>
        <w:pStyle w:val="Normal"/>
        <w:ind w:start="720" w:end="0"/>
        <w:rPr>
          <w:b/>
        </w:rPr>
      </w:pPr>
      <w:r>
        <w:rPr>
          <w:b/>
        </w:rPr>
      </w:r>
    </w:p>
    <w:p>
      <w:pPr>
        <w:pStyle w:val="Heading2"/>
        <w:ind w:hanging="0" w:start="0"/>
        <w:rPr/>
      </w:pPr>
      <w:r>
        <w:rPr/>
        <w:t>Opening the wholesale market in Brazil --</w:t>
        <w:tab/>
        <w:tab/>
        <w:t>Target  $20-30 m/year by 2003</w:t>
      </w:r>
    </w:p>
    <w:p>
      <w:pPr>
        <w:pStyle w:val="Normal"/>
        <w:rPr/>
      </w:pPr>
      <w:r>
        <w:rPr/>
        <w:t>The BBPL had been locked to provide access to Bolivian gas and to allows us to have an active gas/power market. In order to get it going we needed: 1) open access on the BBPL on reasonable economic terms” 2) importation rights to Brazil, and 3) gas exportation rights from Bolivia.</w:t>
      </w:r>
    </w:p>
    <w:p>
      <w:pPr>
        <w:pStyle w:val="Normal"/>
        <w:rPr/>
      </w:pPr>
      <w:r>
        <w:rPr/>
      </w:r>
    </w:p>
    <w:p>
      <w:pPr>
        <w:pStyle w:val="Normal"/>
        <w:rPr/>
      </w:pPr>
      <w:r>
        <w:rPr>
          <w:b/>
        </w:rPr>
        <w:t>Status</w:t>
      </w:r>
      <w:r>
        <w:rPr/>
        <w:t xml:space="preserve">. On Sept 29, 2000, </w:t>
      </w:r>
      <w:r>
        <w:rPr>
          <w:u w:val="double"/>
        </w:rPr>
        <w:t>the Petrobras monopoly was finally broken</w:t>
      </w:r>
      <w:r>
        <w:rPr/>
        <w:t xml:space="preserve"> when Enersil (Enron) and TBG signed the first gas transportation contract for 1mcmd , interruptible condition with a distance based formulas. On the same day we filed for additional delivery points.  This was the conclusion on an arbitration request brought by Enersil against TBG in front of ANP. This was a test case for the ANP, the regulatory body as well.</w:t>
      </w:r>
    </w:p>
    <w:p>
      <w:pPr>
        <w:pStyle w:val="Normal"/>
        <w:rPr/>
      </w:pPr>
      <w:r>
        <w:rPr/>
      </w:r>
    </w:p>
    <w:p>
      <w:pPr>
        <w:pStyle w:val="Normal"/>
        <w:rPr/>
      </w:pPr>
      <w:r>
        <w:rPr/>
        <w:t>The importation permit of gas into brazil has already been obtained. The exportation authorization from Bolivia is based, at the moment, from a contract with a producer. At the moment, commercial entities are not allowed to buy Bolivian gas for re-export. A Supreme Decree has been drafted and is also pending to be approved by the Cabinet</w:t>
      </w:r>
    </w:p>
    <w:p>
      <w:pPr>
        <w:pStyle w:val="Normal"/>
        <w:rPr/>
      </w:pPr>
      <w:r>
        <w:rPr/>
      </w:r>
    </w:p>
    <w:p>
      <w:pPr>
        <w:pStyle w:val="Heading2"/>
        <w:ind w:hanging="0" w:start="0"/>
        <w:rPr/>
      </w:pPr>
      <w:r>
        <w:rPr>
          <w:lang w:eastAsia="en-US"/>
        </w:rPr>
        <w:t>Puerto Suarez Brazilian Electricity Import Permit</w:t>
        <w:tab/>
        <w:tab/>
      </w:r>
      <w:r>
        <w:rPr>
          <w:i w:val="false"/>
          <w:lang w:eastAsia="en-US"/>
        </w:rPr>
        <w:t>$15m NPV</w:t>
      </w:r>
    </w:p>
    <w:p>
      <w:pPr>
        <w:pStyle w:val="Normal"/>
        <w:rPr/>
      </w:pPr>
      <w:r>
        <w:rPr>
          <w:u w:val="single"/>
        </w:rPr>
        <w:t>Another first</w:t>
      </w:r>
      <w:r>
        <w:rPr/>
        <w:t xml:space="preserve"> to build an active wholesale market in the region </w:t>
      </w:r>
      <w:r>
        <w:rPr>
          <w:u w:val="single"/>
        </w:rPr>
        <w:t>is to import electricity from Bolivia</w:t>
      </w:r>
      <w:r>
        <w:rPr/>
        <w:t xml:space="preserve">. One of the requirements was to obtain an electricity import permit. Another firm had obtained a permit for a similar project while the rules had not yet been developed. When we applied the regulators understood that they has to set certain pre-conditions, first to issue permits and then to maintain the authorization. </w:t>
      </w:r>
      <w:r>
        <w:rPr>
          <w:u w:val="single"/>
        </w:rPr>
        <w:t>We became the test case</w:t>
      </w:r>
      <w:r>
        <w:rPr/>
        <w:t>. We had to argue that they had to provide all for equal opportunity.</w:t>
      </w:r>
    </w:p>
    <w:p>
      <w:pPr>
        <w:pStyle w:val="Normal"/>
        <w:rPr/>
      </w:pPr>
      <w:r>
        <w:rPr/>
      </w:r>
    </w:p>
    <w:p>
      <w:pPr>
        <w:pStyle w:val="Normal"/>
        <w:ind w:start="720" w:end="0"/>
        <w:rPr/>
      </w:pPr>
      <w:r>
        <w:rPr>
          <w:b/>
        </w:rPr>
        <w:t>Status.</w:t>
      </w:r>
      <w:r>
        <w:rPr/>
        <w:t xml:space="preserve"> – We have been granted the import authorization. Now negotiating transmission access contracts.</w:t>
      </w:r>
    </w:p>
    <w:p>
      <w:pPr>
        <w:pStyle w:val="Normal"/>
        <w:rPr/>
      </w:pPr>
      <w:r>
        <w:rPr/>
      </w:r>
    </w:p>
    <w:p>
      <w:pPr>
        <w:pStyle w:val="Heading2"/>
        <w:ind w:hanging="0" w:start="0"/>
        <w:rPr/>
      </w:pPr>
      <w:r>
        <w:rPr/>
        <w:t xml:space="preserve">Argentina – Unbundling the Gas Distribution market  </w:t>
        <w:tab/>
        <w:tab/>
        <w:t>$xxm TBD</w:t>
      </w:r>
    </w:p>
    <w:p>
      <w:pPr>
        <w:pStyle w:val="Normal"/>
        <w:rPr/>
      </w:pPr>
      <w:r>
        <w:rPr/>
        <w:t>Another first, hard fight, was to unbundle the Argentinean gas distribution market to allow differentiated services ie. Interruptible, peaking service etc. We had to mobilize key customer groups and associations to get public hearings from Energas, the regulator, which was pre-disposed to postpone the hearing until 2003.</w:t>
      </w:r>
    </w:p>
    <w:p>
      <w:pPr>
        <w:pStyle w:val="Normal"/>
        <w:rPr/>
      </w:pPr>
      <w:r>
        <w:rPr/>
      </w:r>
    </w:p>
    <w:p>
      <w:pPr>
        <w:pStyle w:val="Normal"/>
        <w:ind w:start="720" w:end="0"/>
        <w:rPr/>
      </w:pPr>
      <w:r>
        <w:rPr>
          <w:b/>
        </w:rPr>
        <w:t>Status</w:t>
      </w:r>
      <w:r>
        <w:rPr/>
        <w:t>.- We have are offering services to key clients. After long resistance, the gas distributors are finally offering a transition proposal which we are willing to accept.</w:t>
      </w:r>
    </w:p>
    <w:p>
      <w:pPr>
        <w:pStyle w:val="Normal"/>
        <w:rPr/>
      </w:pPr>
      <w:r>
        <w:rPr/>
      </w:r>
    </w:p>
    <w:p>
      <w:pPr>
        <w:pStyle w:val="Normal"/>
        <w:rPr>
          <w:i/>
          <w:i/>
          <w:color w:val="000000"/>
          <w:sz w:val="24"/>
          <w:lang w:eastAsia="en-US"/>
        </w:rPr>
      </w:pPr>
      <w:r>
        <w:rPr>
          <w:i/>
          <w:color w:val="000000"/>
          <w:sz w:val="24"/>
          <w:lang w:eastAsia="en-US"/>
        </w:rPr>
      </w:r>
    </w:p>
    <w:p>
      <w:pPr>
        <w:pStyle w:val="Normal"/>
        <w:rPr>
          <w:i/>
          <w:i/>
          <w:color w:val="000000"/>
          <w:sz w:val="24"/>
          <w:lang w:eastAsia="en-US"/>
        </w:rPr>
      </w:pPr>
      <w:r>
        <w:rPr>
          <w:i/>
          <w:color w:val="000000"/>
          <w:sz w:val="24"/>
          <w:lang w:eastAsia="en-US"/>
        </w:rPr>
      </w:r>
    </w:p>
    <w:p>
      <w:pPr>
        <w:pStyle w:val="Normal"/>
        <w:rPr>
          <w:b/>
        </w:rPr>
      </w:pPr>
      <w:r>
        <w:rPr>
          <w:b/>
        </w:rPr>
        <w:t>Mid 2000 Progress. (Included to provide background material )</w:t>
      </w:r>
    </w:p>
    <w:p>
      <w:pPr>
        <w:pStyle w:val="Normal"/>
        <w:jc w:val="both"/>
        <w:rPr>
          <w:b/>
        </w:rPr>
      </w:pPr>
      <w:r>
        <w:rPr>
          <w:b/>
        </w:rPr>
      </w:r>
    </w:p>
    <w:p>
      <w:pPr>
        <w:pStyle w:val="Normal"/>
        <w:jc w:val="both"/>
        <w:rPr/>
      </w:pPr>
      <w:r>
        <w:rPr>
          <w:u w:val="single"/>
        </w:rPr>
        <w:t>“</w:t>
      </w:r>
      <w:r>
        <w:rPr>
          <w:u w:val="single"/>
        </w:rPr>
        <w:t>Enron Flag Theme”. “Reconcile Conflicting Objectives”-</w:t>
      </w:r>
      <w:r>
        <w:rPr/>
        <w:t xml:space="preserve"> A regional conference was organized in Jan to reconcile conflicting objectives of the units and to launch a strategy that we could consistently push in all our institutional communications in South America. </w:t>
      </w:r>
      <w:r>
        <w:rPr>
          <w:i/>
        </w:rPr>
        <w:t>“Pro competition and open access</w:t>
      </w:r>
      <w:r>
        <w:rPr/>
        <w:t>”. These messages has been replicated and expanded on multiple governmental forums, seminars and associations in the area.</w:t>
      </w:r>
    </w:p>
    <w:p>
      <w:pPr>
        <w:pStyle w:val="Normal"/>
        <w:jc w:val="both"/>
        <w:rPr/>
      </w:pPr>
      <w:r>
        <w:rPr/>
      </w:r>
    </w:p>
    <w:p>
      <w:pPr>
        <w:pStyle w:val="Normal"/>
        <w:numPr>
          <w:ilvl w:val="0"/>
          <w:numId w:val="3"/>
        </w:numPr>
        <w:rPr>
          <w:i/>
          <w:i/>
          <w:color w:val="000000"/>
          <w:lang w:eastAsia="en-US"/>
        </w:rPr>
      </w:pPr>
      <w:r>
        <w:rPr>
          <w:i/>
          <w:color w:val="000000"/>
          <w:lang w:eastAsia="en-US"/>
        </w:rPr>
        <w:t>Customer Choice. Open markets. Market Driven.  Open Access to options. Individualized offers vs. one solution for all.</w:t>
      </w:r>
    </w:p>
    <w:p>
      <w:pPr>
        <w:pStyle w:val="BodyText2"/>
        <w:numPr>
          <w:ilvl w:val="0"/>
          <w:numId w:val="3"/>
        </w:numPr>
        <w:rPr>
          <w:i/>
          <w:i/>
        </w:rPr>
      </w:pPr>
      <w:r>
        <w:rPr>
          <w:i/>
        </w:rPr>
        <w:t>Promote Efficient Markets development.-  "Many buyers. Many Sellers. Physical (infrastructure) and Information (exchange) networks. Regional Integration</w:t>
      </w:r>
    </w:p>
    <w:p>
      <w:pPr>
        <w:pStyle w:val="BodyText2"/>
        <w:numPr>
          <w:ilvl w:val="0"/>
          <w:numId w:val="3"/>
        </w:numPr>
        <w:rPr>
          <w:i/>
          <w:i/>
        </w:rPr>
      </w:pPr>
      <w:r>
        <w:rPr>
          <w:i/>
        </w:rPr>
        <w:t>Honor contracts. Transition solutions due to regulatory change. Stranded costs negotiations. Regulatory Reforms.</w:t>
      </w:r>
    </w:p>
    <w:p>
      <w:pPr>
        <w:pStyle w:val="Normal"/>
        <w:jc w:val="both"/>
        <w:rPr>
          <w:i/>
          <w:i/>
        </w:rPr>
      </w:pPr>
      <w:r>
        <w:rPr>
          <w:i/>
        </w:rPr>
      </w:r>
    </w:p>
    <w:p>
      <w:pPr>
        <w:pStyle w:val="Normal"/>
        <w:jc w:val="both"/>
        <w:rPr/>
      </w:pPr>
      <w:r>
        <w:rPr>
          <w:u w:val="single"/>
        </w:rPr>
        <w:t>“</w:t>
      </w:r>
      <w:r>
        <w:rPr>
          <w:u w:val="single"/>
        </w:rPr>
        <w:t xml:space="preserve">Organization”. </w:t>
      </w:r>
      <w:r>
        <w:rPr/>
        <w:t xml:space="preserve"> The existing organization has been modified away from a hierarchical structure into an  “area of effectiveness” “mission oriented” alignment concept, where the staff self-directs to accomplish the policy vision, and advance the objectives of the “clients” – the business units they support, guided by the business plan In addition to their assignments,  two senior people assure policy coordination, one for gas and another for electricity Coordination and control is kept through the weekly reports.</w:t>
      </w:r>
    </w:p>
    <w:p>
      <w:pPr>
        <w:pStyle w:val="Normal"/>
        <w:jc w:val="both"/>
        <w:rPr/>
      </w:pPr>
      <w:r>
        <w:rPr/>
      </w:r>
    </w:p>
    <w:p>
      <w:pPr>
        <w:pStyle w:val="Normal"/>
        <w:numPr>
          <w:ilvl w:val="0"/>
          <w:numId w:val="2"/>
        </w:numPr>
        <w:jc w:val="both"/>
        <w:rPr/>
      </w:pPr>
      <w:r>
        <w:rPr/>
        <w:t>It is 100 % local- back-up with backroom support from specialist in Houston. The last expat went back June 00.</w:t>
      </w:r>
    </w:p>
    <w:p>
      <w:pPr>
        <w:pStyle w:val="Normal"/>
        <w:numPr>
          <w:ilvl w:val="0"/>
          <w:numId w:val="2"/>
        </w:numPr>
        <w:jc w:val="both"/>
        <w:rPr/>
      </w:pPr>
      <w:r>
        <w:rPr/>
        <w:t>Active channels of communications have been established with regulatory working groups in Houston. (Assad, Lima, Alvarez, Canovas, Smith).</w:t>
      </w:r>
    </w:p>
    <w:p>
      <w:pPr>
        <w:pStyle w:val="Normal"/>
        <w:numPr>
          <w:ilvl w:val="0"/>
          <w:numId w:val="2"/>
        </w:numPr>
        <w:jc w:val="both"/>
        <w:rPr/>
      </w:pPr>
      <w:r>
        <w:rPr/>
        <w:t>Leadership on key industry organizations Utilizing the organizations to take to the government common potions that were developed in strategy sessions. APINE, ABEGAS,ABRADEE, ABRACEL, “Investor Group”. Institute of the Americas.</w:t>
      </w:r>
    </w:p>
    <w:p>
      <w:pPr>
        <w:pStyle w:val="Normal"/>
        <w:numPr>
          <w:ilvl w:val="0"/>
          <w:numId w:val="2"/>
        </w:numPr>
        <w:jc w:val="both"/>
        <w:rPr/>
      </w:pPr>
      <w:r>
        <w:rPr/>
        <w:t>Close working relationship with the PR group to disseminate the messages through conferences, seminars, news articles.</w:t>
      </w:r>
    </w:p>
    <w:p>
      <w:pPr>
        <w:pStyle w:val="Normal"/>
        <w:numPr>
          <w:ilvl w:val="0"/>
          <w:numId w:val="2"/>
        </w:numPr>
        <w:jc w:val="both"/>
        <w:rPr/>
      </w:pPr>
      <w:r>
        <w:rPr/>
        <w:t>Regulatory training modules to bring the business organization up to speed. 6 out of 16 modules have been conducted.</w:t>
      </w:r>
    </w:p>
    <w:p>
      <w:pPr>
        <w:pStyle w:val="Normal"/>
        <w:jc w:val="both"/>
        <w:rPr/>
      </w:pPr>
      <w:r>
        <w:rPr/>
      </w:r>
    </w:p>
    <w:p>
      <w:pPr>
        <w:pStyle w:val="Normal"/>
        <w:jc w:val="both"/>
        <w:rPr>
          <w:b/>
        </w:rPr>
      </w:pPr>
      <w:r>
        <w:rPr>
          <w:b/>
        </w:rPr>
        <w:t>Business Unit Support – Mission Leaders.-</w:t>
      </w:r>
    </w:p>
    <w:p>
      <w:pPr>
        <w:pStyle w:val="Normal"/>
        <w:jc w:val="both"/>
        <w:rPr>
          <w:b/>
        </w:rPr>
      </w:pPr>
      <w:r>
        <w:rPr>
          <w:b/>
        </w:rPr>
      </w:r>
    </w:p>
    <w:p>
      <w:pPr>
        <w:pStyle w:val="Normal"/>
        <w:jc w:val="both"/>
        <w:rPr/>
      </w:pPr>
      <w:r>
        <w:rPr>
          <w:b/>
        </w:rPr>
        <w:t>Bestard</w:t>
      </w:r>
      <w:r>
        <w:rPr/>
        <w:t>.-  Orchestrating the theme in all the fronts and providing consistency and support to the various mission leaders and industry organizations to define the rules and achieve indexation pass-through in Brazil.</w:t>
      </w:r>
    </w:p>
    <w:p>
      <w:pPr>
        <w:pStyle w:val="Normal"/>
        <w:ind w:start="288" w:end="0"/>
        <w:jc w:val="both"/>
        <w:rPr/>
      </w:pPr>
      <w:r>
        <w:rPr/>
        <w:t>Message has been delivered in numerous conferences, now copied and transmitted by others. Papers becoming increasingly critical, forcing the Brazilian government to acknowledge the issue. All organizations have sent letters. Government is considering alternative methods.</w:t>
      </w:r>
    </w:p>
    <w:p>
      <w:pPr>
        <w:pStyle w:val="Normal"/>
        <w:ind w:start="288" w:end="0"/>
        <w:jc w:val="both"/>
        <w:rPr/>
      </w:pPr>
      <w:r>
        <w:rPr/>
        <w:t>Argentina and Bolivian Ministries in vocal support for open borders. Brazil is supporting Petrobras (de-facto monopoly), excuse “temporary emergency until markets are balanced.</w:t>
      </w:r>
    </w:p>
    <w:p>
      <w:pPr>
        <w:pStyle w:val="Normal"/>
        <w:jc w:val="both"/>
        <w:rPr/>
      </w:pPr>
      <w:r>
        <w:rPr/>
      </w:r>
    </w:p>
    <w:p>
      <w:pPr>
        <w:pStyle w:val="Normal"/>
        <w:jc w:val="both"/>
        <w:rPr/>
      </w:pPr>
      <w:r>
        <w:rPr>
          <w:b/>
        </w:rPr>
        <w:t>Assad</w:t>
      </w:r>
      <w:r>
        <w:rPr/>
        <w:t xml:space="preserve"> – Recovery of US$ margin Elektro  (EBIDAT)-.—Issue is now at President level, who asked the MME to form a task force to ensure the expansion of the system.</w:t>
      </w:r>
    </w:p>
    <w:p>
      <w:pPr>
        <w:pStyle w:val="Normal"/>
        <w:jc w:val="both"/>
        <w:rPr/>
      </w:pPr>
      <w:r>
        <w:rPr/>
      </w:r>
    </w:p>
    <w:p>
      <w:pPr>
        <w:pStyle w:val="Normal"/>
        <w:jc w:val="both"/>
        <w:rPr/>
      </w:pPr>
      <w:r>
        <w:rPr>
          <w:b/>
        </w:rPr>
        <w:t>Maurer</w:t>
      </w:r>
      <w:r>
        <w:rPr/>
        <w:t>.- Technical argumentation and support for the “Definite Market Rules”. Coordination with Elektro’s evaluation.</w:t>
      </w:r>
    </w:p>
    <w:p>
      <w:pPr>
        <w:pStyle w:val="Normal"/>
        <w:jc w:val="both"/>
        <w:rPr/>
      </w:pPr>
      <w:r>
        <w:rPr/>
      </w:r>
    </w:p>
    <w:p>
      <w:pPr>
        <w:pStyle w:val="Normal"/>
        <w:jc w:val="both"/>
        <w:rPr/>
      </w:pPr>
      <w:r>
        <w:rPr>
          <w:b/>
        </w:rPr>
        <w:t>Paixao.-</w:t>
      </w:r>
      <w:r>
        <w:rPr/>
        <w:t xml:space="preserve"> The political “Board level” support to get institutional clearance to the market rules. Assure coordination between our business units.</w:t>
      </w:r>
    </w:p>
    <w:p>
      <w:pPr>
        <w:pStyle w:val="Normal"/>
        <w:jc w:val="both"/>
        <w:rPr/>
      </w:pPr>
      <w:r>
        <w:rPr/>
      </w:r>
    </w:p>
    <w:p>
      <w:pPr>
        <w:pStyle w:val="Normal"/>
        <w:ind w:start="288" w:end="0"/>
        <w:jc w:val="both"/>
        <w:rPr/>
      </w:pPr>
      <w:r>
        <w:rPr/>
        <w:t>Status- Our position has prevailed at the COEX at the MAE. Rules have been submitted and are under Public hearing.</w:t>
      </w:r>
    </w:p>
    <w:p>
      <w:pPr>
        <w:pStyle w:val="Normal"/>
        <w:jc w:val="both"/>
        <w:rPr/>
      </w:pPr>
      <w:r>
        <w:rPr/>
      </w:r>
    </w:p>
    <w:p>
      <w:pPr>
        <w:pStyle w:val="Normal"/>
        <w:jc w:val="both"/>
        <w:rPr/>
      </w:pPr>
      <w:r>
        <w:rPr>
          <w:b/>
        </w:rPr>
        <w:t xml:space="preserve">Smith/Lima.- </w:t>
      </w:r>
      <w:r>
        <w:rPr/>
        <w:t>Open Access on the Brazilian side. Challenge Petrobras to provide. Arbitration pending in ANP. First ever. Very important case to set the precedent in Brazil. Smith is the lead in testimony documentation. Lima is the lead with the local ANP interface.</w:t>
      </w:r>
    </w:p>
    <w:p>
      <w:pPr>
        <w:pStyle w:val="Normal"/>
        <w:jc w:val="both"/>
        <w:rPr>
          <w:b/>
        </w:rPr>
      </w:pPr>
      <w:r>
        <w:rPr>
          <w:b/>
        </w:rPr>
      </w:r>
    </w:p>
    <w:p>
      <w:pPr>
        <w:pStyle w:val="Normal"/>
        <w:jc w:val="both"/>
        <w:rPr/>
      </w:pPr>
      <w:r>
        <w:rPr>
          <w:b/>
        </w:rPr>
        <w:t xml:space="preserve">Canovas.- BA Gas Unit. </w:t>
      </w:r>
      <w:r>
        <w:rPr/>
        <w:t>Opening the Argentinean gas distribution market. Unbundling of services. Was successful in Public Hearings to allow this services, opposed by distribution companies.. Further definition as are being drafted by Energas.</w:t>
      </w:r>
    </w:p>
    <w:p>
      <w:pPr>
        <w:pStyle w:val="Normal"/>
        <w:jc w:val="both"/>
        <w:rPr/>
      </w:pPr>
      <w:r>
        <w:rPr/>
      </w:r>
    </w:p>
    <w:p>
      <w:pPr>
        <w:pStyle w:val="Normal"/>
        <w:jc w:val="both"/>
        <w:rPr/>
      </w:pPr>
      <w:r>
        <w:rPr>
          <w:b/>
        </w:rPr>
        <w:t>Alvarez/.Pantoja</w:t>
      </w:r>
      <w:r>
        <w:rPr/>
        <w:t>. Transredes Rate Case. Deferred account. By-pass. Alvarez at the institutional level. Pantoja to lobby the Government in Bolivia. Key is the differed account, to ensure that any by-pass line would pay the fair share. Petrobras attempted to get a Government-to-government deal. A strong protest was sent to Bolivia. The Bolivians Government publicly took our position Supreme decree is being passed.</w:t>
      </w:r>
    </w:p>
    <w:p>
      <w:pPr>
        <w:pStyle w:val="Normal"/>
        <w:jc w:val="both"/>
        <w:rPr/>
      </w:pPr>
      <w:r>
        <w:rPr/>
      </w:r>
    </w:p>
    <w:p>
      <w:pPr>
        <w:pStyle w:val="Normal"/>
        <w:jc w:val="both"/>
        <w:rPr/>
      </w:pPr>
      <w:r>
        <w:rPr>
          <w:b/>
        </w:rPr>
        <w:t>Reis</w:t>
      </w:r>
      <w:r>
        <w:rPr/>
        <w:t xml:space="preserve">.- Get Permits on time for our Power Plants projects.-, RioGen, and Cuiaba II on schedule Cuiaba I permits re-authorizations have been obtained. Puerto Suarez is a regulatory lag being elevated to a political level by Paixao. </w:t>
      </w:r>
    </w:p>
    <w:p>
      <w:pPr>
        <w:pStyle w:val="Normal"/>
        <w:jc w:val="both"/>
        <w:rPr/>
      </w:pPr>
      <w:r>
        <w:rPr/>
      </w:r>
    </w:p>
    <w:p>
      <w:pPr>
        <w:pStyle w:val="Normal"/>
        <w:jc w:val="both"/>
        <w:rPr/>
      </w:pPr>
      <w:r>
        <w:rPr>
          <w:b/>
        </w:rPr>
        <w:t>TGS- Provincial Taxes</w:t>
      </w:r>
      <w:r>
        <w:rPr/>
        <w:t>.- Now is a legal matter. Arbitration under the BIT is under consideration.</w:t>
      </w:r>
    </w:p>
    <w:p>
      <w:pPr>
        <w:pStyle w:val="Normal"/>
        <w:jc w:val="both"/>
        <w:rPr/>
      </w:pPr>
      <w:r>
        <w:rPr/>
      </w:r>
    </w:p>
    <w:p>
      <w:pPr>
        <w:pStyle w:val="Normal"/>
        <w:jc w:val="both"/>
        <w:rPr/>
      </w:pPr>
      <w:r>
        <w:rPr/>
      </w:r>
    </w:p>
    <w:p>
      <w:pPr>
        <w:pStyle w:val="Normal"/>
        <w:jc w:val="both"/>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color w:val="000000"/>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2000-10-02T21:40:00Z</dcterms:created>
  <dc:creator>Jose Bestard</dc:creator>
  <dc:description/>
  <dc:language>en-CA</dc:language>
  <cp:lastModifiedBy>Jose Bestard</cp:lastModifiedBy>
  <dcterms:modified xsi:type="dcterms:W3CDTF">2000-10-02T23:29:00Z</dcterms:modified>
  <cp:revision>13</cp:revision>
  <dc:subject/>
  <dc:title>Regulatory Risk Management   -   Firm Numbers</dc:title>
</cp:coreProperties>
</file>