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uppressAutoHyphens w:val="true"/>
        <w:bidi w:val="0"/>
        <w:jc w:val="start"/>
        <w:rPr/>
      </w:pPr>
      <w:r>
        <w:rPr/>
        <w:t>Regulatory Risk:</w:t>
      </w:r>
    </w:p>
    <w:p>
      <w:pPr>
        <w:pStyle w:val="Normal"/>
        <w:widowControl/>
        <w:suppressAutoHyphens w:val="true"/>
        <w:bidi w:val="0"/>
        <w:jc w:val="start"/>
        <w:rPr/>
      </w:pPr>
      <w:r>
        <w:rPr/>
      </w:r>
    </w:p>
    <w:p>
      <w:pPr>
        <w:pStyle w:val="Normal"/>
        <w:widowControl/>
        <w:suppressAutoHyphens w:val="true"/>
        <w:bidi w:val="0"/>
        <w:jc w:val="start"/>
        <w:rPr/>
      </w:pPr>
      <w:r>
        <w:rPr/>
        <w:t>1.      CPUC treatment of SDG&amp;E procurement and underrecovery:</w:t>
      </w:r>
    </w:p>
    <w:p>
      <w:pPr>
        <w:pStyle w:val="Normal"/>
        <w:widowControl/>
        <w:suppressAutoHyphens w:val="true"/>
        <w:bidi w:val="0"/>
        <w:jc w:val="start"/>
        <w:rPr/>
      </w:pPr>
      <w:r>
        <w:rPr/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60" w:leader="none"/>
        </w:tabs>
        <w:bidi w:val="0"/>
        <w:jc w:val="start"/>
        <w:rPr/>
      </w:pPr>
      <w:r>
        <w:rPr/>
        <w:t>As a finding of imprudent behavior, disallows recovery of procurement costs, reduces or eliminates balance of unrecovered costs, future balloon payment to be recovered in the future from all customers (including large C&amp;I)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60" w:leader="none"/>
        </w:tabs>
        <w:bidi w:val="0"/>
        <w:jc w:val="start"/>
        <w:rPr/>
      </w:pPr>
      <w:r>
        <w:rPr/>
        <w:t>Determines that undercollection should be recovered from all customers, including direct access, to preserve utilities financial viability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60" w:leader="none"/>
        </w:tabs>
        <w:bidi w:val="0"/>
        <w:jc w:val="start"/>
        <w:rPr/>
      </w:pPr>
      <w:r>
        <w:rPr/>
        <w:t>In conjunction with FERC, determines that generators/scheduling coordinators were responsible and assess “undercollection”(or a portion thereof) to those entities, so that customers do not have to pay undercollection.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60" w:leader="none"/>
        </w:tabs>
        <w:bidi w:val="0"/>
        <w:jc w:val="start"/>
        <w:rPr/>
      </w:pPr>
      <w:r>
        <w:rPr/>
        <w:t>Changes cap to be lower than 6.5 cents, or other manipulations of the utilities procurement cost</w:t>
      </w:r>
    </w:p>
    <w:p>
      <w:pPr>
        <w:pStyle w:val="Normal"/>
        <w:widowControl/>
        <w:suppressAutoHyphens w:val="true"/>
        <w:bidi w:val="0"/>
        <w:jc w:val="start"/>
        <w:rPr/>
      </w:pPr>
      <w:r>
        <w:rPr/>
      </w:r>
    </w:p>
    <w:p>
      <w:pPr>
        <w:pStyle w:val="Normal"/>
        <w:widowControl/>
        <w:suppressAutoHyphens w:val="true"/>
        <w:bidi w:val="0"/>
        <w:jc w:val="start"/>
        <w:rPr/>
      </w:pPr>
      <w:r>
        <w:rPr/>
        <w:t>2.    CPUC changes business requirements to operate in CA or negative rulings:</w:t>
      </w:r>
    </w:p>
    <w:p>
      <w:pPr>
        <w:pStyle w:val="Normal"/>
        <w:widowControl/>
        <w:suppressAutoHyphens w:val="true"/>
        <w:bidi w:val="0"/>
        <w:jc w:val="start"/>
        <w:rPr/>
      </w:pPr>
      <w:r>
        <w:rPr/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60" w:leader="none"/>
        </w:tabs>
        <w:bidi w:val="0"/>
        <w:jc w:val="start"/>
        <w:rPr/>
      </w:pPr>
      <w:r>
        <w:rPr/>
        <w:t>Requires that ESPs need to serve a portfolio of various customer classes in order to maintain registration in the state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60" w:leader="none"/>
        </w:tabs>
        <w:bidi w:val="0"/>
        <w:jc w:val="start"/>
        <w:rPr/>
      </w:pPr>
      <w:r>
        <w:rPr/>
        <w:t>Corporations that were found responsible, in its investigation, can no longer conduct business in the state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60" w:leader="none"/>
        </w:tabs>
        <w:bidi w:val="0"/>
        <w:jc w:val="start"/>
        <w:rPr/>
      </w:pPr>
      <w:r>
        <w:rPr/>
        <w:t>Requirement to disclose pricing, terms and conditions, customers or to conform any of these to Commission mandated requirements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60" w:leader="none"/>
        </w:tabs>
        <w:bidi w:val="0"/>
        <w:jc w:val="start"/>
        <w:rPr/>
      </w:pPr>
      <w:r>
        <w:rPr/>
        <w:t>Commission may undertake its own “advertising” campaign for customer awareness, which may be negative for ESPs, “out-of-state corporations”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60" w:leader="none"/>
        </w:tabs>
        <w:bidi w:val="0"/>
        <w:jc w:val="start"/>
        <w:rPr/>
      </w:pPr>
      <w:r>
        <w:rPr/>
        <w:t>Increase scrutiny or regulation of ESPs to point of interfering w/ business practice</w:t>
      </w:r>
    </w:p>
    <w:p>
      <w:pPr>
        <w:pStyle w:val="Normal"/>
        <w:widowControl/>
        <w:suppressAutoHyphens w:val="true"/>
        <w:bidi w:val="0"/>
        <w:jc w:val="start"/>
        <w:rPr/>
      </w:pPr>
      <w:r>
        <w:rPr/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360" w:leader="none"/>
        </w:tabs>
        <w:bidi w:val="0"/>
        <w:jc w:val="start"/>
        <w:rPr/>
      </w:pPr>
      <w:r>
        <w:rPr/>
        <w:t>Other cases may affect our position in San Diego</w:t>
      </w:r>
    </w:p>
    <w:p>
      <w:pPr>
        <w:pStyle w:val="Normal"/>
        <w:widowControl/>
        <w:suppressAutoHyphens w:val="true"/>
        <w:bidi w:val="0"/>
        <w:jc w:val="start"/>
        <w:rPr/>
      </w:pPr>
      <w:r>
        <w:rPr/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60" w:leader="none"/>
        </w:tabs>
        <w:bidi w:val="0"/>
        <w:jc w:val="start"/>
        <w:rPr/>
      </w:pPr>
      <w:r>
        <w:rPr/>
        <w:t>May adopt a negligible credit for ESPs representing the utilities retail costs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60" w:leader="none"/>
        </w:tabs>
        <w:bidi w:val="0"/>
        <w:jc w:val="start"/>
        <w:rPr/>
      </w:pPr>
      <w:r>
        <w:rPr/>
        <w:t>May maintain a negligible credit for ESPs providing meter/bill services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60" w:leader="none"/>
        </w:tabs>
        <w:bidi w:val="0"/>
        <w:jc w:val="start"/>
        <w:rPr/>
      </w:pPr>
      <w:r>
        <w:rPr/>
        <w:t>Commission may adopt utilities proposals to assess charges to ESPs for providing any direct access facilitation service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60" w:leader="none"/>
        </w:tabs>
        <w:bidi w:val="0"/>
        <w:jc w:val="start"/>
        <w:rPr/>
      </w:pPr>
      <w:r>
        <w:rPr/>
        <w:t>Preference to utilities for DSM or other energy management or demand responsive programs (ie. subsidized advanced metering)</w:t>
      </w:r>
    </w:p>
    <w:p>
      <w:pPr>
        <w:pStyle w:val="Normal"/>
        <w:widowControl/>
        <w:suppressAutoHyphens w:val="true"/>
        <w:bidi w:val="0"/>
        <w:jc w:val="start"/>
        <w:rPr/>
      </w:pPr>
      <w:r>
        <w:rPr/>
      </w:r>
    </w:p>
    <w:p>
      <w:pPr>
        <w:pStyle w:val="Normal"/>
        <w:widowControl/>
        <w:suppressAutoHyphens w:val="true"/>
        <w:bidi w:val="0"/>
        <w:jc w:val="start"/>
        <w:rPr/>
      </w:pPr>
      <w:r>
        <w:rPr/>
      </w:r>
    </w:p>
    <w:p>
      <w:pPr>
        <w:pStyle w:val="Normal"/>
        <w:widowControl/>
        <w:suppressAutoHyphens w:val="true"/>
        <w:bidi w:val="0"/>
        <w:jc w:val="start"/>
        <w:rPr/>
      </w:pPr>
      <w:r>
        <w:rPr/>
        <w:t>Legal Challenge:</w:t>
      </w:r>
    </w:p>
    <w:p>
      <w:pPr>
        <w:pStyle w:val="Normal"/>
        <w:widowControl/>
        <w:suppressAutoHyphens w:val="true"/>
        <w:bidi w:val="0"/>
        <w:jc w:val="start"/>
        <w:rPr/>
      </w:pPr>
      <w:r>
        <w:rPr/>
      </w:r>
    </w:p>
    <w:p>
      <w:pPr>
        <w:pStyle w:val="Normal"/>
        <w:widowControl/>
        <w:suppressAutoHyphens w:val="true"/>
        <w:bidi w:val="0"/>
        <w:jc w:val="start"/>
        <w:rPr/>
      </w:pPr>
      <w:r>
        <w:rPr/>
        <w:t>SDG&amp;E has filed a motion at the CPUC, yesterday, saying that they will challenge any determination by the Commission that will deny SDG&amp;E recovery of its costs as a violation of the constitution on the grounds of “a taking w/out due compensation”.</w:t>
      </w:r>
    </w:p>
    <w:p>
      <w:pPr>
        <w:pStyle w:val="Normal"/>
        <w:widowControl/>
        <w:suppressAutoHyphens w:val="true"/>
        <w:bidi w:val="0"/>
        <w:jc w:val="start"/>
        <w:rPr/>
      </w:pPr>
      <w:r>
        <w:rPr/>
      </w:r>
    </w:p>
    <w:p>
      <w:pPr>
        <w:pStyle w:val="Normal"/>
        <w:widowControl/>
        <w:suppressAutoHyphens w:val="true"/>
        <w:bidi w:val="0"/>
        <w:jc w:val="start"/>
        <w:rPr/>
      </w:pPr>
      <w:r>
        <w:rPr/>
        <w:t>Legislative:</w:t>
      </w:r>
    </w:p>
    <w:p>
      <w:pPr>
        <w:pStyle w:val="Normal"/>
        <w:widowControl/>
        <w:suppressAutoHyphens w:val="true"/>
        <w:bidi w:val="0"/>
        <w:jc w:val="start"/>
        <w:rPr/>
      </w:pPr>
      <w:r>
        <w:rPr/>
      </w:r>
    </w:p>
    <w:p>
      <w:pPr>
        <w:pStyle w:val="Normal"/>
        <w:widowControl/>
        <w:suppressAutoHyphens w:val="true"/>
        <w:bidi w:val="0"/>
        <w:jc w:val="start"/>
        <w:rPr/>
      </w:pPr>
      <w:r>
        <w:rPr/>
        <w:t>We expect the legislature will be very busy next year.</w:t>
      </w:r>
    </w:p>
    <w:p>
      <w:pPr>
        <w:pStyle w:val="Normal"/>
        <w:widowControl/>
        <w:suppressAutoHyphens w:val="true"/>
        <w:bidi w:val="0"/>
        <w:jc w:val="start"/>
        <w:rPr/>
      </w:pPr>
      <w:r>
        <w:rPr/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60" w:leader="none"/>
        </w:tabs>
        <w:bidi w:val="0"/>
        <w:jc w:val="start"/>
        <w:rPr/>
      </w:pPr>
      <w:r>
        <w:rPr/>
        <w:t>Looking at wholesale revisions to AB 1890.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60" w:leader="none"/>
        </w:tabs>
        <w:bidi w:val="0"/>
        <w:jc w:val="start"/>
        <w:rPr/>
      </w:pPr>
      <w:r>
        <w:rPr/>
        <w:t>Address undercollections accumulating for both PG&amp;E and SCE, extensions of rate freeze possible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60" w:leader="none"/>
        </w:tabs>
        <w:bidi w:val="0"/>
        <w:jc w:val="start"/>
        <w:rPr/>
      </w:pPr>
      <w:r>
        <w:rPr/>
        <w:t>Additional general fund application to erase undercollections for San Diego, PG&amp;E and SCE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60" w:leader="none"/>
        </w:tabs>
        <w:bidi w:val="0"/>
        <w:jc w:val="start"/>
        <w:rPr/>
      </w:pPr>
      <w:r>
        <w:rPr/>
        <w:t>Legislation that provides utilities with preference for retaining customers, maintain prices below market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60" w:leader="none"/>
        </w:tabs>
        <w:bidi w:val="0"/>
        <w:jc w:val="start"/>
        <w:rPr/>
      </w:pPr>
      <w:r>
        <w:rPr/>
        <w:t>Additional pressure for price caps in all segments of the market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60" w:leader="none"/>
        </w:tabs>
        <w:bidi w:val="0"/>
        <w:jc w:val="start"/>
        <w:rPr/>
      </w:pPr>
      <w:r>
        <w:rPr/>
        <w:t>Preference to utilities for DSM, energy management, demand responsive programs (ie. subsidized advanced metering by recovering from all customers, general fund to incent demand response)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60" w:leader="none"/>
        </w:tabs>
        <w:bidi w:val="0"/>
        <w:jc w:val="start"/>
        <w:rPr/>
      </w:pPr>
      <w:r>
        <w:rPr/>
        <w:t>Labor laws that will advantage utilities in providing service</w:t>
      </w:r>
    </w:p>
    <w:p>
      <w:pPr>
        <w:pStyle w:val="Normal"/>
        <w:widowControl/>
        <w:suppressAutoHyphens w:val="true"/>
        <w:bidi w:val="0"/>
        <w:jc w:val="start"/>
        <w:rPr/>
      </w:pPr>
      <w:r>
        <w:rPr/>
      </w:r>
    </w:p>
    <w:p>
      <w:pPr>
        <w:pStyle w:val="Normal"/>
        <w:widowControl/>
        <w:suppressAutoHyphens w:val="true"/>
        <w:bidi w:val="0"/>
        <w:jc w:val="start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3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kern w:val="2"/>
      <w:sz w:val="20"/>
      <w:szCs w:val="24"/>
      <w:lang w:val="en-CA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99</Pages>
  <Words>412</Words>
  <Characters>2887</Characters>
  <CharactersWithSpaces>2351</CharactersWithSpaces>
  <Company>Enron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2000-09-06T05:44:00Z</dcterms:created>
  <dc:creator>Mona L Petrochko</dc:creator>
  <dc:description/>
  <dc:language>en-CA</dc:language>
  <cp:lastModifiedBy/>
  <dcterms:modified xsi:type="dcterms:W3CDTF">2000-09-06T06:32:00Z</dcterms:modified>
  <cp:revision>1</cp:revision>
  <dc:subject/>
  <dc:title>Regulatory Risk: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Mona L Petrochko</vt:lpwstr>
  </property>
</Properties>
</file>