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EBS REGULATORY ISSUES</w:t>
      </w:r>
    </w:p>
    <w:p>
      <w:pPr>
        <w:pStyle w:val="Normal"/>
        <w:rPr/>
      </w:pPr>
      <w:r>
        <w:rPr/>
      </w:r>
    </w:p>
    <w:p>
      <w:pPr>
        <w:pStyle w:val="Normal"/>
        <w:rPr>
          <w:b/>
          <w:bCs/>
        </w:rPr>
      </w:pPr>
      <w:r>
        <w:rPr>
          <w:b/>
          <w:bCs/>
        </w:rPr>
        <w:t>FEDERAL:</w:t>
      </w:r>
    </w:p>
    <w:p>
      <w:pPr>
        <w:pStyle w:val="Normal"/>
        <w:rPr>
          <w:b/>
          <w:bCs/>
        </w:rPr>
      </w:pPr>
      <w:r>
        <w:rPr>
          <w:b/>
          <w:bCs/>
        </w:rPr>
      </w:r>
    </w:p>
    <w:p>
      <w:pPr>
        <w:pStyle w:val="Normal"/>
        <w:rPr/>
      </w:pPr>
      <w:r>
        <w:rPr>
          <w:u w:val="single"/>
        </w:rPr>
        <w:t>Licensing</w:t>
      </w:r>
      <w:r>
        <w:rPr/>
        <w:t>.  EBS, LP’s trading activity is currently considered to be private carriage service.  We have received a legal opinion that so long as EBS, LP. provides individually negotiated contracts, and does not hold itself out to provide a general offering to the public at large, its activity qualifies as private carriage and is not subject to federal regulation.  Private and common carriers must pay into the Universal Service Fund only to the extent that we are selling to the ultimate consumer of the service.  If we resell the service to another carrier where the carrier is not the end-user, we must execute a resellers certificate exempting us from USF responsibility.  If Enron is found to be providing common carriage service, there are other regulatory assessments that would apply.  EBS Inc., EBS LP, and ETI must file an annual USF revenue report and a quarterly revenue reports.</w:t>
      </w:r>
    </w:p>
    <w:p>
      <w:pPr>
        <w:pStyle w:val="Normal"/>
        <w:rPr/>
      </w:pPr>
      <w:r>
        <w:rPr/>
      </w:r>
    </w:p>
    <w:p>
      <w:pPr>
        <w:pStyle w:val="BodyText"/>
        <w:rPr/>
      </w:pPr>
      <w:r>
        <w:rPr/>
        <w:t xml:space="preserve">Analysis.  </w:t>
      </w:r>
      <w:r>
        <w:rPr>
          <w:u w:val="none"/>
        </w:rPr>
        <w:t>EBS should continue to reassess whether the trading services it provides fall under private or common carriage and the regulatory implications associated with either classification.  Voice minutes trading may be viewed differently from bandwidth trading because of the offering of a rate sheet.  Structurally separate treatment (accounting, tax) of voice minute trading from other bandwidth trading may be prudent in the event voice minutes trading is later declared to be common carriage.</w:t>
      </w:r>
    </w:p>
    <w:p>
      <w:pPr>
        <w:pStyle w:val="Normal"/>
        <w:rPr>
          <w:u w:val="none"/>
        </w:rPr>
      </w:pPr>
      <w:r>
        <w:rPr>
          <w:u w:val="none"/>
        </w:rPr>
      </w:r>
    </w:p>
    <w:p>
      <w:pPr>
        <w:pStyle w:val="Normal"/>
        <w:rPr/>
      </w:pPr>
      <w:r>
        <w:rPr>
          <w:u w:val="single"/>
        </w:rPr>
        <w:t>ROW/Municipal Fees.</w:t>
      </w:r>
      <w:r>
        <w:rPr/>
        <w:t xml:space="preserve">  The Federal Government’s land management agencies, the Bureau of Land Management (BLM) and the US Forest Service (USFS), oversee fiber optic ROW rents and easements on public lands.  EBS’s network traversese several hundred miles of public lands.  The proposed increase in assessment was substantial last year.  EBS was able to introduce legislation that maintained the current assessment.</w:t>
      </w:r>
    </w:p>
    <w:p>
      <w:pPr>
        <w:pStyle w:val="Normal"/>
        <w:rPr/>
      </w:pPr>
      <w:r>
        <w:rPr/>
      </w:r>
    </w:p>
    <w:p>
      <w:pPr>
        <w:pStyle w:val="Normal"/>
        <w:rPr/>
      </w:pPr>
      <w:r>
        <w:rPr>
          <w:u w:val="single"/>
        </w:rPr>
        <w:t>Analysis</w:t>
      </w:r>
      <w:r>
        <w:rPr/>
        <w:t>.  It is likely that the assessment issue will resurface again.  EBS has formed a coaltion (TELROW) which is proposing legislative language that will continue to tie the assessment for public land ROW to the value associated with the land instead of the value of the commerce derived from the use of those rights-of-way.  The issue is substantially similar relative to local city assessments for municpal rights-of-way.</w:t>
      </w:r>
    </w:p>
    <w:p>
      <w:pPr>
        <w:pStyle w:val="Normal"/>
        <w:rPr/>
      </w:pPr>
      <w:r>
        <w:rPr/>
      </w:r>
    </w:p>
    <w:p>
      <w:pPr>
        <w:pStyle w:val="Normal"/>
        <w:rPr/>
      </w:pPr>
      <w:r>
        <w:rPr>
          <w:u w:val="single"/>
        </w:rPr>
        <w:t>Cable Competitive Access.</w:t>
      </w:r>
      <w:r>
        <w:rPr/>
        <w:t xml:space="preserve">  EBS Government Affairs has launched a cable competitive access initiative for the purpose of providing EBS’s content delivery team with the ability to gain access to the cable platform.  To that end, comments were filed in the FCC proceeding dealing with interactive TV (ITV).  </w:t>
      </w:r>
    </w:p>
    <w:p>
      <w:pPr>
        <w:pStyle w:val="Normal"/>
        <w:rPr/>
      </w:pPr>
      <w:r>
        <w:rPr/>
      </w:r>
    </w:p>
    <w:p>
      <w:pPr>
        <w:pStyle w:val="Normal"/>
        <w:rPr/>
      </w:pPr>
      <w:r>
        <w:rPr>
          <w:u w:val="single"/>
        </w:rPr>
        <w:t>Analysis.</w:t>
      </w:r>
      <w:r>
        <w:rPr/>
        <w:t xml:space="preserve">  Government Affairs continues to monitor the proceeding, however do not plan to actively participate prospectively.</w:t>
      </w:r>
    </w:p>
    <w:p>
      <w:pPr>
        <w:pStyle w:val="Normal"/>
        <w:rPr/>
      </w:pPr>
      <w:r>
        <w:rPr/>
      </w:r>
    </w:p>
    <w:p>
      <w:pPr>
        <w:pStyle w:val="Normal"/>
        <w:rPr>
          <w:u w:val="single"/>
        </w:rPr>
      </w:pPr>
      <w:r>
        <w:rPr>
          <w:u w:val="single"/>
        </w:rPr>
        <w:t>FCC Proceedings:</w:t>
      </w:r>
    </w:p>
    <w:p>
      <w:pPr>
        <w:pStyle w:val="Normal"/>
        <w:rPr/>
      </w:pPr>
      <w:r>
        <w:rPr/>
        <w:t xml:space="preserve">  </w:t>
      </w:r>
    </w:p>
    <w:p>
      <w:pPr>
        <w:pStyle w:val="Normal"/>
        <w:numPr>
          <w:ilvl w:val="0"/>
          <w:numId w:val="2"/>
        </w:numPr>
        <w:rPr/>
      </w:pPr>
      <w:r>
        <w:rPr/>
        <w:t xml:space="preserve">Enhanced Extended Links (EELs).  EBS has filed comments in this FCC proceeding which deals with access to EELs.  EELs are combinations of loop and transport that would significantly reduce the investment EBS would need to make in collocation.  Our comments request the FCC to eliminate the minimum local usage restrictions (i.e. voice) that currently prevent EBS from utilizing these combinations.  </w:t>
      </w:r>
    </w:p>
    <w:p>
      <w:pPr>
        <w:pStyle w:val="Normal"/>
        <w:rPr/>
      </w:pPr>
      <w:r>
        <w:rPr/>
      </w:r>
    </w:p>
    <w:p>
      <w:pPr>
        <w:pStyle w:val="Normal"/>
        <w:ind w:start="720" w:end="0"/>
        <w:rPr/>
      </w:pPr>
      <w:r>
        <w:rPr>
          <w:u w:val="single"/>
        </w:rPr>
        <w:t>Analysis.</w:t>
      </w:r>
      <w:r>
        <w:rPr/>
        <w:t xml:space="preserve">  While access to UNEs present an economic alternative to retail pricing for loop and transport, maintenance of the current voice restrictions would impair EBS’s ability to economically access UNEs.  </w:t>
      </w:r>
    </w:p>
    <w:p>
      <w:pPr>
        <w:pStyle w:val="Normal"/>
        <w:rPr/>
      </w:pPr>
      <w:r>
        <w:rPr/>
      </w:r>
    </w:p>
    <w:p>
      <w:pPr>
        <w:pStyle w:val="Normal"/>
        <w:numPr>
          <w:ilvl w:val="0"/>
          <w:numId w:val="1"/>
        </w:numPr>
        <w:rPr/>
      </w:pPr>
      <w:r>
        <w:rPr/>
        <w:t xml:space="preserve">Removal of high-capacity loop and transport from the UNE list.  EBS has also filed comments in opposition to the RBOCs’ (Verizon, BellSouth and SBC) comments seeking to eliminate high-capacity loop and transport from the unbundled network element (UNE) list.  </w:t>
      </w:r>
    </w:p>
    <w:p>
      <w:pPr>
        <w:pStyle w:val="Normal"/>
        <w:rPr/>
      </w:pPr>
      <w:r>
        <w:rPr/>
      </w:r>
    </w:p>
    <w:p>
      <w:pPr>
        <w:pStyle w:val="Normal"/>
        <w:ind w:start="720" w:end="0"/>
        <w:rPr/>
      </w:pPr>
      <w:r>
        <w:rPr>
          <w:u w:val="single"/>
        </w:rPr>
        <w:t xml:space="preserve">Analysis.  </w:t>
      </w:r>
      <w:r>
        <w:rPr/>
        <w:t>Elimination of high-capacity loop and transport from the UNE list would have a significant affect on EBS’s business as it would leave only retail as an option for obtaining metro connectivity.</w:t>
      </w:r>
    </w:p>
    <w:p>
      <w:pPr>
        <w:pStyle w:val="Normal"/>
        <w:ind w:start="360" w:end="0"/>
        <w:rPr/>
      </w:pPr>
      <w:r>
        <w:rPr/>
      </w:r>
    </w:p>
    <w:p>
      <w:pPr>
        <w:pStyle w:val="Normal"/>
        <w:ind w:start="360" w:end="0"/>
        <w:rPr/>
      </w:pPr>
      <w:r>
        <w:rPr/>
      </w:r>
    </w:p>
    <w:p>
      <w:pPr>
        <w:pStyle w:val="Normal"/>
        <w:numPr>
          <w:ilvl w:val="0"/>
          <w:numId w:val="1"/>
        </w:numPr>
        <w:rPr/>
      </w:pPr>
      <w:r>
        <w:rPr/>
        <w:t>Collocation.  The FCC has also recently issued an order on collocation which would require the incumbents to provision CLEC-to-CLEC cross connections within a central office, allow collocation of equipment that enables CLECs to interconnect and access UNEs as well as to provide multifunctional capabilities (i.e. multiplexing, routing, switching, etc.) so long as the equipment would not put an additional burden on space requirements of the ILEC.  BellSouth and SBC have filed an appeal to the FCC’s order.</w:t>
      </w:r>
    </w:p>
    <w:p>
      <w:pPr>
        <w:pStyle w:val="Normal"/>
        <w:rPr/>
      </w:pPr>
      <w:r>
        <w:rPr/>
      </w:r>
    </w:p>
    <w:p>
      <w:pPr>
        <w:pStyle w:val="BodyTextIndent"/>
        <w:rPr/>
      </w:pPr>
      <w:r>
        <w:rPr/>
        <w:t>Analysis.  Continued uncertainty relative to collocation and access to UNEs creates operational and price risk to EBS.</w:t>
      </w:r>
    </w:p>
    <w:p>
      <w:pPr>
        <w:pStyle w:val="BodyTextIndent"/>
        <w:ind w:start="0" w:end="0"/>
        <w:rPr/>
      </w:pPr>
      <w:r>
        <w:rPr/>
      </w:r>
    </w:p>
    <w:p>
      <w:pPr>
        <w:pStyle w:val="BodyTextIndent"/>
        <w:numPr>
          <w:ilvl w:val="0"/>
          <w:numId w:val="1"/>
        </w:numPr>
        <w:rPr/>
      </w:pPr>
      <w:r>
        <w:rPr/>
        <w:t>Negotiated Special Access.  The FCC issued three separate orders permitting BellSouth (December 2000), SBC (March 2001) and Verizon (March 2001) to individually negotiate volume and term discounts for dedicated transport and special access services in specific Metropolitan Service Areas (“MSAs”).</w:t>
      </w:r>
    </w:p>
    <w:p>
      <w:pPr>
        <w:pStyle w:val="BodyTextIndent"/>
        <w:ind w:start="360" w:end="0"/>
        <w:rPr/>
      </w:pPr>
      <w:r>
        <w:rPr/>
      </w:r>
    </w:p>
    <w:p>
      <w:pPr>
        <w:pStyle w:val="BodyTextIndent"/>
        <w:rPr/>
      </w:pPr>
      <w:r>
        <w:rPr/>
        <w:t>Analysis.  There has been little, if any, public disclosure of the RBOCs having successfully negotiated these agreements.  Lack of available information relative to these negotiated agreements make it difficult to gauge the types of discounts that EBS may be able to obtain.</w:t>
      </w:r>
    </w:p>
    <w:p>
      <w:pPr>
        <w:pStyle w:val="Normal"/>
        <w:rPr/>
      </w:pPr>
      <w:r>
        <w:rPr/>
      </w:r>
    </w:p>
    <w:p>
      <w:pPr>
        <w:pStyle w:val="Normal"/>
        <w:rPr/>
      </w:pPr>
      <w:r>
        <w:rPr/>
      </w:r>
    </w:p>
    <w:p>
      <w:pPr>
        <w:pStyle w:val="Normal"/>
        <w:rPr>
          <w:b/>
          <w:bCs/>
        </w:rPr>
      </w:pPr>
      <w:r>
        <w:rPr>
          <w:b/>
          <w:bCs/>
        </w:rPr>
        <w:t>SUPREME COURT DECISION:</w:t>
      </w:r>
    </w:p>
    <w:p>
      <w:pPr>
        <w:pStyle w:val="Normal"/>
        <w:rPr>
          <w:b/>
          <w:bCs/>
        </w:rPr>
      </w:pPr>
      <w:r>
        <w:rPr>
          <w:b/>
          <w:bCs/>
        </w:rPr>
      </w:r>
    </w:p>
    <w:p>
      <w:pPr>
        <w:pStyle w:val="Normal"/>
        <w:rPr/>
      </w:pPr>
      <w:r>
        <w:rPr/>
        <w:t xml:space="preserve">The Supreme Court is expected to hear oral arguments this October about whether or not the FCC exceeded its authority in determining how the pricing for UNEs would be set.  The expectation is that the pricing model, Total Element Long-Run Incremental Costs (“TELRIC”), will be thrown out and that the resulting FCC pricing will be less favorable.  </w:t>
      </w:r>
    </w:p>
    <w:p>
      <w:pPr>
        <w:pStyle w:val="Normal"/>
        <w:rPr/>
      </w:pPr>
      <w:r>
        <w:rPr/>
      </w:r>
    </w:p>
    <w:p>
      <w:pPr>
        <w:pStyle w:val="Normal"/>
        <w:rPr/>
      </w:pPr>
      <w:r>
        <w:rPr>
          <w:u w:val="single"/>
        </w:rPr>
        <w:t xml:space="preserve">Analysis. </w:t>
      </w:r>
      <w:r>
        <w:rPr/>
        <w:t xml:space="preserve"> Expectation for less favorable pricing would reduce the benefits of accessing UNEs.</w:t>
      </w:r>
    </w:p>
    <w:p>
      <w:pPr>
        <w:pStyle w:val="Normal"/>
        <w:rPr/>
      </w:pPr>
      <w:r>
        <w:rPr/>
      </w:r>
    </w:p>
    <w:p>
      <w:pPr>
        <w:pStyle w:val="Normal"/>
        <w:rPr>
          <w:b/>
          <w:bCs/>
        </w:rPr>
      </w:pPr>
      <w:r>
        <w:rPr>
          <w:b/>
          <w:bCs/>
        </w:rPr>
        <w:t>LEGISLATION:</w:t>
      </w:r>
    </w:p>
    <w:p>
      <w:pPr>
        <w:pStyle w:val="Normal"/>
        <w:rPr>
          <w:b/>
          <w:bCs/>
        </w:rPr>
      </w:pPr>
      <w:r>
        <w:rPr>
          <w:b/>
          <w:bCs/>
        </w:rPr>
      </w:r>
    </w:p>
    <w:p>
      <w:pPr>
        <w:pStyle w:val="Normal"/>
        <w:rPr/>
      </w:pPr>
      <w:r>
        <w:rPr/>
        <w:t xml:space="preserve">Tauzin-Dingell is a bill that would accelerate interLATA, long-distance authority for the Bell Operating Companies.  The bill would exempt data services from the 1996 Act, making the claim that the Act was only intended to apply to voice communications.  With the exemption of data from the 1996 Act, the BOCs would not need to provide access to facilities that are used for data transmission including high-capacity circuits and remote terminals.  </w:t>
      </w:r>
    </w:p>
    <w:p>
      <w:pPr>
        <w:pStyle w:val="Normal"/>
        <w:rPr/>
      </w:pPr>
      <w:r>
        <w:rPr/>
      </w:r>
    </w:p>
    <w:p>
      <w:pPr>
        <w:pStyle w:val="Normal"/>
        <w:rPr/>
      </w:pPr>
      <w:r>
        <w:rPr/>
        <w:t>Senator Hollings, before the congressional break, issued a bill that is the antithesis of the Tauzin-Dingell bill.  It would require tight provisioning time lines and significant penalties for failure to perform, as well as the potential for structural separation.</w:t>
      </w:r>
    </w:p>
    <w:p>
      <w:pPr>
        <w:pStyle w:val="Normal"/>
        <w:rPr/>
      </w:pPr>
      <w:r>
        <w:rPr/>
      </w:r>
    </w:p>
    <w:p>
      <w:pPr>
        <w:pStyle w:val="Normal"/>
        <w:rPr/>
      </w:pPr>
      <w:r>
        <w:rPr/>
        <w:t>Senator Rockefeller (D-WV) has a bill that would grant tax credits to companies providing high-speed Internet access to rural and low-income companies.</w:t>
      </w:r>
    </w:p>
    <w:p>
      <w:pPr>
        <w:pStyle w:val="Normal"/>
        <w:rPr/>
      </w:pPr>
      <w:r>
        <w:rPr/>
      </w:r>
    </w:p>
    <w:p>
      <w:pPr>
        <w:pStyle w:val="Normal"/>
        <w:rPr/>
      </w:pPr>
      <w:r>
        <w:rPr>
          <w:u w:val="single"/>
        </w:rPr>
        <w:t xml:space="preserve">Analysis.  </w:t>
      </w:r>
      <w:r>
        <w:rPr/>
        <w:t>It is expected that the Tauzin-Dingell Bill, in its current form, will be voted out of the House floor, but will not survive a senate vote.  Hollings bill is not expected to be voted out of the Senate Commerce Committee or  the Communications Subcommittee.  Congressman Pickering (R, MS) on the House Energy and Commerce Committee, has expressed receptivity for language from Enron toward a compromise bill.  We are working with Dynegy, El Paso and Reliant to see if there is a possibility of forming a coalition.</w:t>
      </w:r>
    </w:p>
    <w:p>
      <w:pPr>
        <w:pStyle w:val="Normal"/>
        <w:rPr/>
      </w:pPr>
      <w:r>
        <w:rPr/>
      </w:r>
    </w:p>
    <w:p>
      <w:pPr>
        <w:pStyle w:val="Normal"/>
        <w:rPr>
          <w:b/>
          <w:bCs/>
        </w:rPr>
      </w:pPr>
      <w:r>
        <w:rPr>
          <w:b/>
          <w:bCs/>
        </w:rPr>
        <w:t>STATE ISSUES:</w:t>
      </w:r>
    </w:p>
    <w:p>
      <w:pPr>
        <w:pStyle w:val="Normal"/>
        <w:rPr>
          <w:b/>
          <w:bCs/>
        </w:rPr>
      </w:pPr>
      <w:r>
        <w:rPr>
          <w:b/>
          <w:bCs/>
        </w:rPr>
      </w:r>
    </w:p>
    <w:p>
      <w:pPr>
        <w:pStyle w:val="Normal"/>
        <w:rPr/>
      </w:pPr>
      <w:r>
        <w:rPr>
          <w:u w:val="single"/>
        </w:rPr>
        <w:t>Licensing/Compliance</w:t>
      </w:r>
      <w:r>
        <w:rPr/>
        <w:t>.  EBS, Inc. is licensed as an interexchange carrier (IXC) in 27 states.</w:t>
      </w:r>
      <w:r>
        <w:rPr>
          <w:rStyle w:val="FootnoteCharacters"/>
          <w:rStyle w:val="FootnoteReference"/>
        </w:rPr>
        <w:footnoteReference w:id="2"/>
      </w:r>
      <w:r>
        <w:rPr/>
        <w:t xml:space="preserve">  These licenses were obtained primarily to support the fiber build.  However, they provide EBS with the ability to offer intrastate, interLATA services.  EBS must comply with state reporting requirements in order to maintain its license status.  </w:t>
      </w:r>
    </w:p>
    <w:p>
      <w:pPr>
        <w:pStyle w:val="Normal"/>
        <w:rPr/>
      </w:pPr>
      <w:r>
        <w:rPr/>
      </w:r>
    </w:p>
    <w:p>
      <w:pPr>
        <w:pStyle w:val="Normal"/>
        <w:rPr/>
      </w:pPr>
      <w:r>
        <w:rPr/>
        <w:t>Enron Telecommunications, Inc. (ETI) is licensed as a competitive local exchange carrier (CLEC) in 16 states.</w:t>
      </w:r>
      <w:r>
        <w:rPr>
          <w:rStyle w:val="FootnoteCharacters"/>
          <w:rStyle w:val="FootnoteReference"/>
        </w:rPr>
        <w:footnoteReference w:id="3"/>
      </w:r>
      <w:r>
        <w:rPr/>
        <w:t xml:space="preserve">  EBS of VA, Inc. has an application pending approval by the state commission.  Approval is expected in October 2001.  The licensed entity must comply with state reporting requirements in order to maintain its license status.  This license is necessary for obtaining interconnection agreements.</w:t>
      </w:r>
    </w:p>
    <w:p>
      <w:pPr>
        <w:pStyle w:val="Normal"/>
        <w:rPr/>
      </w:pPr>
      <w:r>
        <w:rPr/>
      </w:r>
    </w:p>
    <w:p>
      <w:pPr>
        <w:pStyle w:val="Normal"/>
        <w:rPr/>
      </w:pPr>
      <w:r>
        <w:rPr>
          <w:u w:val="single"/>
        </w:rPr>
        <w:t>Analysis</w:t>
      </w:r>
      <w:r>
        <w:rPr/>
        <w:t xml:space="preserve">:  Timing for obtaining IXC licenses vary from a few months to over a year.  Timing for obtaining CLEC licenses varies from weeks to 240 days.  </w:t>
      </w:r>
    </w:p>
    <w:p>
      <w:pPr>
        <w:pStyle w:val="Normal"/>
        <w:rPr/>
      </w:pPr>
      <w:r>
        <w:rPr/>
        <w:t xml:space="preserve"> </w:t>
      </w:r>
    </w:p>
    <w:p>
      <w:pPr>
        <w:pStyle w:val="Normal"/>
        <w:rPr/>
      </w:pPr>
      <w:r>
        <w:rPr>
          <w:u w:val="single"/>
        </w:rPr>
        <w:t>Interconnection Agreements</w:t>
      </w:r>
      <w:r>
        <w:rPr/>
        <w:t xml:space="preserve">.  Provide access to UNEs at a significantly reduced price relative to retail.  Requires collocation at the ILEC’s central office.  </w:t>
      </w:r>
    </w:p>
    <w:p>
      <w:pPr>
        <w:pStyle w:val="Normal"/>
        <w:rPr/>
      </w:pPr>
      <w:r>
        <w:rPr/>
      </w:r>
    </w:p>
    <w:p>
      <w:pPr>
        <w:pStyle w:val="Normal"/>
        <w:rPr/>
      </w:pPr>
      <w:r>
        <w:rPr>
          <w:u w:val="single"/>
        </w:rPr>
        <w:t>271 Authority</w:t>
      </w:r>
      <w:r>
        <w:rPr/>
        <w:t>.  As part of the 1996 Act, the ILECs are permitted to provide in-region long-distance service if they can demonstrate that they have met a 14-point checklist.  The checklist requires the ILECs to demonstrate that they have provided unbundled access to the elements of their system.  The 1996 Act requires that the states issue its analysis that is subsequently reviewed by the FCC and the DOJ.  The FCC, upon receipt of the DOJ’s analysis, will then render a final decision as to whether the ILEC has met the requirements of the Act.  Verizon has received FCC approval in NY, CT, MA.  PA is pending.  The decision in PA is expected by mid-September.  SBC has received FCC approval in TX, OK and KS.  MO and AR are pending.  BellSouth has received state approval in LA.  Qwest has not submitted an official request yet.  However, Qwest has held workshops in its regions with the respective state commissions as a precursor to an official filing.</w:t>
      </w:r>
    </w:p>
    <w:p>
      <w:pPr>
        <w:pStyle w:val="Normal"/>
        <w:rPr/>
      </w:pPr>
      <w:r>
        <w:rPr/>
      </w:r>
    </w:p>
    <w:p>
      <w:pPr>
        <w:pStyle w:val="Normal"/>
        <w:rPr/>
      </w:pPr>
      <w:r>
        <w:rPr>
          <w:u w:val="single"/>
        </w:rPr>
        <w:t>Analysis</w:t>
      </w:r>
      <w:r>
        <w:rPr/>
        <w:t>:  Once the Bells receive interLATA long-distance authority, they will be able to obtain their own backbone system and provision their long-distance service in conjunction with local service or buy backbone service from the remaining LD carriers.  Since the margins in the LD market are so tight, it is likely that the Bells as a monopsony buyer, could further stress the LD providers profitability.  The FCC has indicated a preference to expedite approval of 271 applications.  It is not likely that we will be able to derail this momentum alone.</w:t>
      </w:r>
    </w:p>
    <w:p>
      <w:pPr>
        <w:pStyle w:val="Normal"/>
        <w:rPr/>
      </w:pPr>
      <w:r>
        <w:rPr/>
      </w:r>
    </w:p>
    <w:p>
      <w:pPr>
        <w:pStyle w:val="Normal"/>
        <w:rPr/>
      </w:pPr>
      <w:r>
        <w:rPr/>
        <w:t xml:space="preserve">In addition, both Verizon and SBC are likely to seek the reintegration of their advanced services affiliate back into the operating company.  The separation of the advanced services affiliate from the utility was the result of the conditions of the merger agreements.  </w:t>
      </w:r>
    </w:p>
    <w:p>
      <w:pPr>
        <w:pStyle w:val="Normal"/>
        <w:rPr/>
      </w:pPr>
      <w:r>
        <w:rPr/>
      </w:r>
    </w:p>
    <w:p>
      <w:pPr>
        <w:pStyle w:val="Normal"/>
        <w:rPr/>
      </w:pPr>
      <w:r>
        <w:rPr/>
        <w:t>These developments would enable the BOC’s to provide a comprehensive product to consumers.</w:t>
      </w:r>
    </w:p>
    <w:p>
      <w:pPr>
        <w:pStyle w:val="Normal"/>
        <w:rPr/>
      </w:pPr>
      <w:r>
        <w:rPr/>
      </w:r>
    </w:p>
    <w:p>
      <w:pPr>
        <w:pStyle w:val="Normal"/>
        <w:rPr/>
      </w:pPr>
      <w:r>
        <w:rPr/>
      </w:r>
    </w:p>
    <w:p>
      <w:pPr>
        <w:pStyle w:val="Normal"/>
        <w:rPr/>
      </w:pPr>
      <w:r>
        <w:rPr/>
      </w:r>
    </w:p>
    <w:p>
      <w:pPr>
        <w:pStyle w:val="Normal"/>
        <w:rPr/>
      </w:pPr>
      <w:r>
        <w:rPr/>
      </w:r>
    </w:p>
    <w:p>
      <w:pPr>
        <w:pStyle w:val="Normal"/>
        <w:ind w:start="720" w:end="0"/>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EBS Inc. is the licensee in all states with the following exceptions: the license in Virginia is held by EBS of Va, Inc.; Enron Telecommunications, Inc. is the licensee in NJ, TX, LA and CA.  In FL, the license is an Alternate Access Vendor, while similar is not the same as an IXC.  </w:t>
      </w:r>
    </w:p>
  </w:footnote>
  <w:footnote w:id="3">
    <w:p>
      <w:pPr>
        <w:pStyle w:val="FootnoteText"/>
        <w:rPr/>
      </w:pPr>
      <w:r>
        <w:rPr>
          <w:rStyle w:val="FootnoteCharacters"/>
        </w:rPr>
        <w:footnoteRef/>
      </w:r>
      <w:r>
        <w:rPr/>
        <w:t xml:space="preserve"> </w:t>
      </w:r>
      <w:r>
        <w:rPr/>
        <w:t>CA, CO, DC, FL, GA, IL, LA, MA, PA, NJ, NY, NV, OR, TX, UT, WA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36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2001-09-04T23:00:00Z</dcterms:created>
  <dc:creator>mpetroch</dc:creator>
  <dc:description/>
  <dc:language>en-CA</dc:language>
  <cp:lastModifiedBy>mpetroch</cp:lastModifiedBy>
  <cp:lastPrinted>2001-09-05T08:18:00Z</cp:lastPrinted>
  <dcterms:modified xsi:type="dcterms:W3CDTF">2001-09-05T18:56:00Z</dcterms:modified>
  <cp:revision>2</cp:revision>
  <dc:subject/>
  <dc:title>Regulatory Issues for EBS</dc:title>
</cp:coreProperties>
</file>