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ocumentLabel"/>
        <w:numPr>
          <w:ilvl w:val="0"/>
          <w:numId w:val="0"/>
        </w:numPr>
        <w:spacing w:before="120" w:after="240"/>
        <w:ind w:hanging="0" w:start="0"/>
        <w:jc w:val="center"/>
        <w:outlineLvl w:val="0"/>
        <w:rPr>
          <w:sz w:val="28"/>
        </w:rPr>
      </w:pPr>
      <w:r>
        <mc:AlternateContent>
          <mc:Choice Requires="wps">
            <w:drawing>
              <wp:anchor behindDoc="0" distT="0" distB="0" distL="114935" distR="114935" simplePos="0" locked="0" layoutInCell="1" allowOverlap="1" relativeHeight="2">
                <wp:simplePos x="0" y="0"/>
                <wp:positionH relativeFrom="column">
                  <wp:posOffset>1280160</wp:posOffset>
                </wp:positionH>
                <wp:positionV relativeFrom="paragraph">
                  <wp:posOffset>320040</wp:posOffset>
                </wp:positionV>
                <wp:extent cx="3201035" cy="635"/>
                <wp:effectExtent l="635" t="6350" r="635" b="6350"/>
                <wp:wrapNone/>
                <wp:docPr id="1" name=""/>
                <a:graphic xmlns:a="http://schemas.openxmlformats.org/drawingml/2006/main">
                  <a:graphicData uri="http://schemas.microsoft.com/office/word/2010/wordprocessingShape">
                    <wps:wsp>
                      <wps:cNvSpPr/>
                      <wps:spPr>
                        <a:xfrm>
                          <a:off x="0" y="0"/>
                          <a:ext cx="3201120" cy="72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100.8pt,25.2pt" to="352.8pt,25.2pt" stroked="t" o:allowincell="f" style="position:absolute">
                <v:stroke color="black" weight="12600" joinstyle="miter" endcap="flat"/>
                <v:fill o:detectmouseclick="t" on="false"/>
                <w10:wrap type="none"/>
              </v:line>
            </w:pict>
          </mc:Fallback>
        </mc:AlternateContent>
      </w:r>
      <w:r>
        <w:rPr>
          <w:sz w:val="28"/>
        </w:rPr>
        <w:t>Memorandum</w:t>
      </w:r>
    </w:p>
    <w:p>
      <w:pPr>
        <w:pStyle w:val="BodyText"/>
        <w:spacing w:before="0" w:after="480"/>
        <w:jc w:val="center"/>
        <w:rPr/>
      </w:pPr>
      <w:bookmarkStart w:id="0" w:name="BodyDate"/>
      <w:bookmarkEnd w:id="0"/>
      <w:r>
        <w:rPr/>
        <w:t>August 1, 2000</w:t>
      </w:r>
    </w:p>
    <w:tbl>
      <w:tblPr>
        <w:tblW w:w="8301" w:type="dxa"/>
        <w:jc w:val="start"/>
        <w:tblInd w:w="0" w:type="dxa"/>
        <w:tblLayout w:type="fixed"/>
        <w:tblCellMar>
          <w:top w:w="0" w:type="dxa"/>
          <w:start w:w="108" w:type="dxa"/>
          <w:bottom w:w="0" w:type="dxa"/>
          <w:end w:w="108" w:type="dxa"/>
        </w:tblCellMar>
      </w:tblPr>
      <w:tblGrid>
        <w:gridCol w:w="1083"/>
        <w:gridCol w:w="7218"/>
      </w:tblGrid>
      <w:tr>
        <w:trPr/>
        <w:tc>
          <w:tcPr>
            <w:tcW w:w="1083" w:type="dxa"/>
            <w:tcBorders/>
          </w:tcPr>
          <w:p>
            <w:pPr>
              <w:pStyle w:val="BodyText"/>
              <w:rPr/>
            </w:pPr>
            <w:r>
              <w:rPr/>
              <w:t>TO:</w:t>
            </w:r>
          </w:p>
        </w:tc>
        <w:tc>
          <w:tcPr>
            <w:tcW w:w="7218" w:type="dxa"/>
            <w:tcBorders/>
          </w:tcPr>
          <w:p>
            <w:pPr>
              <w:pStyle w:val="BodyText"/>
              <w:ind w:firstLine="357" w:end="0"/>
              <w:rPr/>
            </w:pPr>
            <w:bookmarkStart w:id="1" w:name="MemoTo"/>
            <w:bookmarkEnd w:id="1"/>
            <w:r>
              <w:rPr/>
              <w:t>Richard Shapiro</w:t>
            </w:r>
          </w:p>
        </w:tc>
      </w:tr>
      <w:tr>
        <w:trPr/>
        <w:tc>
          <w:tcPr>
            <w:tcW w:w="1083" w:type="dxa"/>
            <w:tcBorders/>
          </w:tcPr>
          <w:p>
            <w:pPr>
              <w:pStyle w:val="BodyText"/>
              <w:snapToGrid w:val="false"/>
              <w:rPr/>
            </w:pPr>
            <w:r>
              <w:rPr/>
            </w:r>
          </w:p>
        </w:tc>
        <w:tc>
          <w:tcPr>
            <w:tcW w:w="7218" w:type="dxa"/>
            <w:tcBorders/>
          </w:tcPr>
          <w:p>
            <w:pPr>
              <w:pStyle w:val="BodyText"/>
              <w:snapToGrid w:val="false"/>
              <w:ind w:start="357" w:end="0"/>
              <w:rPr/>
            </w:pPr>
            <w:r>
              <w:rPr/>
            </w:r>
          </w:p>
        </w:tc>
      </w:tr>
      <w:tr>
        <w:trPr/>
        <w:tc>
          <w:tcPr>
            <w:tcW w:w="1083" w:type="dxa"/>
            <w:tcBorders/>
          </w:tcPr>
          <w:p>
            <w:pPr>
              <w:pStyle w:val="BodyText"/>
              <w:rPr/>
            </w:pPr>
            <w:r>
              <w:rPr/>
              <w:t>FROM:</w:t>
            </w:r>
          </w:p>
        </w:tc>
        <w:tc>
          <w:tcPr>
            <w:tcW w:w="7218" w:type="dxa"/>
            <w:tcBorders/>
          </w:tcPr>
          <w:p>
            <w:pPr>
              <w:pStyle w:val="BodyText"/>
              <w:ind w:start="357" w:end="0"/>
              <w:rPr/>
            </w:pPr>
            <w:bookmarkStart w:id="2" w:name="MemoFrom"/>
            <w:bookmarkEnd w:id="2"/>
            <w:r>
              <w:rPr/>
              <w:t>William H. Weiland</w:t>
            </w:r>
          </w:p>
        </w:tc>
      </w:tr>
    </w:tbl>
    <w:p>
      <w:pPr>
        <w:pStyle w:val="BodyText"/>
        <w:ind w:hanging="1440" w:start="1440" w:end="0"/>
        <w:rPr/>
      </w:pPr>
      <w:r>
        <w:rPr/>
      </w:r>
    </w:p>
    <w:p>
      <w:pPr>
        <w:pStyle w:val="BodyText"/>
        <w:spacing w:before="0" w:after="120"/>
        <w:ind w:hanging="1440" w:start="1440" w:end="0"/>
        <w:rPr/>
      </w:pPr>
      <w:r>
        <w:rPr/>
        <w:t>RE:</w:t>
        <w:tab/>
      </w:r>
      <w:bookmarkStart w:id="3" w:name="MemoRegarding"/>
      <w:bookmarkEnd w:id="3"/>
      <w:r>
        <w:rPr/>
        <w:t>Regulatory Issues - Project Summer</w:t>
      </w:r>
    </w:p>
    <w:p>
      <w:pPr>
        <w:pStyle w:val="BodyText"/>
        <w:spacing w:before="0" w:after="120"/>
        <w:ind w:hanging="1440" w:start="1440" w:end="0"/>
        <w:rPr/>
      </w:pPr>
      <w:r>
        <w:rPr/>
      </w:r>
    </w:p>
    <w:p>
      <w:pPr>
        <w:pStyle w:val="BodyText"/>
        <w:jc w:val="both"/>
        <w:rPr/>
      </w:pPr>
      <w:r>
        <w:rPr/>
        <w:tab/>
      </w:r>
      <w:bookmarkStart w:id="4" w:name="Start"/>
      <w:bookmarkEnd w:id="4"/>
      <w:r>
        <w:rPr/>
        <w:t>The following is a summary by country and project entity of the regulatory issues to be addressed in connection with the transfer of project entities into the contemplated ABC structure.  This memorandum has been prepared after discussions with local counsel in the various jurisdictions indicated.</w:t>
      </w:r>
    </w:p>
    <w:p>
      <w:pPr>
        <w:pStyle w:val="BodyText"/>
        <w:jc w:val="both"/>
        <w:rPr/>
      </w:pPr>
      <w:r>
        <w:rPr/>
      </w:r>
    </w:p>
    <w:p>
      <w:pPr>
        <w:pStyle w:val="BodyText"/>
        <w:jc w:val="both"/>
        <w:rPr/>
      </w:pPr>
      <w:r>
        <w:rPr/>
        <w:tab/>
      </w:r>
      <w:r>
        <w:rPr>
          <w:b/>
          <w:u w:val="single"/>
        </w:rPr>
        <w:t>Apachi Assets</w:t>
      </w:r>
    </w:p>
    <w:p>
      <w:pPr>
        <w:pStyle w:val="BodyText"/>
        <w:jc w:val="both"/>
        <w:rPr/>
      </w:pPr>
      <w:r>
        <w:rPr/>
      </w:r>
    </w:p>
    <w:p>
      <w:pPr>
        <w:pStyle w:val="BodyText"/>
        <w:jc w:val="both"/>
        <w:rPr/>
      </w:pPr>
      <w:r>
        <w:rPr/>
        <w:tab/>
        <w:t>No regulatory approvals required.</w:t>
      </w:r>
    </w:p>
    <w:p>
      <w:pPr>
        <w:pStyle w:val="BodyText"/>
        <w:jc w:val="both"/>
        <w:rPr/>
      </w:pPr>
      <w:r>
        <w:rPr/>
      </w:r>
    </w:p>
    <w:p>
      <w:pPr>
        <w:pStyle w:val="BodyText"/>
        <w:jc w:val="both"/>
        <w:rPr/>
      </w:pPr>
      <w:r>
        <w:rPr/>
        <w:tab/>
      </w:r>
      <w:r>
        <w:rPr>
          <w:b/>
          <w:u w:val="single"/>
        </w:rPr>
        <w:t>Argentina</w:t>
      </w:r>
    </w:p>
    <w:p>
      <w:pPr>
        <w:pStyle w:val="BodyText"/>
        <w:jc w:val="both"/>
        <w:rPr/>
      </w:pPr>
      <w:r>
        <w:rPr/>
      </w:r>
    </w:p>
    <w:p>
      <w:pPr>
        <w:pStyle w:val="BodyText"/>
        <w:jc w:val="both"/>
        <w:rPr/>
      </w:pPr>
      <w:r>
        <w:rPr/>
        <w:tab/>
        <w:t>1.</w:t>
        <w:tab/>
      </w:r>
      <w:r>
        <w:rPr>
          <w:b/>
        </w:rPr>
        <w:t>Antitrust Approval.</w:t>
      </w:r>
    </w:p>
    <w:p>
      <w:pPr>
        <w:pStyle w:val="BodyText"/>
        <w:jc w:val="both"/>
        <w:rPr>
          <w:b/>
        </w:rPr>
      </w:pPr>
      <w:r>
        <w:rPr>
          <w:b/>
        </w:rPr>
      </w:r>
    </w:p>
    <w:p>
      <w:pPr>
        <w:pStyle w:val="BodyText"/>
        <w:ind w:start="1440" w:end="0"/>
        <w:jc w:val="both"/>
        <w:rPr/>
      </w:pPr>
      <w:r>
        <w:rPr/>
        <w:t>a.</w:t>
        <w:tab/>
      </w:r>
      <w:r>
        <w:rPr>
          <w:b/>
        </w:rPr>
        <w:t>Transfer to "C"</w:t>
      </w:r>
      <w:r>
        <w:rPr/>
        <w:t xml:space="preserve"> (i.e., transfer of control or significant influence in) of </w:t>
      </w:r>
      <w:r>
        <w:rPr>
          <w:b/>
        </w:rPr>
        <w:t xml:space="preserve">Arcor, TGS </w:t>
      </w:r>
      <w:r>
        <w:rPr/>
        <w:t>and</w:t>
      </w:r>
      <w:r>
        <w:rPr>
          <w:b/>
        </w:rPr>
        <w:t xml:space="preserve"> Argentina Trading</w:t>
      </w:r>
      <w:r>
        <w:rPr/>
        <w:t xml:space="preserve"> (Enron Comercializadora) </w:t>
      </w:r>
      <w:r>
        <w:rPr>
          <w:b/>
        </w:rPr>
        <w:t>will require approval</w:t>
      </w:r>
      <w:r>
        <w:rPr/>
        <w:t xml:space="preserve"> by the Argentine </w:t>
      </w:r>
      <w:r>
        <w:rPr>
          <w:b/>
        </w:rPr>
        <w:t>Court for the Defense of Competition (the "Court")</w:t>
      </w:r>
      <w:r>
        <w:rPr/>
        <w:t>.</w:t>
      </w:r>
    </w:p>
    <w:p>
      <w:pPr>
        <w:pStyle w:val="BodyText"/>
        <w:ind w:start="1440" w:end="0"/>
        <w:jc w:val="both"/>
        <w:rPr/>
      </w:pPr>
      <w:r>
        <w:rPr/>
      </w:r>
    </w:p>
    <w:p>
      <w:pPr>
        <w:pStyle w:val="BodyText"/>
        <w:ind w:start="1440" w:end="0"/>
        <w:jc w:val="both"/>
        <w:rPr/>
      </w:pPr>
      <w:r>
        <w:rPr/>
        <w:t>b.</w:t>
        <w:tab/>
      </w:r>
      <w:r>
        <w:rPr>
          <w:b/>
        </w:rPr>
        <w:t>Exemption</w:t>
      </w:r>
      <w:r>
        <w:rPr/>
        <w:t xml:space="preserve"> to requirement in case of purchase of one company by purchaser without previous business activity in Argentina </w:t>
      </w:r>
      <w:r>
        <w:rPr>
          <w:b/>
        </w:rPr>
        <w:t>is unavailable</w:t>
      </w:r>
      <w:r>
        <w:rPr/>
        <w:t xml:space="preserve"> because deal comprehends purchase of three entities.</w:t>
      </w:r>
    </w:p>
    <w:p>
      <w:pPr>
        <w:pStyle w:val="BodyText"/>
        <w:ind w:start="1440" w:end="0"/>
        <w:jc w:val="both"/>
        <w:rPr/>
      </w:pPr>
      <w:r>
        <w:rPr/>
      </w:r>
    </w:p>
    <w:p>
      <w:pPr>
        <w:pStyle w:val="BodyText"/>
        <w:ind w:start="1440" w:end="0"/>
        <w:jc w:val="both"/>
        <w:rPr/>
      </w:pPr>
      <w:r>
        <w:rPr/>
        <w:t>c.</w:t>
        <w:tab/>
      </w:r>
      <w:r>
        <w:rPr>
          <w:b/>
        </w:rPr>
        <w:t>Notice of transactions</w:t>
      </w:r>
      <w:r>
        <w:rPr/>
        <w:t xml:space="preserve"> subject to prior review must be delivered to Court (i) prior to their consummation or (ii) </w:t>
      </w:r>
      <w:r>
        <w:rPr>
          <w:b/>
        </w:rPr>
        <w:t>within "one week"</w:t>
      </w:r>
      <w:r>
        <w:rPr/>
        <w:t xml:space="preserve"> </w:t>
      </w:r>
      <w:r>
        <w:rPr>
          <w:b/>
        </w:rPr>
        <w:t>from</w:t>
      </w:r>
      <w:r>
        <w:rPr/>
        <w:t xml:space="preserve"> the earlier of the </w:t>
      </w:r>
      <w:r>
        <w:rPr>
          <w:b/>
        </w:rPr>
        <w:t>execution of the acquisition agreement</w:t>
      </w:r>
      <w:r>
        <w:rPr/>
        <w:t>, publication of a tender offer or exchange offer, or the acquisition of the controlling interest.</w:t>
      </w:r>
    </w:p>
    <w:p>
      <w:pPr>
        <w:pStyle w:val="BodyText"/>
        <w:ind w:start="1440" w:end="0"/>
        <w:jc w:val="both"/>
        <w:rPr/>
      </w:pPr>
      <w:r>
        <w:rPr/>
      </w:r>
    </w:p>
    <w:p>
      <w:pPr>
        <w:pStyle w:val="BodyText"/>
        <w:ind w:start="1440" w:end="0"/>
        <w:jc w:val="both"/>
        <w:rPr/>
      </w:pPr>
      <w:r>
        <w:rPr/>
        <w:t>d.</w:t>
        <w:tab/>
      </w:r>
      <w:r>
        <w:rPr>
          <w:b/>
        </w:rPr>
        <w:t>Failure to notify</w:t>
      </w:r>
      <w:r>
        <w:rPr/>
        <w:t xml:space="preserve"> or failure to comply with "cease and desist" order is punishable by </w:t>
      </w:r>
      <w:r>
        <w:rPr>
          <w:b/>
        </w:rPr>
        <w:t>US$1mm/day fine</w:t>
      </w:r>
      <w:r>
        <w:rPr/>
        <w:t>.  Other violations punishable by fines of US$10k-US$150mm, cease and desist orders and forced divestiture.  Directors, managers, syndics and agents may be jointly and severally liable for fines.</w:t>
      </w:r>
    </w:p>
    <w:p>
      <w:pPr>
        <w:pStyle w:val="BodyText"/>
        <w:ind w:start="1440" w:end="0"/>
        <w:jc w:val="both"/>
        <w:rPr/>
      </w:pPr>
      <w:r>
        <w:rPr/>
      </w:r>
    </w:p>
    <w:p>
      <w:pPr>
        <w:pStyle w:val="Normal"/>
        <w:ind w:start="1440" w:end="0"/>
        <w:rPr/>
      </w:pPr>
      <w:r>
        <w:rPr/>
        <w:t>e.</w:t>
        <w:tab/>
        <w:t xml:space="preserve">Court has </w:t>
      </w:r>
      <w:r>
        <w:rPr>
          <w:b/>
        </w:rPr>
        <w:t>45 business days</w:t>
      </w:r>
      <w:r>
        <w:rPr/>
        <w:t xml:space="preserve">, which term may be extended </w:t>
      </w:r>
      <w:r>
        <w:rPr>
          <w:b/>
        </w:rPr>
        <w:t>an additional 30 business days</w:t>
      </w:r>
      <w:r>
        <w:rPr/>
        <w:t xml:space="preserve">, to consider application.  Court will consult </w:t>
      </w:r>
      <w:r>
        <w:rPr>
          <w:b/>
        </w:rPr>
        <w:t xml:space="preserve">ENARGAS </w:t>
      </w:r>
      <w:r>
        <w:rPr/>
        <w:t xml:space="preserve">re: transfer of </w:t>
      </w:r>
      <w:r>
        <w:rPr>
          <w:b/>
        </w:rPr>
        <w:t>TGS</w:t>
      </w:r>
      <w:r>
        <w:rPr/>
        <w:t>.</w:t>
      </w:r>
    </w:p>
    <w:p>
      <w:pPr>
        <w:pStyle w:val="Normal"/>
        <w:ind w:start="1440" w:end="0"/>
        <w:rPr/>
      </w:pPr>
      <w:r>
        <w:rPr/>
      </w:r>
    </w:p>
    <w:p>
      <w:pPr>
        <w:pStyle w:val="Normal"/>
        <w:ind w:start="1440" w:end="0"/>
        <w:rPr/>
      </w:pPr>
      <w:r>
        <w:rPr/>
        <w:t>f.</w:t>
        <w:tab/>
        <w:t>Pablo Rueda of the Perez Alati firm ("PA") indicated he did not foresee any problem obtaining Court approval.  No transaction notified has ever been objected to by Court.  He also stated he thought it would take about 2 weeks to prepare the notice filing.  PA is familiar with the industry and undoubtedly has a description it has used in other transactions (e.g., TransCanada sale to Total/Elf/Fina).  Will need descriptions of parties and specifics of transaction.</w:t>
      </w:r>
    </w:p>
    <w:p>
      <w:pPr>
        <w:pStyle w:val="Normal"/>
        <w:ind w:start="1440" w:end="0"/>
        <w:rPr/>
      </w:pPr>
      <w:r>
        <w:rPr/>
      </w:r>
    </w:p>
    <w:p>
      <w:pPr>
        <w:pStyle w:val="Normal"/>
        <w:rPr/>
      </w:pPr>
      <w:r>
        <w:rPr/>
        <w:t>2.</w:t>
        <w:tab/>
      </w:r>
      <w:r>
        <w:rPr>
          <w:b/>
        </w:rPr>
        <w:t>ENARGAS Approval for TGS Transfer.</w:t>
      </w:r>
    </w:p>
    <w:p>
      <w:pPr>
        <w:pStyle w:val="Normal"/>
        <w:rPr/>
      </w:pPr>
      <w:r>
        <w:rPr/>
      </w:r>
    </w:p>
    <w:p>
      <w:pPr>
        <w:pStyle w:val="Normal"/>
        <w:ind w:start="1440" w:end="0"/>
        <w:rPr/>
      </w:pPr>
      <w:r>
        <w:rPr/>
        <w:t>a.</w:t>
        <w:tab/>
        <w:t xml:space="preserve">Required for transfer by Eagle of </w:t>
      </w:r>
      <w:r>
        <w:rPr>
          <w:b/>
        </w:rPr>
        <w:t xml:space="preserve">&gt;49% voting and economic interest </w:t>
      </w:r>
      <w:r>
        <w:rPr/>
        <w:t xml:space="preserve"> in its controlled shareholder of CIESA, i.e., Eagle must maintain </w:t>
      </w:r>
      <w:r>
        <w:rPr>
          <w:b/>
        </w:rPr>
        <w:t>51% voting and economic interest in controlled shareholder of CIESA</w:t>
      </w:r>
      <w:r>
        <w:rPr/>
        <w:t>.  Also required if Eagle holds &lt;10% interest in CIESA as Technical Operator.</w:t>
      </w:r>
    </w:p>
    <w:p>
      <w:pPr>
        <w:pStyle w:val="Normal"/>
        <w:rPr/>
      </w:pPr>
      <w:r>
        <w:rPr/>
      </w:r>
    </w:p>
    <w:p>
      <w:pPr>
        <w:pStyle w:val="Normal"/>
        <w:ind w:hanging="720" w:start="1440" w:end="0"/>
        <w:rPr/>
      </w:pPr>
      <w:r>
        <w:rPr/>
        <w:tab/>
        <w:t>b.</w:t>
        <w:tab/>
      </w:r>
      <w:r>
        <w:rPr>
          <w:b/>
        </w:rPr>
        <w:t>Replacement of Operator</w:t>
      </w:r>
      <w:r>
        <w:rPr/>
        <w:t xml:space="preserve"> under Technical Assistance Agreement </w:t>
      </w:r>
      <w:r>
        <w:rPr>
          <w:b/>
        </w:rPr>
        <w:t>requires ENARGAS approval</w:t>
      </w:r>
      <w:r>
        <w:rPr/>
        <w:t xml:space="preserve">, even if replacement is Eagle affiliate.  If management is delegated to buyer, buyer will nonetheless have to maintain technical assistance from </w:t>
      </w:r>
      <w:r>
        <w:rPr>
          <w:b/>
        </w:rPr>
        <w:t>Transwestern Pipeline Company</w:t>
      </w:r>
      <w:r>
        <w:rPr/>
        <w:t>.</w:t>
      </w:r>
    </w:p>
    <w:p>
      <w:pPr>
        <w:pStyle w:val="Normal"/>
        <w:ind w:hanging="720" w:start="1440" w:end="0"/>
        <w:rPr/>
      </w:pPr>
      <w:r>
        <w:rPr/>
      </w:r>
    </w:p>
    <w:p>
      <w:pPr>
        <w:pStyle w:val="Normal"/>
        <w:rPr/>
      </w:pPr>
      <w:r>
        <w:rPr/>
        <w:tab/>
        <w:t>c.</w:t>
        <w:tab/>
        <w:t>ENARGAS has no specific time within which to make its determination.</w:t>
      </w:r>
    </w:p>
    <w:p>
      <w:pPr>
        <w:pStyle w:val="Normal"/>
        <w:ind w:start="0" w:end="0"/>
        <w:rPr/>
      </w:pPr>
      <w:r>
        <w:rPr/>
      </w:r>
    </w:p>
    <w:p>
      <w:pPr>
        <w:pStyle w:val="Normal"/>
        <w:ind w:start="0" w:end="0"/>
        <w:rPr/>
      </w:pPr>
      <w:r>
        <w:rPr/>
        <w:tab/>
      </w:r>
      <w:r>
        <w:rPr>
          <w:b/>
          <w:u w:val="single"/>
        </w:rPr>
        <w:t>Bolivia</w:t>
      </w:r>
    </w:p>
    <w:p>
      <w:pPr>
        <w:pStyle w:val="Normal"/>
        <w:ind w:start="0" w:end="0"/>
        <w:rPr/>
      </w:pPr>
      <w:r>
        <w:rPr/>
      </w:r>
    </w:p>
    <w:p>
      <w:pPr>
        <w:pStyle w:val="BodyText"/>
        <w:jc w:val="both"/>
        <w:rPr/>
      </w:pPr>
      <w:r>
        <w:rPr/>
        <w:t>1.</w:t>
        <w:tab/>
      </w:r>
      <w:r>
        <w:rPr>
          <w:b/>
        </w:rPr>
        <w:t xml:space="preserve">Antitrust Approval.  </w:t>
      </w:r>
      <w:r>
        <w:rPr/>
        <w:t>Bolivia does not have an antitrust law.</w:t>
      </w:r>
    </w:p>
    <w:p>
      <w:pPr>
        <w:pStyle w:val="BodyText"/>
        <w:jc w:val="both"/>
        <w:rPr/>
      </w:pPr>
      <w:r>
        <w:rPr/>
      </w:r>
    </w:p>
    <w:p>
      <w:pPr>
        <w:pStyle w:val="BodyText"/>
        <w:jc w:val="both"/>
        <w:rPr/>
      </w:pPr>
      <w:r>
        <w:rPr/>
        <w:t>2.</w:t>
        <w:tab/>
      </w:r>
      <w:r>
        <w:rPr>
          <w:b/>
        </w:rPr>
        <w:t>Approvals for Transredes, BBPL-GTB. and Cuiaba-Gasbol.</w:t>
      </w:r>
      <w:r>
        <w:rPr/>
        <w:t xml:space="preserve">  </w:t>
      </w:r>
    </w:p>
    <w:p>
      <w:pPr>
        <w:pStyle w:val="BodyText"/>
        <w:jc w:val="both"/>
        <w:rPr/>
      </w:pPr>
      <w:r>
        <w:rPr/>
      </w:r>
    </w:p>
    <w:p>
      <w:pPr>
        <w:pStyle w:val="BodyText"/>
        <w:ind w:start="720" w:end="0"/>
        <w:jc w:val="both"/>
        <w:rPr/>
      </w:pPr>
      <w:r>
        <w:rPr/>
        <w:t>a.</w:t>
        <w:tab/>
      </w:r>
      <w:r>
        <w:rPr>
          <w:b/>
        </w:rPr>
        <w:t>Transredes</w:t>
      </w:r>
      <w:r>
        <w:rPr/>
        <w:t xml:space="preserve"> owns interests in </w:t>
      </w:r>
      <w:r>
        <w:rPr>
          <w:b/>
        </w:rPr>
        <w:t>BPL-GTB</w:t>
      </w:r>
      <w:r>
        <w:rPr/>
        <w:t xml:space="preserve"> and </w:t>
      </w:r>
      <w:r>
        <w:rPr>
          <w:b/>
        </w:rPr>
        <w:t>Cuiaba-Gasbol</w:t>
      </w:r>
      <w:r>
        <w:rPr/>
        <w:t xml:space="preserve">.  Regulatory issues for transfer of interest in Transredes are at two levels, the Capitalization of YPFB companies (Share Subscription Contract) and SIRESE.  </w:t>
      </w:r>
    </w:p>
    <w:p>
      <w:pPr>
        <w:pStyle w:val="BodyText"/>
        <w:ind w:firstLine="720" w:end="0"/>
        <w:jc w:val="both"/>
        <w:rPr/>
      </w:pPr>
      <w:r>
        <w:rPr/>
      </w:r>
    </w:p>
    <w:p>
      <w:pPr>
        <w:pStyle w:val="BodyText"/>
        <w:ind w:start="720" w:end="0"/>
        <w:jc w:val="both"/>
        <w:rPr/>
      </w:pPr>
      <w:r>
        <w:rPr/>
        <w:t>b.</w:t>
        <w:tab/>
        <w:t xml:space="preserve">According to Ramiro Guevara, Eagle's local counsel, as long as the </w:t>
      </w:r>
      <w:r>
        <w:rPr>
          <w:b/>
        </w:rPr>
        <w:t>sale of Eagle's interest</w:t>
      </w:r>
      <w:r>
        <w:rPr/>
        <w:t xml:space="preserve"> is effected </w:t>
      </w:r>
      <w:r>
        <w:rPr>
          <w:b/>
        </w:rPr>
        <w:t>upstream</w:t>
      </w:r>
      <w:r>
        <w:rPr/>
        <w:t xml:space="preserve"> of the entity that participated in the bid for the capitalization (i.e., upstream of T.R. Holdings Ltda.), and as long as Eagle continues to provide the guarantee required under the Capitalization Bid Bases, </w:t>
      </w:r>
      <w:r>
        <w:rPr>
          <w:b/>
        </w:rPr>
        <w:t>no  approval of the Ministry of Foreign investment is necessary.</w:t>
      </w:r>
    </w:p>
    <w:p>
      <w:pPr>
        <w:pStyle w:val="BodyText"/>
        <w:ind w:start="720" w:end="0"/>
        <w:jc w:val="both"/>
        <w:rPr>
          <w:b/>
        </w:rPr>
      </w:pPr>
      <w:r>
        <w:rPr>
          <w:b/>
        </w:rPr>
      </w:r>
    </w:p>
    <w:p>
      <w:pPr>
        <w:pStyle w:val="BodyText"/>
        <w:ind w:start="720" w:end="0"/>
        <w:jc w:val="both"/>
        <w:rPr/>
      </w:pPr>
      <w:r>
        <w:rPr/>
        <w:t>c.</w:t>
        <w:tab/>
        <w:t xml:space="preserve">To avoid claims that SIRESE (Supervising regulatory body which can review decisions of Superintendent of Hydrocarbons and Electricity, which are primary regulators of those sectors) has regulatory authority over the transaction, </w:t>
      </w:r>
      <w:r>
        <w:rPr>
          <w:b/>
        </w:rPr>
        <w:t>Guevara recommends</w:t>
      </w:r>
      <w:r>
        <w:rPr/>
        <w:t xml:space="preserve"> that a senior Eagle official (someone in the Enron hierarchy above Enron's expat rep) pay a </w:t>
      </w:r>
      <w:r>
        <w:rPr>
          <w:b/>
        </w:rPr>
        <w:t>visit to the Superintendent of Hydrocarbons</w:t>
      </w:r>
      <w:r>
        <w:rPr/>
        <w:t xml:space="preserve"> to advise him of the transaction.  At the meeting the Eagle representatives (Guevara should attend) would explain to the Superintendent the transaction in a manner that will convince him he does not have jurisdiction over it because (i) </w:t>
      </w:r>
      <w:r>
        <w:rPr>
          <w:b/>
        </w:rPr>
        <w:t>the Superintendent's jurisdiction should not extend above Transredes and its shareholder</w:t>
      </w:r>
      <w:r>
        <w:rPr/>
        <w:t xml:space="preserve">, T.R. Holdings Ltda., since an assertion of jurisdiction would lead to some absurd possibilities, e.g., claims of jurisdiction over stock market transactions outside Bolivia that affected ownership of Transredes, and (ii) </w:t>
      </w:r>
      <w:r>
        <w:rPr>
          <w:b/>
        </w:rPr>
        <w:t>there should be no approval required of a transfer of majority interest in an entity that holds a non-controlling interest in Transredes.</w:t>
      </w:r>
    </w:p>
    <w:p>
      <w:pPr>
        <w:pStyle w:val="BodyText"/>
        <w:ind w:start="720" w:end="0"/>
        <w:jc w:val="both"/>
        <w:rPr>
          <w:b/>
        </w:rPr>
      </w:pPr>
      <w:r>
        <w:rPr>
          <w:b/>
        </w:rPr>
      </w:r>
    </w:p>
    <w:p>
      <w:pPr>
        <w:pStyle w:val="BodyText"/>
        <w:ind w:start="720" w:end="0"/>
        <w:jc w:val="both"/>
        <w:rPr/>
      </w:pPr>
      <w:r>
        <w:rPr/>
        <w:t>d.</w:t>
        <w:tab/>
        <w:t>If the Superintendent of Hydrocarbons did assert jurisdiction, an appeal could be made to SIRESE under Bolivian administrative procedures.</w:t>
      </w:r>
    </w:p>
    <w:p>
      <w:pPr>
        <w:pStyle w:val="BodyText"/>
        <w:ind w:start="720" w:end="0"/>
        <w:jc w:val="both"/>
        <w:rPr/>
      </w:pPr>
      <w:r>
        <w:rPr/>
      </w:r>
    </w:p>
    <w:p>
      <w:pPr>
        <w:pStyle w:val="BodyText"/>
        <w:ind w:start="720" w:end="0"/>
        <w:jc w:val="both"/>
        <w:rPr/>
      </w:pPr>
      <w:r>
        <w:rPr/>
        <w:t>e.</w:t>
        <w:tab/>
        <w:t xml:space="preserve">A determination that there is no jurisdiction over upstream transfers exists in the electricity sector but cannot be utilized directly as precedent to convince the Superintendent as he and the Superintendent of Electricity are not on good terms. </w:t>
      </w:r>
    </w:p>
    <w:p>
      <w:pPr>
        <w:pStyle w:val="BodyText"/>
        <w:ind w:start="720" w:end="0"/>
        <w:jc w:val="both"/>
        <w:rPr/>
      </w:pPr>
      <w:r>
        <w:rPr/>
      </w:r>
    </w:p>
    <w:p>
      <w:pPr>
        <w:pStyle w:val="BodyText"/>
        <w:ind w:start="720" w:end="0"/>
        <w:jc w:val="both"/>
        <w:rPr/>
      </w:pPr>
      <w:r>
        <w:rPr/>
        <w:t>f.</w:t>
        <w:tab/>
        <w:t xml:space="preserve">Solution for </w:t>
      </w:r>
      <w:r>
        <w:rPr>
          <w:b/>
        </w:rPr>
        <w:t>Transredes</w:t>
      </w:r>
      <w:r>
        <w:rPr/>
        <w:t xml:space="preserve"> encompasses </w:t>
      </w:r>
      <w:r>
        <w:rPr>
          <w:b/>
        </w:rPr>
        <w:t>BBPL-GTB</w:t>
      </w:r>
      <w:r>
        <w:rPr/>
        <w:t xml:space="preserve"> and </w:t>
      </w:r>
      <w:r>
        <w:rPr>
          <w:b/>
        </w:rPr>
        <w:t>Cuiaba-GasBol</w:t>
      </w:r>
      <w:r>
        <w:rPr/>
        <w:t>.</w:t>
      </w:r>
    </w:p>
    <w:p>
      <w:pPr>
        <w:pStyle w:val="BodyText"/>
        <w:jc w:val="both"/>
        <w:rPr>
          <w:b/>
        </w:rPr>
      </w:pPr>
      <w:r>
        <w:rPr>
          <w:b/>
        </w:rPr>
      </w:r>
    </w:p>
    <w:p>
      <w:pPr>
        <w:pStyle w:val="Normal"/>
        <w:ind w:firstLine="720" w:start="0" w:end="0"/>
        <w:rPr>
          <w:b/>
          <w:u w:val="single"/>
        </w:rPr>
      </w:pPr>
      <w:r>
        <w:rPr>
          <w:b/>
          <w:u w:val="single"/>
        </w:rPr>
        <w:t>Brazil</w:t>
      </w:r>
    </w:p>
    <w:p>
      <w:pPr>
        <w:pStyle w:val="Normal"/>
        <w:ind w:start="0" w:end="0"/>
        <w:rPr/>
      </w:pPr>
      <w:r>
        <w:rPr/>
      </w:r>
    </w:p>
    <w:p>
      <w:pPr>
        <w:pStyle w:val="BodyText"/>
        <w:jc w:val="both"/>
        <w:rPr/>
      </w:pPr>
      <w:r>
        <w:rPr/>
        <w:t>1.</w:t>
        <w:tab/>
      </w:r>
      <w:r>
        <w:rPr>
          <w:b/>
        </w:rPr>
        <w:t>Antitrust Approval.</w:t>
      </w:r>
    </w:p>
    <w:p>
      <w:pPr>
        <w:pStyle w:val="BodyText"/>
        <w:jc w:val="both"/>
        <w:rPr/>
      </w:pPr>
      <w:r>
        <w:rPr/>
      </w:r>
    </w:p>
    <w:p>
      <w:pPr>
        <w:pStyle w:val="BodyText"/>
        <w:ind w:start="720" w:end="0"/>
        <w:jc w:val="both"/>
        <w:rPr/>
      </w:pPr>
      <w:r>
        <w:rPr/>
        <w:t>a.</w:t>
        <w:tab/>
        <w:t xml:space="preserve">Brazilian law permits pre- and post-merger notification.  Because of lengthy time various anti-monopoly review agencies have to review notification (total of 4 months for the 3 agencies - periods can be extended by requests for additional information), pre-merger notification is never filed.  Law requires that post-merger notification be filed within </w:t>
      </w:r>
      <w:r>
        <w:rPr>
          <w:b/>
        </w:rPr>
        <w:t>15 business days of</w:t>
      </w:r>
      <w:r>
        <w:rPr/>
        <w:t xml:space="preserve"> earlier of the </w:t>
      </w:r>
      <w:r>
        <w:rPr>
          <w:b/>
          <w:i/>
        </w:rPr>
        <w:t xml:space="preserve">closing </w:t>
      </w:r>
      <w:r>
        <w:rPr/>
        <w:t xml:space="preserve">or </w:t>
      </w:r>
      <w:r>
        <w:rPr>
          <w:b/>
          <w:i/>
        </w:rPr>
        <w:t>execution of a "binding agreement."</w:t>
      </w:r>
    </w:p>
    <w:p>
      <w:pPr>
        <w:pStyle w:val="BodyText"/>
        <w:jc w:val="both"/>
        <w:rPr/>
      </w:pPr>
      <w:r>
        <w:rPr/>
      </w:r>
    </w:p>
    <w:p>
      <w:pPr>
        <w:pStyle w:val="BodyText"/>
        <w:ind w:start="720" w:end="0"/>
        <w:jc w:val="both"/>
        <w:rPr/>
      </w:pPr>
      <w:r>
        <w:rPr/>
        <w:t>b.</w:t>
        <w:tab/>
        <w:t>In Brazilian practice, Buyer assumes the entire risk of post-merger notification approval.</w:t>
      </w:r>
    </w:p>
    <w:p>
      <w:pPr>
        <w:pStyle w:val="BodyText"/>
        <w:jc w:val="both"/>
        <w:rPr/>
      </w:pPr>
      <w:r>
        <w:rPr/>
      </w:r>
    </w:p>
    <w:p>
      <w:pPr>
        <w:pStyle w:val="Normal"/>
        <w:ind w:start="0" w:end="0"/>
        <w:rPr/>
      </w:pPr>
      <w:r>
        <w:rPr/>
        <w:t>2.</w:t>
        <w:tab/>
      </w:r>
      <w:r>
        <w:rPr>
          <w:b/>
        </w:rPr>
        <w:t>Approvals for CEG and CEG-RIO.</w:t>
      </w:r>
      <w:r>
        <w:rPr/>
        <w:t xml:space="preserve">  Because Eagle owns 25.284% of </w:t>
      </w:r>
      <w:r>
        <w:rPr>
          <w:b/>
        </w:rPr>
        <w:t>CEG</w:t>
      </w:r>
      <w:r>
        <w:rPr/>
        <w:t xml:space="preserve"> and 33.75% of </w:t>
      </w:r>
      <w:r>
        <w:rPr>
          <w:b/>
        </w:rPr>
        <w:t>CEG-RIO</w:t>
      </w:r>
      <w:r>
        <w:rPr/>
        <w:t xml:space="preserve">, </w:t>
      </w:r>
      <w:r>
        <w:rPr>
          <w:b/>
        </w:rPr>
        <w:t>no ASEP approval is required</w:t>
      </w:r>
      <w:r>
        <w:rPr/>
        <w:t xml:space="preserve"> because a transfer of Eagle's interest would not be a transfer of control.  Local counsel has recommended giving </w:t>
      </w:r>
      <w:r>
        <w:rPr>
          <w:b/>
        </w:rPr>
        <w:t>notice to ASEP</w:t>
      </w:r>
      <w:r>
        <w:rPr/>
        <w:t xml:space="preserve"> prior to making transfer.</w:t>
      </w:r>
    </w:p>
    <w:p>
      <w:pPr>
        <w:pStyle w:val="Normal"/>
        <w:ind w:start="0" w:end="0"/>
        <w:rPr/>
      </w:pPr>
      <w:r>
        <w:rPr/>
      </w:r>
    </w:p>
    <w:p>
      <w:pPr>
        <w:pStyle w:val="Normal"/>
        <w:ind w:start="0" w:end="0"/>
        <w:rPr/>
      </w:pPr>
      <w:r>
        <w:rPr/>
        <w:t>3.</w:t>
        <w:tab/>
      </w:r>
      <w:r>
        <w:rPr>
          <w:b/>
        </w:rPr>
        <w:t>Approvals for BBPL-TBG and BBPL-TBS.</w:t>
      </w:r>
    </w:p>
    <w:p>
      <w:pPr>
        <w:pStyle w:val="Normal"/>
        <w:ind w:start="0" w:end="0"/>
        <w:rPr>
          <w:b/>
        </w:rPr>
      </w:pPr>
      <w:r>
        <w:rPr>
          <w:b/>
        </w:rPr>
      </w:r>
    </w:p>
    <w:p>
      <w:pPr>
        <w:pStyle w:val="Normal"/>
        <w:rPr/>
      </w:pPr>
      <w:r>
        <w:rPr/>
        <w:t>a.</w:t>
        <w:tab/>
      </w:r>
      <w:r>
        <w:rPr>
          <w:b/>
        </w:rPr>
        <w:t xml:space="preserve">TBG </w:t>
      </w:r>
      <w:r>
        <w:rPr/>
        <w:t xml:space="preserve">is a gas transportation pipeline company in which Eagle owns directly and indirectly a 7% participation.  </w:t>
      </w:r>
      <w:r>
        <w:rPr>
          <w:b/>
        </w:rPr>
        <w:t>No ANP approval is required for a transfer</w:t>
      </w:r>
      <w:r>
        <w:rPr/>
        <w:t xml:space="preserve"> by Eagle of its interest, but </w:t>
      </w:r>
      <w:r>
        <w:rPr>
          <w:b/>
        </w:rPr>
        <w:t>notice</w:t>
      </w:r>
      <w:r>
        <w:rPr/>
        <w:t xml:space="preserve"> prior to the transfer should be given </w:t>
      </w:r>
      <w:r>
        <w:rPr>
          <w:b/>
        </w:rPr>
        <w:t>to ANP</w:t>
      </w:r>
      <w:r>
        <w:rPr/>
        <w:t>.</w:t>
      </w:r>
    </w:p>
    <w:p>
      <w:pPr>
        <w:pStyle w:val="BodyText"/>
        <w:jc w:val="both"/>
        <w:rPr>
          <w:b/>
        </w:rPr>
      </w:pPr>
      <w:r>
        <w:rPr>
          <w:b/>
        </w:rPr>
      </w:r>
    </w:p>
    <w:p>
      <w:pPr>
        <w:pStyle w:val="BodyText"/>
        <w:ind w:start="720" w:end="0"/>
        <w:jc w:val="both"/>
        <w:rPr/>
      </w:pPr>
      <w:r>
        <w:rPr/>
        <w:t>b.</w:t>
        <w:tab/>
      </w:r>
      <w:r>
        <w:rPr>
          <w:b/>
        </w:rPr>
        <w:t>TBS</w:t>
      </w:r>
      <w:r>
        <w:rPr/>
        <w:t xml:space="preserve"> is a gas marketing company in which Eagle holds indirectly a 72.5% interest.  </w:t>
      </w:r>
      <w:r>
        <w:rPr>
          <w:b/>
        </w:rPr>
        <w:t>Transfer of Eagle's interest in Eagle requires no ANP approval.</w:t>
      </w:r>
    </w:p>
    <w:p>
      <w:pPr>
        <w:pStyle w:val="BodyText"/>
        <w:jc w:val="both"/>
        <w:rPr>
          <w:b/>
        </w:rPr>
      </w:pPr>
      <w:r>
        <w:rPr>
          <w:b/>
        </w:rPr>
      </w:r>
    </w:p>
    <w:p>
      <w:pPr>
        <w:pStyle w:val="BodyText"/>
        <w:jc w:val="both"/>
        <w:rPr/>
      </w:pPr>
      <w:r>
        <w:rPr/>
        <w:t>4.</w:t>
        <w:tab/>
      </w:r>
      <w:r>
        <w:rPr>
          <w:b/>
        </w:rPr>
        <w:t>Approvals for CUIABA-EPE.</w:t>
      </w:r>
      <w:r>
        <w:rPr/>
        <w:t xml:space="preserve">  </w:t>
      </w:r>
      <w:r>
        <w:rPr>
          <w:b/>
        </w:rPr>
        <w:t xml:space="preserve">ANEEL and FURNAS approval required for transfer to "C" </w:t>
      </w:r>
      <w:r>
        <w:rPr/>
        <w:t>(change of control).  Transferee must maintain bidding requirements.  Control in Brazil is defined as voting control only.</w:t>
      </w:r>
    </w:p>
    <w:p>
      <w:pPr>
        <w:pStyle w:val="BodyText"/>
        <w:jc w:val="both"/>
        <w:rPr/>
      </w:pPr>
      <w:r>
        <w:rPr/>
      </w:r>
    </w:p>
    <w:p>
      <w:pPr>
        <w:pStyle w:val="BodyText"/>
        <w:jc w:val="both"/>
        <w:rPr/>
      </w:pPr>
      <w:r>
        <w:rPr/>
        <w:t>5.</w:t>
        <w:tab/>
      </w:r>
      <w:r>
        <w:rPr>
          <w:b/>
        </w:rPr>
        <w:t>Approvals for CUIABA-GASMAT.</w:t>
      </w:r>
      <w:r>
        <w:rPr/>
        <w:t xml:space="preserve">  </w:t>
      </w:r>
      <w:r>
        <w:rPr>
          <w:b/>
        </w:rPr>
        <w:t>ANP approval is not required</w:t>
      </w:r>
      <w:r>
        <w:rPr/>
        <w:t xml:space="preserve"> for transfer into A or B (or C if partner/lender issues can be resolved).  Eagle should </w:t>
      </w:r>
      <w:r>
        <w:rPr>
          <w:b/>
        </w:rPr>
        <w:t>notify ANP</w:t>
      </w:r>
      <w:r>
        <w:rPr/>
        <w:t xml:space="preserve"> prior to transfer.</w:t>
      </w:r>
    </w:p>
    <w:p>
      <w:pPr>
        <w:pStyle w:val="BodyText"/>
        <w:jc w:val="both"/>
        <w:rPr/>
      </w:pPr>
      <w:r>
        <w:rPr/>
      </w:r>
    </w:p>
    <w:p>
      <w:pPr>
        <w:pStyle w:val="BodyText"/>
        <w:jc w:val="both"/>
        <w:rPr/>
      </w:pPr>
      <w:r>
        <w:rPr/>
        <w:t>6.</w:t>
        <w:tab/>
      </w:r>
      <w:r>
        <w:rPr>
          <w:b/>
        </w:rPr>
        <w:t>Approvals for GASPART.</w:t>
      </w:r>
      <w:r>
        <w:rPr/>
        <w:t xml:space="preserve">  Transfer of Eagle's interest to A, B or C at level higher than Global Petroleum and Gas Ltd. </w:t>
      </w:r>
      <w:r>
        <w:rPr>
          <w:b/>
        </w:rPr>
        <w:t>does not trigger right of first refusal</w:t>
      </w:r>
      <w:r>
        <w:rPr/>
        <w:t xml:space="preserve"> of Petrobras and State shareholders provided it is effected </w:t>
      </w:r>
      <w:r>
        <w:rPr>
          <w:b/>
        </w:rPr>
        <w:t>as part of a larger transaction</w:t>
      </w:r>
      <w:r>
        <w:rPr/>
        <w:t>, i.e.,  the transfer at the higher level is not designed to deprive Petrobras and the State shareholders of their rights of first refusal.</w:t>
      </w:r>
    </w:p>
    <w:p>
      <w:pPr>
        <w:pStyle w:val="BodyText"/>
        <w:jc w:val="both"/>
        <w:rPr/>
      </w:pPr>
      <w:r>
        <w:rPr/>
      </w:r>
    </w:p>
    <w:p>
      <w:pPr>
        <w:pStyle w:val="BodyText"/>
        <w:jc w:val="both"/>
        <w:rPr/>
      </w:pPr>
      <w:r>
        <w:rPr/>
        <w:t>7.</w:t>
        <w:tab/>
      </w:r>
      <w:r>
        <w:rPr>
          <w:b/>
        </w:rPr>
        <w:t>Approvals for Elektro.</w:t>
      </w:r>
      <w:r>
        <w:rPr/>
        <w:t xml:space="preserve">  </w:t>
      </w:r>
      <w:r>
        <w:rPr>
          <w:b/>
        </w:rPr>
        <w:t>ANEEL approval required for transfer</w:t>
      </w:r>
      <w:r>
        <w:rPr/>
        <w:t>.</w:t>
      </w:r>
    </w:p>
    <w:p>
      <w:pPr>
        <w:pStyle w:val="BodyText"/>
        <w:jc w:val="both"/>
        <w:rPr/>
      </w:pPr>
      <w:r>
        <w:rPr/>
      </w:r>
    </w:p>
    <w:p>
      <w:pPr>
        <w:pStyle w:val="BodyText"/>
        <w:jc w:val="both"/>
        <w:rPr/>
      </w:pPr>
      <w:r>
        <w:rPr/>
        <w:tab/>
      </w:r>
      <w:r>
        <w:rPr>
          <w:b/>
          <w:u w:val="single"/>
        </w:rPr>
        <w:t>Colombia</w:t>
      </w:r>
    </w:p>
    <w:p>
      <w:pPr>
        <w:pStyle w:val="BodyText"/>
        <w:jc w:val="both"/>
        <w:rPr/>
      </w:pPr>
      <w:r>
        <w:rPr/>
      </w:r>
    </w:p>
    <w:p>
      <w:pPr>
        <w:pStyle w:val="BodyText"/>
        <w:jc w:val="both"/>
        <w:rPr/>
      </w:pPr>
      <w:r>
        <w:rPr/>
        <w:t>1.</w:t>
        <w:tab/>
      </w:r>
      <w:r>
        <w:rPr>
          <w:b/>
        </w:rPr>
        <w:t>Antitrust Approval.</w:t>
      </w:r>
      <w:r>
        <w:rPr/>
        <w:t xml:space="preserve">  In the event of </w:t>
      </w:r>
      <w:r>
        <w:rPr>
          <w:b/>
        </w:rPr>
        <w:t>a transfer to "C"</w:t>
      </w:r>
      <w:r>
        <w:rPr/>
        <w:t xml:space="preserve"> (a change of control), assuming the thresholds are met, </w:t>
      </w:r>
      <w:r>
        <w:rPr>
          <w:b/>
        </w:rPr>
        <w:t xml:space="preserve">prior approval of </w:t>
      </w:r>
      <w:r>
        <w:rPr>
          <w:b/>
          <w:i/>
        </w:rPr>
        <w:t>Superintendencia de Industria y Comercio</w:t>
      </w:r>
      <w:r>
        <w:rPr>
          <w:b/>
        </w:rPr>
        <w:t xml:space="preserve"> is required.</w:t>
      </w:r>
    </w:p>
    <w:p>
      <w:pPr>
        <w:pStyle w:val="BodyText"/>
        <w:jc w:val="both"/>
        <w:rPr>
          <w:b/>
        </w:rPr>
      </w:pPr>
      <w:r>
        <w:rPr>
          <w:b/>
        </w:rPr>
      </w:r>
    </w:p>
    <w:p>
      <w:pPr>
        <w:pStyle w:val="BodyText"/>
        <w:jc w:val="both"/>
        <w:rPr/>
      </w:pPr>
      <w:r>
        <w:rPr/>
        <w:t>2.</w:t>
        <w:tab/>
      </w:r>
      <w:r>
        <w:rPr>
          <w:b/>
        </w:rPr>
        <w:t>Approvals for Promigas.</w:t>
      </w:r>
      <w:r>
        <w:rPr/>
        <w:t xml:space="preserve">  There are </w:t>
      </w:r>
      <w:r>
        <w:rPr>
          <w:b/>
        </w:rPr>
        <w:t>no regulatory approvals</w:t>
      </w:r>
      <w:r>
        <w:rPr/>
        <w:t xml:space="preserve"> </w:t>
      </w:r>
      <w:r>
        <w:rPr>
          <w:b/>
        </w:rPr>
        <w:t>required</w:t>
      </w:r>
      <w:r>
        <w:rPr/>
        <w:t xml:space="preserve"> for the transfer by Eagle of its interest in </w:t>
      </w:r>
      <w:r>
        <w:rPr>
          <w:b/>
        </w:rPr>
        <w:t>Promigas</w:t>
      </w:r>
      <w:r>
        <w:rPr/>
        <w:t xml:space="preserve"> and as long as the transfer is </w:t>
      </w:r>
      <w:r>
        <w:rPr>
          <w:b/>
        </w:rPr>
        <w:t>part of larger transaction</w:t>
      </w:r>
      <w:r>
        <w:rPr/>
        <w:t xml:space="preserve">, i.e., the transfer is not a direct transfer of interest in Promigas, it </w:t>
      </w:r>
      <w:r>
        <w:rPr>
          <w:b/>
        </w:rPr>
        <w:t>would not be necessary to call for a tender offer</w:t>
      </w:r>
      <w:r>
        <w:rPr/>
        <w:t xml:space="preserve"> for the remaining outstanding shares of Promigas that Eagle does not own directly or indirectly.</w:t>
      </w:r>
    </w:p>
    <w:p>
      <w:pPr>
        <w:pStyle w:val="BodyText"/>
        <w:jc w:val="both"/>
        <w:rPr/>
      </w:pPr>
      <w:r>
        <w:rPr/>
      </w:r>
    </w:p>
    <w:p>
      <w:pPr>
        <w:pStyle w:val="BodyText"/>
        <w:jc w:val="both"/>
        <w:rPr/>
      </w:pPr>
      <w:r>
        <w:rPr/>
        <w:t>3.</w:t>
        <w:tab/>
      </w:r>
      <w:r>
        <w:rPr>
          <w:b/>
        </w:rPr>
        <w:t>Approvals for Centragas.</w:t>
      </w:r>
      <w:r>
        <w:rPr/>
        <w:t xml:space="preserve">  </w:t>
      </w:r>
      <w:r>
        <w:rPr>
          <w:b/>
        </w:rPr>
        <w:t>Ecogas approval required for transfer to "C."  Can be transferred to "B" w/o Ecogas approval.</w:t>
      </w:r>
      <w:r>
        <w:rPr/>
        <w:t xml:space="preserve">  To avoid need for Ecogas approval Eagle must </w:t>
      </w:r>
      <w:r>
        <w:rPr>
          <w:b/>
        </w:rPr>
        <w:t>maintain</w:t>
      </w:r>
      <w:r>
        <w:rPr/>
        <w:t xml:space="preserve"> directly or indirectly a </w:t>
      </w:r>
      <w:r>
        <w:rPr>
          <w:b/>
        </w:rPr>
        <w:t>51% "social interest" (voting and economic interest) in EDC</w:t>
      </w:r>
      <w:r>
        <w:rPr/>
        <w:t xml:space="preserve"> and Eagle Corp. (all the way to the top) must maintain directly or indirectly a </w:t>
      </w:r>
      <w:r>
        <w:rPr>
          <w:b/>
        </w:rPr>
        <w:t>25% interest in</w:t>
      </w:r>
      <w:r>
        <w:rPr/>
        <w:t xml:space="preserve"> </w:t>
      </w:r>
      <w:r>
        <w:rPr>
          <w:b/>
        </w:rPr>
        <w:t>Centragas</w:t>
      </w:r>
      <w:r>
        <w:rPr/>
        <w:t>.</w:t>
      </w:r>
    </w:p>
    <w:p>
      <w:pPr>
        <w:pStyle w:val="BodyText"/>
        <w:jc w:val="both"/>
        <w:rPr/>
      </w:pPr>
      <w:r>
        <w:rPr/>
      </w:r>
    </w:p>
    <w:p>
      <w:pPr>
        <w:pStyle w:val="BodyText"/>
        <w:jc w:val="both"/>
        <w:rPr/>
      </w:pPr>
      <w:r>
        <w:rPr/>
        <w:tab/>
      </w:r>
      <w:r>
        <w:rPr>
          <w:b/>
          <w:u w:val="single"/>
        </w:rPr>
        <w:t>Dominican Republic</w:t>
      </w:r>
    </w:p>
    <w:p>
      <w:pPr>
        <w:pStyle w:val="BodyText"/>
        <w:jc w:val="both"/>
        <w:rPr/>
      </w:pPr>
      <w:r>
        <w:rPr/>
      </w:r>
    </w:p>
    <w:p>
      <w:pPr>
        <w:pStyle w:val="BodyText"/>
        <w:jc w:val="both"/>
        <w:rPr/>
      </w:pPr>
      <w:r>
        <w:rPr/>
        <w:tab/>
        <w:t xml:space="preserve">No regulatory issues for Smith/Enron Cogeneration Limited Partnership </w:t>
      </w:r>
      <w:r>
        <w:rPr>
          <w:b/>
        </w:rPr>
        <w:t>(SECLP)</w:t>
      </w:r>
      <w:r>
        <w:rPr/>
        <w:t>.  Haina sold.</w:t>
      </w:r>
    </w:p>
    <w:p>
      <w:pPr>
        <w:pStyle w:val="BodyText"/>
        <w:jc w:val="both"/>
        <w:rPr/>
      </w:pPr>
      <w:r>
        <w:rPr/>
      </w:r>
    </w:p>
    <w:p>
      <w:pPr>
        <w:pStyle w:val="BodyText"/>
        <w:jc w:val="both"/>
        <w:rPr/>
      </w:pPr>
      <w:r>
        <w:rPr/>
        <w:tab/>
      </w:r>
      <w:r>
        <w:rPr>
          <w:b/>
          <w:u w:val="single"/>
        </w:rPr>
        <w:t>Guatemala</w:t>
      </w:r>
    </w:p>
    <w:p>
      <w:pPr>
        <w:pStyle w:val="BodyText"/>
        <w:jc w:val="both"/>
        <w:rPr/>
      </w:pPr>
      <w:r>
        <w:rPr/>
      </w:r>
    </w:p>
    <w:p>
      <w:pPr>
        <w:pStyle w:val="BodyText"/>
        <w:jc w:val="both"/>
        <w:rPr/>
      </w:pPr>
      <w:r>
        <w:rPr/>
        <w:tab/>
      </w:r>
      <w:r>
        <w:rPr>
          <w:b/>
        </w:rPr>
        <w:t>No regulatory issues for PQPC/PQPL</w:t>
      </w:r>
      <w:r>
        <w:rPr/>
        <w:t>.</w:t>
      </w:r>
    </w:p>
    <w:p>
      <w:pPr>
        <w:pStyle w:val="BodyText"/>
        <w:jc w:val="both"/>
        <w:rPr/>
      </w:pPr>
      <w:r>
        <w:rPr/>
      </w:r>
    </w:p>
    <w:p>
      <w:pPr>
        <w:pStyle w:val="BodyText"/>
        <w:jc w:val="both"/>
        <w:rPr/>
      </w:pPr>
      <w:r>
        <w:rPr/>
        <w:tab/>
      </w:r>
      <w:r>
        <w:rPr>
          <w:b/>
          <w:u w:val="single"/>
        </w:rPr>
        <w:t>India</w:t>
      </w:r>
    </w:p>
    <w:p>
      <w:pPr>
        <w:pStyle w:val="BodyText"/>
        <w:jc w:val="both"/>
        <w:rPr/>
      </w:pPr>
      <w:r>
        <w:rPr/>
      </w:r>
    </w:p>
    <w:p>
      <w:pPr>
        <w:pStyle w:val="BodyText"/>
        <w:jc w:val="both"/>
        <w:rPr/>
      </w:pPr>
      <w:r>
        <w:rPr/>
        <w:tab/>
      </w:r>
      <w:r>
        <w:rPr>
          <w:b/>
        </w:rPr>
        <w:t xml:space="preserve">Dhabol Power Company. </w:t>
      </w:r>
      <w:r>
        <w:rPr/>
        <w:t xml:space="preserve"> Per Eagle internal legal counsel, Foreign Investments Promotion Board ("FIPB") and Reserve Bank of India ("RBI") approvals required for investment in India by buyer if transfer made at DPC level.  </w:t>
      </w:r>
      <w:r>
        <w:rPr>
          <w:b/>
        </w:rPr>
        <w:t>No approval required if transfer at level of Enron Mauritius.</w:t>
      </w:r>
    </w:p>
    <w:p>
      <w:pPr>
        <w:pStyle w:val="BodyText"/>
        <w:jc w:val="both"/>
        <w:rPr>
          <w:b/>
        </w:rPr>
      </w:pPr>
      <w:r>
        <w:rPr>
          <w:b/>
        </w:rPr>
      </w:r>
    </w:p>
    <w:p>
      <w:pPr>
        <w:pStyle w:val="BodyText"/>
        <w:jc w:val="both"/>
        <w:rPr/>
      </w:pPr>
      <w:r>
        <w:rPr/>
        <w:tab/>
      </w:r>
      <w:r>
        <w:rPr>
          <w:b/>
          <w:u w:val="single"/>
        </w:rPr>
        <w:t>Jamaica</w:t>
      </w:r>
    </w:p>
    <w:p>
      <w:pPr>
        <w:pStyle w:val="BodyText"/>
        <w:jc w:val="both"/>
        <w:rPr/>
      </w:pPr>
      <w:r>
        <w:rPr/>
      </w:r>
    </w:p>
    <w:p>
      <w:pPr>
        <w:pStyle w:val="BodyText"/>
        <w:jc w:val="both"/>
        <w:rPr/>
      </w:pPr>
      <w:r>
        <w:rPr/>
        <w:tab/>
      </w:r>
      <w:r>
        <w:rPr>
          <w:b/>
        </w:rPr>
        <w:t>No regulatory issues for Industrial Gases Limited</w:t>
      </w:r>
      <w:r>
        <w:rPr/>
        <w:t>.</w:t>
      </w:r>
    </w:p>
    <w:p>
      <w:pPr>
        <w:pStyle w:val="BodyText"/>
        <w:jc w:val="both"/>
        <w:rPr/>
      </w:pPr>
      <w:r>
        <w:rPr/>
      </w:r>
    </w:p>
    <w:p>
      <w:pPr>
        <w:pStyle w:val="BodyText"/>
        <w:jc w:val="both"/>
        <w:rPr/>
      </w:pPr>
      <w:r>
        <w:rPr/>
        <w:tab/>
      </w:r>
      <w:r>
        <w:rPr>
          <w:b/>
          <w:u w:val="single"/>
        </w:rPr>
        <w:t>South Korea</w:t>
      </w:r>
    </w:p>
    <w:p>
      <w:pPr>
        <w:pStyle w:val="BodyText"/>
        <w:jc w:val="both"/>
        <w:rPr/>
      </w:pPr>
      <w:r>
        <w:rPr/>
      </w:r>
    </w:p>
    <w:p>
      <w:pPr>
        <w:pStyle w:val="BodyText"/>
        <w:jc w:val="both"/>
        <w:rPr/>
      </w:pPr>
      <w:r>
        <w:rPr/>
        <w:t>1.</w:t>
        <w:tab/>
      </w:r>
      <w:r>
        <w:rPr>
          <w:b/>
        </w:rPr>
        <w:t xml:space="preserve">Antitrust Approval.  </w:t>
      </w:r>
      <w:r>
        <w:rPr/>
        <w:t>Eagle internal legal review indicates no antitrust approval required.  To be confirmed 08/01/00.</w:t>
      </w:r>
    </w:p>
    <w:p>
      <w:pPr>
        <w:pStyle w:val="BodyText"/>
        <w:spacing w:before="240" w:after="0"/>
        <w:jc w:val="both"/>
        <w:rPr/>
      </w:pPr>
      <w:r>
        <w:rPr/>
        <w:t>2.</w:t>
        <w:tab/>
      </w:r>
      <w:r>
        <w:rPr>
          <w:b/>
        </w:rPr>
        <w:t>Approvals for SK-Enron.</w:t>
      </w:r>
      <w:r>
        <w:rPr/>
        <w:t xml:space="preserve">  Sale of Eagle's interest in Enron International Korea LLC (shareholder of </w:t>
      </w:r>
      <w:r>
        <w:rPr>
          <w:b/>
        </w:rPr>
        <w:t>S-K Enron</w:t>
      </w:r>
      <w:r>
        <w:rPr/>
        <w:t>) or its interest at a higher level obviates requirement to report change of control pursuant to Korean Foreign Investment Promotion Act as only a foreign investment in South Korea must be reported.</w:t>
      </w:r>
    </w:p>
    <w:p>
      <w:pPr>
        <w:pStyle w:val="BodyText"/>
        <w:jc w:val="both"/>
        <w:rPr/>
      </w:pPr>
      <w:r>
        <w:rPr/>
      </w:r>
    </w:p>
    <w:p>
      <w:pPr>
        <w:pStyle w:val="BodyText"/>
        <w:jc w:val="both"/>
        <w:rPr/>
      </w:pPr>
      <w:r>
        <w:rPr/>
        <w:tab/>
      </w:r>
      <w:r>
        <w:rPr>
          <w:b/>
          <w:u w:val="single"/>
        </w:rPr>
        <w:t>Nicaragua</w:t>
      </w:r>
    </w:p>
    <w:p>
      <w:pPr>
        <w:pStyle w:val="BodyText"/>
        <w:jc w:val="both"/>
        <w:rPr/>
      </w:pPr>
      <w:r>
        <w:rPr/>
      </w:r>
    </w:p>
    <w:p>
      <w:pPr>
        <w:pStyle w:val="BodyText"/>
        <w:jc w:val="both"/>
        <w:rPr/>
      </w:pPr>
      <w:r>
        <w:rPr/>
        <w:tab/>
      </w:r>
      <w:r>
        <w:rPr>
          <w:b/>
        </w:rPr>
        <w:t>No Nicaraguan regulatory issues for Corinto</w:t>
      </w:r>
      <w:r>
        <w:rPr/>
        <w:t xml:space="preserve">.  </w:t>
      </w:r>
      <w:r>
        <w:rPr>
          <w:b/>
        </w:rPr>
        <w:t>No MARAD approval</w:t>
      </w:r>
      <w:r>
        <w:rPr/>
        <w:t xml:space="preserve"> required because neither the Title 11 nor the vessel is being sold.  Eagle must </w:t>
      </w:r>
      <w:r>
        <w:rPr>
          <w:b/>
        </w:rPr>
        <w:t>maintain</w:t>
      </w:r>
      <w:r>
        <w:rPr/>
        <w:t xml:space="preserve">, however, it </w:t>
      </w:r>
      <w:r>
        <w:rPr>
          <w:b/>
        </w:rPr>
        <w:t>guarantee of MARAD financing</w:t>
      </w:r>
      <w:r>
        <w:rPr/>
        <w:t>.</w:t>
      </w:r>
    </w:p>
    <w:p>
      <w:pPr>
        <w:pStyle w:val="BodyText"/>
        <w:jc w:val="both"/>
        <w:rPr/>
      </w:pPr>
      <w:r>
        <w:rPr/>
      </w:r>
    </w:p>
    <w:p>
      <w:pPr>
        <w:pStyle w:val="BodyText"/>
        <w:jc w:val="both"/>
        <w:rPr/>
      </w:pPr>
      <w:r>
        <w:rPr/>
        <w:tab/>
      </w:r>
      <w:r>
        <w:rPr>
          <w:b/>
          <w:u w:val="single"/>
        </w:rPr>
        <w:t>Panama</w:t>
      </w:r>
    </w:p>
    <w:p>
      <w:pPr>
        <w:pStyle w:val="BodyText"/>
        <w:jc w:val="both"/>
        <w:rPr/>
      </w:pPr>
      <w:r>
        <w:rPr/>
      </w:r>
    </w:p>
    <w:p>
      <w:pPr>
        <w:pStyle w:val="BodyText"/>
        <w:jc w:val="both"/>
        <w:rPr/>
      </w:pPr>
      <w:r>
        <w:rPr/>
        <w:t>1.</w:t>
        <w:tab/>
      </w:r>
      <w:r>
        <w:rPr>
          <w:b/>
        </w:rPr>
        <w:t>Antitrust Approval.</w:t>
      </w:r>
      <w:r>
        <w:rPr/>
        <w:t xml:space="preserve">  Per Eduardo De Alba, local Eagle counsel, the </w:t>
      </w:r>
      <w:r>
        <w:rPr>
          <w:i/>
        </w:rPr>
        <w:t>Comisión de Libre Competencia y Asuntos del Consumidor</w:t>
      </w:r>
      <w:r>
        <w:rPr/>
        <w:t xml:space="preserve">, which has general antitrust jurisdiction would not have jurisdiction in the case of </w:t>
      </w:r>
      <w:r>
        <w:rPr>
          <w:b/>
        </w:rPr>
        <w:t>EGEMINSA (BLM)</w:t>
      </w:r>
      <w:r>
        <w:rPr/>
        <w:t xml:space="preserve">.  The </w:t>
      </w:r>
      <w:r>
        <w:rPr>
          <w:i/>
        </w:rPr>
        <w:t>Ente Regulador de los Servicios P</w:t>
      </w:r>
      <w:r>
        <w:rPr>
          <w:i/>
          <w:lang w:val="es-MX"/>
        </w:rPr>
        <w:t>úblicos</w:t>
      </w:r>
      <w:r>
        <w:rPr/>
        <w:t xml:space="preserve"> can review a transfer of control for undue concentration of or monopolistic exercise of economic power and potential abuse of a dominant position.  According to local counsel the </w:t>
      </w:r>
      <w:r>
        <w:rPr>
          <w:i/>
        </w:rPr>
        <w:t>Ente Regulador</w:t>
      </w:r>
      <w:r>
        <w:rPr/>
        <w:t xml:space="preserve"> has the only jurisdiction with respect to concentration issues, though approval of the contemplated transaction on these grounds would not be a precondition to a valid acquisition of all or part of Eagle's interest.  As noted below, however, the </w:t>
      </w:r>
      <w:r>
        <w:rPr>
          <w:i/>
        </w:rPr>
        <w:t>Ente Regulador</w:t>
      </w:r>
      <w:r>
        <w:rPr/>
        <w:t xml:space="preserve"> must approve a transfer of control.  [Presumably approval of the </w:t>
      </w:r>
      <w:r>
        <w:rPr>
          <w:i/>
        </w:rPr>
        <w:t xml:space="preserve">Ente Regulador </w:t>
      </w:r>
      <w:r>
        <w:rPr/>
        <w:t>of a transfer of control also will constitute approval for purposes of concentration/abuse of dominant position.]</w:t>
      </w:r>
    </w:p>
    <w:p>
      <w:pPr>
        <w:pStyle w:val="BodyText"/>
        <w:jc w:val="both"/>
        <w:rPr/>
      </w:pPr>
      <w:r>
        <w:rPr/>
      </w:r>
    </w:p>
    <w:p>
      <w:pPr>
        <w:pStyle w:val="BodyText"/>
        <w:jc w:val="both"/>
        <w:rPr/>
      </w:pPr>
      <w:r>
        <w:rPr/>
        <w:t>2.</w:t>
        <w:tab/>
      </w:r>
      <w:r>
        <w:rPr>
          <w:b/>
        </w:rPr>
        <w:t>Approval for EGEMINSA (BLM).</w:t>
      </w:r>
      <w:r>
        <w:rPr/>
        <w:t xml:space="preserve">  Enron Caribe III Ltd.must maintain a 25% interest in EIPSA and Caribe III directly or indirectly must maintain control of EGEMINSA.  </w:t>
      </w:r>
      <w:r>
        <w:rPr>
          <w:b/>
        </w:rPr>
        <w:t xml:space="preserve">Transfer by Enron Caribe III of &gt;75% interest in EIPSA or transfer by EIPSA of control in EGEMINSA requires approval of </w:t>
      </w:r>
      <w:r>
        <w:rPr>
          <w:b/>
          <w:i/>
        </w:rPr>
        <w:t>Ente Regulador</w:t>
      </w:r>
      <w:r>
        <w:rPr>
          <w:b/>
        </w:rPr>
        <w:t>.</w:t>
      </w:r>
    </w:p>
    <w:p>
      <w:pPr>
        <w:pStyle w:val="BodyText"/>
        <w:jc w:val="both"/>
        <w:rPr>
          <w:b/>
        </w:rPr>
      </w:pPr>
      <w:r>
        <w:rPr>
          <w:b/>
        </w:rPr>
      </w:r>
    </w:p>
    <w:p>
      <w:pPr>
        <w:pStyle w:val="BodyText"/>
        <w:jc w:val="both"/>
        <w:rPr/>
      </w:pPr>
      <w:r>
        <w:rPr/>
        <w:tab/>
      </w:r>
      <w:r>
        <w:rPr>
          <w:b/>
          <w:u w:val="single"/>
        </w:rPr>
        <w:t>Puerto Rico</w:t>
      </w:r>
    </w:p>
    <w:p>
      <w:pPr>
        <w:pStyle w:val="BodyText"/>
        <w:jc w:val="both"/>
        <w:rPr/>
      </w:pPr>
      <w:r>
        <w:rPr/>
      </w:r>
    </w:p>
    <w:p>
      <w:pPr>
        <w:pStyle w:val="BodyText"/>
        <w:jc w:val="both"/>
        <w:rPr/>
      </w:pPr>
      <w:r>
        <w:rPr/>
        <w:t>1.</w:t>
      </w:r>
      <w:r>
        <w:rPr>
          <w:b/>
        </w:rPr>
        <w:tab/>
        <w:t>Antitrust Approval.</w:t>
      </w:r>
      <w:r>
        <w:rPr/>
        <w:t xml:space="preserve">  United States antitrust laws apply to Puerto Rico.  Puerto Rico has its own Anti-Trust Act ("Act").  There is no equivalent Hart Scott Rodino filing requirement but Act provides a voluntary ruling request procedure.  General practice in PR is for parties to a "substantial transaction" (not defined in local counsel's letter) submit to PR Office of Monopolistic Affairs ("OMA") a copy of their HSR filing disclosing all material facts of the intended transaction.  Transactions involving mergers and acquisitions of existing operating public service companies require Public Service Commission ("PSC") to obtain prior opinion of Secretary of Justice of Puerto Rico.  A transfer of less than a 50% interest in a PR entity should not require notification to OMA, per Ramon Dapena, Eagle local PR counsel.</w:t>
      </w:r>
    </w:p>
    <w:p>
      <w:pPr>
        <w:pStyle w:val="BodyText"/>
        <w:jc w:val="both"/>
        <w:rPr/>
      </w:pPr>
      <w:r>
        <w:rPr/>
      </w:r>
    </w:p>
    <w:p>
      <w:pPr>
        <w:pStyle w:val="BodyText"/>
        <w:jc w:val="both"/>
        <w:rPr/>
      </w:pPr>
      <w:r>
        <w:rPr/>
        <w:t>2.</w:t>
        <w:tab/>
      </w:r>
      <w:r>
        <w:rPr>
          <w:b/>
        </w:rPr>
        <w:t>Approval for Ecoelectrica.</w:t>
      </w:r>
      <w:r>
        <w:rPr/>
        <w:t xml:space="preserve">  </w:t>
      </w:r>
      <w:r>
        <w:rPr>
          <w:b/>
        </w:rPr>
        <w:t>No PSC approval required</w:t>
      </w:r>
      <w:r>
        <w:rPr/>
        <w:t>.</w:t>
      </w:r>
    </w:p>
    <w:p>
      <w:pPr>
        <w:pStyle w:val="BodyText"/>
        <w:jc w:val="both"/>
        <w:rPr/>
      </w:pPr>
      <w:r>
        <w:rPr/>
      </w:r>
    </w:p>
    <w:p>
      <w:pPr>
        <w:pStyle w:val="BodyText"/>
        <w:ind w:start="720" w:end="0"/>
        <w:jc w:val="both"/>
        <w:rPr/>
      </w:pPr>
      <w:r>
        <w:rPr/>
        <w:t>a.</w:t>
        <w:tab/>
      </w:r>
      <w:r>
        <w:rPr>
          <w:b/>
        </w:rPr>
        <w:t xml:space="preserve">Transfer to "C" (change of control) requires approval of Secretary of State of PR to maintain Industrial Tax Exemption </w:t>
      </w:r>
      <w:r>
        <w:rPr/>
        <w:t xml:space="preserve">in good standing.  Absent change of control no prior approval of Secretary of State of PR but must </w:t>
      </w:r>
      <w:r>
        <w:rPr>
          <w:b/>
        </w:rPr>
        <w:t>notify within 30 days of transfer of minority interest</w:t>
      </w:r>
      <w:r>
        <w:rPr/>
        <w:t xml:space="preserve"> the Director of Tax Exemption and provide copy to Treasurer of PR.</w:t>
      </w:r>
    </w:p>
    <w:p>
      <w:pPr>
        <w:pStyle w:val="BodyText"/>
        <w:ind w:firstLine="720" w:end="0"/>
        <w:jc w:val="both"/>
        <w:rPr/>
      </w:pPr>
      <w:r>
        <w:rPr/>
      </w:r>
    </w:p>
    <w:p>
      <w:pPr>
        <w:pStyle w:val="BodyText"/>
        <w:ind w:start="720" w:end="0"/>
        <w:jc w:val="both"/>
        <w:rPr/>
      </w:pPr>
      <w:r>
        <w:rPr/>
        <w:t>b.</w:t>
        <w:tab/>
        <w:t xml:space="preserve">Ecoelectrica owns a gas pipeline that runs to a ProCaribe facility.  The PSC is a "state agency" and as such may have certain regulatory jurisdiction over the pipeline as an administrator of a facility to which the Department of Transportation (US) has provided federal funds.  </w:t>
      </w:r>
      <w:r>
        <w:rPr>
          <w:b/>
        </w:rPr>
        <w:t>PSC would not have approval over a transfer</w:t>
      </w:r>
      <w:r>
        <w:rPr/>
        <w:t xml:space="preserve"> but merely would have ongoing supervisory authority to ensure compliance with construction and safety standards.</w:t>
      </w:r>
    </w:p>
    <w:p>
      <w:pPr>
        <w:pStyle w:val="BodyText"/>
        <w:jc w:val="both"/>
        <w:rPr/>
      </w:pPr>
      <w:r>
        <w:rPr/>
      </w:r>
    </w:p>
    <w:p>
      <w:pPr>
        <w:pStyle w:val="BodyText"/>
        <w:jc w:val="both"/>
        <w:rPr/>
      </w:pPr>
      <w:r>
        <w:rPr/>
        <w:t>3.</w:t>
        <w:tab/>
      </w:r>
      <w:r>
        <w:rPr>
          <w:b/>
        </w:rPr>
        <w:t>Approval for ProCaribe.</w:t>
      </w:r>
      <w:r>
        <w:rPr/>
        <w:t xml:space="preserve">  </w:t>
      </w:r>
      <w:r>
        <w:rPr>
          <w:b/>
        </w:rPr>
        <w:t>PSC approval required for change of control</w:t>
      </w:r>
      <w:r>
        <w:rPr/>
        <w:t xml:space="preserve">.  No PSC approval required for transfer of minority interest.  </w:t>
      </w:r>
      <w:r>
        <w:rPr>
          <w:b/>
        </w:rPr>
        <w:t xml:space="preserve">Transfer of interest in Protane or at higher </w:t>
      </w:r>
      <w:r>
        <w:rPr/>
        <w:t xml:space="preserve">level </w:t>
      </w:r>
      <w:r>
        <w:rPr>
          <w:b/>
        </w:rPr>
        <w:t>will not require any approval of Puerto Rico Ports Authority under the Tallaboa Pier Use and Maintenance Agreement.</w:t>
      </w:r>
    </w:p>
    <w:p>
      <w:pPr>
        <w:pStyle w:val="BodyText"/>
        <w:jc w:val="both"/>
        <w:rPr>
          <w:b/>
        </w:rPr>
      </w:pPr>
      <w:r>
        <w:rPr>
          <w:b/>
        </w:rPr>
      </w:r>
    </w:p>
    <w:p>
      <w:pPr>
        <w:pStyle w:val="BodyText"/>
        <w:jc w:val="both"/>
        <w:rPr/>
      </w:pPr>
      <w:r>
        <w:rPr/>
        <w:t>4.</w:t>
        <w:tab/>
      </w:r>
      <w:r>
        <w:rPr>
          <w:b/>
        </w:rPr>
        <w:t>Approval for Progasco.</w:t>
      </w:r>
      <w:r>
        <w:rPr/>
        <w:t xml:space="preserve">  </w:t>
      </w:r>
      <w:r>
        <w:rPr>
          <w:b/>
        </w:rPr>
        <w:t>PSC approval required for change of control</w:t>
      </w:r>
      <w:r>
        <w:rPr/>
        <w:t>.  No PSC approval required for transfer of minority interest.</w:t>
      </w:r>
    </w:p>
    <w:p>
      <w:pPr>
        <w:pStyle w:val="BodyText"/>
        <w:jc w:val="both"/>
        <w:rPr/>
      </w:pPr>
      <w:r>
        <w:rPr/>
      </w:r>
    </w:p>
    <w:p>
      <w:pPr>
        <w:pStyle w:val="BodyText"/>
        <w:jc w:val="both"/>
        <w:rPr/>
      </w:pPr>
      <w:r>
        <w:rPr/>
        <w:t>5.</w:t>
        <w:tab/>
      </w:r>
      <w:r>
        <w:rPr>
          <w:b/>
        </w:rPr>
        <w:t>Approval for San Juan Gas.</w:t>
      </w:r>
      <w:r>
        <w:rPr/>
        <w:t xml:space="preserve">  </w:t>
      </w:r>
      <w:r>
        <w:rPr>
          <w:b/>
        </w:rPr>
        <w:t>PSC approval required for change of control</w:t>
      </w:r>
      <w:r>
        <w:rPr/>
        <w:t>.  No PSC approval required for transfer of minority interest.</w:t>
      </w:r>
    </w:p>
    <w:p>
      <w:pPr>
        <w:pStyle w:val="BodyText"/>
        <w:jc w:val="both"/>
        <w:rPr/>
      </w:pPr>
      <w:r>
        <w:rPr/>
      </w:r>
    </w:p>
    <w:p>
      <w:pPr>
        <w:pStyle w:val="BodyText"/>
        <w:jc w:val="both"/>
        <w:rPr/>
      </w:pPr>
      <w:r>
        <w:rPr/>
        <w:tab/>
      </w:r>
      <w:r>
        <w:rPr>
          <w:b/>
          <w:u w:val="single"/>
        </w:rPr>
        <w:t>Turkey</w:t>
      </w:r>
    </w:p>
    <w:p>
      <w:pPr>
        <w:pStyle w:val="BodyText"/>
        <w:jc w:val="both"/>
        <w:rPr>
          <w:b/>
          <w:u w:val="single"/>
        </w:rPr>
      </w:pPr>
      <w:r>
        <w:rPr>
          <w:b/>
          <w:u w:val="single"/>
        </w:rPr>
      </w:r>
    </w:p>
    <w:p>
      <w:pPr>
        <w:pStyle w:val="BodyText"/>
        <w:jc w:val="both"/>
        <w:rPr/>
      </w:pPr>
      <w:r>
        <w:rPr/>
        <w:tab/>
      </w:r>
      <w:r>
        <w:rPr>
          <w:b/>
        </w:rPr>
        <w:t>Trakya</w:t>
      </w:r>
      <w:r>
        <w:rPr/>
        <w:t>.  Local counsel to be consulted upon resolution of confidentiality issues.  Eagle internal legal review initially indicates no government approvals required.</w:t>
      </w:r>
    </w:p>
    <w:p>
      <w:pPr>
        <w:pStyle w:val="BodyText"/>
        <w:jc w:val="both"/>
        <w:rPr/>
      </w:pPr>
      <w:r>
        <w:rPr/>
      </w:r>
    </w:p>
    <w:p>
      <w:pPr>
        <w:pStyle w:val="BodyText"/>
        <w:jc w:val="both"/>
        <w:rPr/>
      </w:pPr>
      <w:r>
        <w:rPr/>
        <w:tab/>
      </w:r>
      <w:r>
        <w:rPr>
          <w:b/>
          <w:u w:val="single"/>
        </w:rPr>
        <w:t>Venezuela</w:t>
      </w:r>
    </w:p>
    <w:p>
      <w:pPr>
        <w:pStyle w:val="BodyText"/>
        <w:jc w:val="both"/>
        <w:rPr/>
      </w:pPr>
      <w:r>
        <w:rPr/>
      </w:r>
    </w:p>
    <w:p>
      <w:pPr>
        <w:pStyle w:val="BodyText"/>
        <w:jc w:val="both"/>
        <w:rPr/>
      </w:pPr>
      <w:r>
        <w:rPr/>
        <w:t>1.</w:t>
      </w:r>
      <w:r>
        <w:rPr>
          <w:b/>
        </w:rPr>
        <w:tab/>
        <w:t xml:space="preserve">Antitrust Approval. </w:t>
      </w:r>
      <w:r>
        <w:rPr/>
        <w:t xml:space="preserve"> Local counsel advises a direct or indirect transfer of part or all of Eagle's interest in any of the Venezuelan companies will not necessarily require approval under the Venezuelan Law on Promotion and Protection of Free Competition ("Law"), which regulates operations which result in economic concentrations.  The Law will only be applied if the purchase of Eagle's interest will result in an economic concentration.  Notification of a transaction that </w:t>
      </w:r>
      <w:r>
        <w:rPr>
          <w:i/>
        </w:rPr>
        <w:t>could</w:t>
      </w:r>
      <w:r>
        <w:rPr/>
        <w:t xml:space="preserve"> result in an economic concentration is strictly voluntary.</w:t>
      </w:r>
    </w:p>
    <w:p>
      <w:pPr>
        <w:pStyle w:val="BodyText"/>
        <w:jc w:val="both"/>
        <w:rPr/>
      </w:pPr>
      <w:r>
        <w:rPr/>
      </w:r>
    </w:p>
    <w:p>
      <w:pPr>
        <w:pStyle w:val="BodyText"/>
        <w:jc w:val="both"/>
        <w:rPr/>
      </w:pPr>
      <w:r>
        <w:rPr/>
        <w:t>2.</w:t>
        <w:tab/>
      </w:r>
      <w:r>
        <w:rPr>
          <w:b/>
        </w:rPr>
        <w:t>Approvals for Accroven SRL and Accroserv SRL.</w:t>
      </w:r>
      <w:r>
        <w:rPr/>
        <w:t xml:space="preserve">  </w:t>
      </w:r>
      <w:r>
        <w:rPr>
          <w:b/>
        </w:rPr>
        <w:t>No regulatory consent</w:t>
      </w:r>
      <w:r>
        <w:rPr/>
        <w:t xml:space="preserve"> or authorizations are required.  Thirty percent hold requirement of Tender documents superceded by contracts entered into with PDVSA subsequent to winning bid.  As requested by Skadden, Travieso, Evans and Hughes has provided via E-mail its written opinion in this respect.</w:t>
      </w:r>
    </w:p>
    <w:p>
      <w:pPr>
        <w:pStyle w:val="BodyText"/>
        <w:jc w:val="both"/>
        <w:rPr/>
      </w:pPr>
      <w:r>
        <w:rPr/>
      </w:r>
    </w:p>
    <w:p>
      <w:pPr>
        <w:pStyle w:val="BodyText"/>
        <w:jc w:val="both"/>
        <w:rPr/>
      </w:pPr>
      <w:r>
        <w:rPr/>
        <w:t>3.</w:t>
        <w:tab/>
      </w:r>
      <w:r>
        <w:rPr>
          <w:b/>
        </w:rPr>
        <w:t>Approval for Hanover/Enron Venezuela (Bachaquero).</w:t>
      </w:r>
      <w:r>
        <w:rPr/>
        <w:t xml:space="preserve">  No regulatory consent or authorizations are required.</w:t>
      </w:r>
    </w:p>
    <w:p>
      <w:pPr>
        <w:pStyle w:val="BodyText"/>
        <w:jc w:val="both"/>
        <w:rPr/>
      </w:pPr>
      <w:r>
        <w:rPr/>
      </w:r>
    </w:p>
    <w:p>
      <w:pPr>
        <w:pStyle w:val="BodyText"/>
        <w:jc w:val="both"/>
        <w:rPr/>
      </w:pPr>
      <w:r>
        <w:rPr/>
        <w:t>4.</w:t>
        <w:tab/>
      </w:r>
      <w:r>
        <w:rPr>
          <w:b/>
        </w:rPr>
        <w:t>Approval for Ventane.  No regulatory consent or authorizations</w:t>
      </w:r>
      <w:r>
        <w:rPr/>
        <w:t xml:space="preserve"> are required.  </w:t>
      </w:r>
      <w:r>
        <w:rPr>
          <w:b/>
        </w:rPr>
        <w:t>No tender offer required</w:t>
      </w:r>
      <w:r>
        <w:rPr/>
        <w:t xml:space="preserve"> for stock held by public (3% of total outstanding) per Malcolm Caplan, Eagle local counsel.</w:t>
      </w:r>
    </w:p>
    <w:p>
      <w:pPr>
        <w:pStyle w:val="BodyText"/>
        <w:jc w:val="both"/>
        <w:rPr/>
      </w:pPr>
      <w:r>
        <w:rPr/>
      </w:r>
    </w:p>
    <w:p>
      <w:pPr>
        <w:pStyle w:val="BodyText"/>
        <w:jc w:val="center"/>
        <w:rPr/>
      </w:pPr>
      <w:r>
        <w:rPr/>
        <w:t>WHW</w:t>
      </w:r>
    </w:p>
    <w:p>
      <w:pPr>
        <w:pStyle w:val="BodyText"/>
        <w:jc w:val="both"/>
        <w:rPr/>
      </w:pPr>
      <w:r>
        <w:rPr/>
      </w:r>
    </w:p>
    <w:p>
      <w:pPr>
        <w:pStyle w:val="BodyText"/>
        <w:jc w:val="both"/>
        <w:rPr>
          <w:sz w:val="16"/>
        </w:rPr>
      </w:pPr>
      <w:r>
        <w:rPr>
          <w:sz w:val="16"/>
        </w:rPr>
        <w:t>HOUSTON:  283718v4</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t xml:space="preserve">- </w:t>
    </w:r>
    <w:r>
      <w:rPr/>
      <w:fldChar w:fldCharType="begin"/>
    </w:r>
    <w:r>
      <w:rPr/>
      <w:instrText xml:space="preserve"> PAGE </w:instrText>
    </w:r>
    <w:r>
      <w:rPr/>
      <w:fldChar w:fldCharType="separate"/>
    </w:r>
    <w:r>
      <w:rPr/>
      <w:t>7</w:t>
    </w:r>
    <w:r>
      <w:rPr/>
      <w:fldChar w:fldCharType="end"/>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ind w:hanging="0" w:start="720" w:end="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keepLines/>
      <w:numPr>
        <w:ilvl w:val="0"/>
        <w:numId w:val="1"/>
      </w:numPr>
      <w:pBdr>
        <w:bottom w:val="single" w:sz="6" w:space="3" w:color="000000"/>
      </w:pBdr>
      <w:spacing w:lineRule="exact" w:line="360" w:before="360" w:after="120"/>
      <w:ind w:hanging="0" w:start="0" w:end="0"/>
      <w:outlineLvl w:val="0"/>
    </w:pPr>
    <w:rPr>
      <w:b/>
      <w:caps/>
      <w:kern w:val="2"/>
      <w:sz w:val="28"/>
    </w:rPr>
  </w:style>
  <w:style w:type="paragraph" w:styleId="Heading2">
    <w:name w:val="heading 2"/>
    <w:basedOn w:val="Normal"/>
    <w:next w:val="BodyText"/>
    <w:qFormat/>
    <w:pPr>
      <w:keepNext w:val="true"/>
      <w:keepLines/>
      <w:numPr>
        <w:ilvl w:val="1"/>
        <w:numId w:val="1"/>
      </w:numPr>
      <w:spacing w:lineRule="exact" w:line="280" w:before="240" w:after="120"/>
      <w:ind w:hanging="0" w:start="0" w:end="0"/>
      <w:outlineLvl w:val="1"/>
    </w:pPr>
    <w:rPr>
      <w:b/>
      <w:kern w:val="2"/>
      <w:sz w:val="28"/>
    </w:rPr>
  </w:style>
  <w:style w:type="paragraph" w:styleId="Heading3">
    <w:name w:val="heading 3"/>
    <w:basedOn w:val="Normal"/>
    <w:next w:val="BodyText"/>
    <w:qFormat/>
    <w:pPr>
      <w:keepNext w:val="true"/>
      <w:keepLines/>
      <w:numPr>
        <w:ilvl w:val="2"/>
        <w:numId w:val="1"/>
      </w:numPr>
      <w:spacing w:lineRule="exact" w:line="280" w:before="240" w:after="120"/>
      <w:ind w:hanging="0" w:start="0" w:end="0"/>
      <w:outlineLvl w:val="2"/>
    </w:pPr>
    <w:rPr>
      <w:b/>
      <w:i/>
      <w:kern w:val="2"/>
      <w:sz w:val="28"/>
    </w:rPr>
  </w:style>
  <w:style w:type="paragraph" w:styleId="Heading4">
    <w:name w:val="heading 4"/>
    <w:basedOn w:val="Normal"/>
    <w:next w:val="BodyText"/>
    <w:qFormat/>
    <w:pPr>
      <w:keepNext w:val="true"/>
      <w:keepLines/>
      <w:numPr>
        <w:ilvl w:val="3"/>
        <w:numId w:val="1"/>
      </w:numPr>
      <w:spacing w:lineRule="exact" w:line="280" w:before="240" w:after="120"/>
      <w:ind w:hanging="0" w:start="0" w:end="0"/>
      <w:outlineLvl w:val="3"/>
    </w:pPr>
    <w:rPr>
      <w:b/>
      <w:kern w:val="2"/>
    </w:rPr>
  </w:style>
  <w:style w:type="paragraph" w:styleId="Heading5">
    <w:name w:val="heading 5"/>
    <w:basedOn w:val="Normal"/>
    <w:next w:val="BodyText"/>
    <w:qFormat/>
    <w:pPr>
      <w:keepNext w:val="true"/>
      <w:keepLines/>
      <w:numPr>
        <w:ilvl w:val="4"/>
        <w:numId w:val="1"/>
      </w:numPr>
      <w:spacing w:lineRule="exact" w:line="280" w:before="240" w:after="120"/>
      <w:ind w:hanging="0" w:start="0" w:end="0"/>
      <w:outlineLvl w:val="4"/>
    </w:pPr>
    <w:rPr>
      <w:b/>
      <w:i/>
      <w:kern w:val="2"/>
    </w:rPr>
  </w:style>
  <w:style w:type="paragraph" w:styleId="Heading6">
    <w:name w:val="heading 6"/>
    <w:basedOn w:val="Normal"/>
    <w:next w:val="BodyText"/>
    <w:qFormat/>
    <w:pPr>
      <w:keepNext w:val="true"/>
      <w:keepLines/>
      <w:numPr>
        <w:ilvl w:val="5"/>
        <w:numId w:val="1"/>
      </w:numPr>
      <w:spacing w:lineRule="exact" w:line="280" w:before="240" w:after="120"/>
      <w:ind w:hanging="0" w:start="0" w:end="0"/>
      <w:outlineLvl w:val="5"/>
    </w:pPr>
    <w:rPr>
      <w:b/>
      <w:kern w:val="2"/>
      <w:sz w:val="22"/>
    </w:rPr>
  </w:style>
  <w:style w:type="paragraph" w:styleId="Heading7">
    <w:name w:val="heading 7"/>
    <w:basedOn w:val="Normal"/>
    <w:next w:val="BodyText"/>
    <w:qFormat/>
    <w:pPr>
      <w:keepNext w:val="true"/>
      <w:keepLines/>
      <w:numPr>
        <w:ilvl w:val="6"/>
        <w:numId w:val="1"/>
      </w:numPr>
      <w:spacing w:lineRule="exact" w:line="280" w:before="240" w:after="120"/>
      <w:ind w:hanging="0" w:start="0" w:end="0"/>
      <w:outlineLvl w:val="6"/>
    </w:pPr>
    <w:rPr>
      <w:kern w:val="2"/>
      <w:sz w:val="22"/>
    </w:rPr>
  </w:style>
  <w:style w:type="paragraph" w:styleId="Heading8">
    <w:name w:val="heading 8"/>
    <w:basedOn w:val="Normal"/>
    <w:next w:val="BodyText"/>
    <w:qFormat/>
    <w:pPr>
      <w:keepNext w:val="true"/>
      <w:keepLines/>
      <w:numPr>
        <w:ilvl w:val="7"/>
        <w:numId w:val="1"/>
      </w:numPr>
      <w:spacing w:lineRule="exact" w:line="280" w:before="240" w:after="120"/>
      <w:ind w:hanging="0" w:start="0" w:end="0"/>
      <w:outlineLvl w:val="7"/>
    </w:pPr>
    <w:rPr>
      <w:i/>
      <w:kern w:val="2"/>
      <w:sz w:val="22"/>
    </w:rPr>
  </w:style>
  <w:style w:type="paragraph" w:styleId="Heading9">
    <w:name w:val="heading 9"/>
    <w:basedOn w:val="Normal"/>
    <w:next w:val="BodyText"/>
    <w:qFormat/>
    <w:pPr>
      <w:keepNext w:val="true"/>
      <w:keepLines/>
      <w:numPr>
        <w:ilvl w:val="8"/>
        <w:numId w:val="1"/>
      </w:numPr>
      <w:spacing w:lineRule="exact" w:line="280" w:before="240" w:after="120"/>
      <w:ind w:hanging="0" w:start="0" w:end="0"/>
      <w:outlineLvl w:val="8"/>
    </w:pPr>
    <w:rPr>
      <w:i/>
      <w:kern w:val="2"/>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0"/>
    </w:pPr>
    <w:rPr>
      <w:rFonts w:ascii="Times New Roman" w:hAnsi="Times New Roman" w:cs="Times New Roman"/>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DocumentLabel">
    <w:name w:val="Document Label"/>
    <w:basedOn w:val="Normal"/>
    <w:next w:val="BodyText"/>
    <w:qFormat/>
    <w:pPr>
      <w:keepNext w:val="true"/>
      <w:keepLines/>
      <w:spacing w:before="120" w:after="240"/>
      <w:ind w:hanging="0" w:start="0" w:end="0"/>
    </w:pPr>
    <w:rPr>
      <w:b/>
      <w:caps/>
      <w:spacing w:val="180"/>
      <w:kern w:val="2"/>
      <w:sz w:val="32"/>
    </w:rPr>
  </w:style>
  <w:style w:type="paragraph" w:styleId="Header">
    <w:name w:val="head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lockText">
    <w:name w:val="Block Text"/>
    <w:basedOn w:val="Normal"/>
    <w:qFormat/>
    <w:pPr>
      <w:spacing w:before="0" w:after="120"/>
      <w:ind w:hanging="0" w:start="1440" w:end="144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vememo.dot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2000-08-01T14:12:00Z</dcterms:created>
  <dc:creator>ve</dc:creator>
  <dc:description/>
  <dc:language>en-CA</dc:language>
  <cp:lastModifiedBy>ve</cp:lastModifiedBy>
  <dcterms:modified xsi:type="dcterms:W3CDTF">2000-08-01T14:12:00Z</dcterms:modified>
  <cp:revision>2</cp:revision>
  <dc:subject/>
  <dc:title>V&amp; E MEMORANDUM</dc:title>
</cp:coreProperties>
</file>