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pPr>
      <w:r>
        <w:rPr/>
        <w:t>Proposal for a</w:t>
      </w:r>
    </w:p>
    <w:p>
      <w:pPr>
        <w:pStyle w:val="Normal"/>
        <w:tabs>
          <w:tab w:val="clear" w:pos="720"/>
          <w:tab w:val="left" w:pos="5145" w:leader="none"/>
        </w:tabs>
        <w:rPr>
          <w:rFonts w:ascii="Georgia" w:hAnsi="Georgia" w:cs="Georgia"/>
          <w:b/>
          <w:smallCaps/>
        </w:rPr>
      </w:pPr>
      <w:r>
        <w:rPr>
          <w:rFonts w:cs="Georgia" w:ascii="Georgia" w:hAnsi="Georgia"/>
          <w:b/>
          <w:smallCaps/>
        </w:rPr>
        <w:tab/>
      </w:r>
    </w:p>
    <w:p>
      <w:pPr>
        <w:pStyle w:val="Normal"/>
        <w:jc w:val="center"/>
        <w:rPr>
          <w:rFonts w:ascii="Georgia" w:hAnsi="Georgia" w:cs="Georgia"/>
          <w:b/>
          <w:smallCaps/>
        </w:rPr>
      </w:pPr>
      <w:r>
        <w:rPr>
          <w:rFonts w:cs="Georgia" w:ascii="Georgia" w:hAnsi="Georgia"/>
          <w:b/>
          <w:smallCaps/>
        </w:rPr>
      </w:r>
    </w:p>
    <w:p>
      <w:pPr>
        <w:pStyle w:val="BodyText"/>
        <w:rPr>
          <w:rFonts w:ascii="Georgia" w:hAnsi="Georgia" w:cs="Georgia"/>
          <w:b/>
          <w:smallCaps/>
          <w:sz w:val="32"/>
        </w:rPr>
      </w:pPr>
      <w:r>
        <w:rPr>
          <w:rFonts w:cs="Georgia" w:ascii="Georgia" w:hAnsi="Georgia"/>
          <w:b/>
          <w:smallCaps/>
          <w:sz w:val="32"/>
        </w:rPr>
        <w:t xml:space="preserve">Regulation of the European Parliament and of the Council </w:t>
      </w:r>
    </w:p>
    <w:p>
      <w:pPr>
        <w:pStyle w:val="BodyText"/>
        <w:rPr>
          <w:rFonts w:ascii="Georgia" w:hAnsi="Georgia" w:cs="Georgia"/>
          <w:b/>
          <w:smallCaps/>
          <w:sz w:val="32"/>
        </w:rPr>
      </w:pPr>
      <w:r>
        <w:rPr>
          <w:rFonts w:cs="Georgia" w:ascii="Georgia" w:hAnsi="Georgia"/>
          <w:b/>
          <w:smallCaps/>
          <w:sz w:val="32"/>
        </w:rPr>
      </w:r>
    </w:p>
    <w:p>
      <w:pPr>
        <w:pStyle w:val="BodyText"/>
        <w:rPr>
          <w:rFonts w:ascii="Georgia" w:hAnsi="Georgia" w:cs="Georgia"/>
          <w:b/>
          <w:smallCaps/>
        </w:rPr>
      </w:pPr>
      <w:r>
        <w:rPr>
          <w:rFonts w:cs="Georgia" w:ascii="Georgia" w:hAnsi="Georgia"/>
          <w:b/>
          <w:smallCaps/>
        </w:rPr>
        <w:t>on Conditions of Access to the Network for Cross-border Exchanges in Electricity in the Internal Electricity Market</w:t>
      </w:r>
    </w:p>
    <w:p>
      <w:pPr>
        <w:pStyle w:val="Normal"/>
        <w:jc w:val="center"/>
        <w:rPr>
          <w:rFonts w:ascii="Georgia" w:hAnsi="Georgia" w:cs="Georgia"/>
          <w:b/>
          <w:smallCaps/>
        </w:rPr>
      </w:pPr>
      <w:r>
        <w:rPr>
          <w:rFonts w:cs="Georgia" w:ascii="Georgia" w:hAnsi="Georgia"/>
          <w:b/>
          <w:smallCaps/>
        </w:rPr>
      </w:r>
    </w:p>
    <w:p>
      <w:pPr>
        <w:pStyle w:val="Normal"/>
        <w:jc w:val="center"/>
        <w:rPr/>
      </w:pPr>
      <w:r>
        <w:rPr/>
      </w:r>
    </w:p>
    <w:p>
      <w:pPr>
        <w:pStyle w:val="Normal"/>
        <w:rPr>
          <w:b/>
          <w:bCs/>
          <w:sz w:val="28"/>
        </w:rPr>
      </w:pPr>
      <w:r>
        <w:rPr>
          <w:b/>
          <w:bCs/>
          <w:sz w:val="28"/>
        </w:rPr>
      </w:r>
    </w:p>
    <w:p>
      <w:pPr>
        <w:pStyle w:val="Normal"/>
        <w:rPr>
          <w:b/>
          <w:bCs/>
          <w:sz w:val="28"/>
          <w:u w:val="single"/>
        </w:rPr>
      </w:pPr>
      <w:r>
        <w:rPr>
          <w:b/>
          <w:bCs/>
          <w:sz w:val="28"/>
          <w:u w:val="single"/>
        </w:rPr>
        <w:t>Changes put in the final text (as adopted by the Commission on 13/03/01)</w:t>
      </w:r>
    </w:p>
    <w:p>
      <w:pPr>
        <w:pStyle w:val="Normal"/>
        <w:ind w:start="360" w:end="0"/>
        <w:rPr>
          <w:b/>
          <w:bCs/>
          <w:sz w:val="28"/>
          <w:u w:val="single"/>
        </w:rPr>
      </w:pPr>
      <w:r>
        <w:rPr>
          <w:b/>
          <w:bCs/>
          <w:sz w:val="28"/>
          <w:u w:val="single"/>
        </w:rPr>
      </w:r>
    </w:p>
    <w:p>
      <w:pPr>
        <w:pStyle w:val="Normal"/>
        <w:numPr>
          <w:ilvl w:val="0"/>
          <w:numId w:val="1"/>
        </w:numPr>
        <w:rPr/>
      </w:pPr>
      <w:r>
        <w:rPr/>
        <w:t xml:space="preserve">Improved drafting. No more reference to charges applied to ‘an individual transaction’ in the text. </w:t>
      </w:r>
    </w:p>
    <w:p>
      <w:pPr>
        <w:pStyle w:val="Normal"/>
        <w:ind w:start="720" w:end="0"/>
        <w:rPr/>
      </w:pPr>
      <w:r>
        <w:rPr/>
      </w:r>
    </w:p>
    <w:p>
      <w:pPr>
        <w:pStyle w:val="Normal"/>
        <w:numPr>
          <w:ilvl w:val="0"/>
          <w:numId w:val="1"/>
        </w:numPr>
        <w:rPr>
          <w:b/>
          <w:bCs/>
          <w:u w:val="single"/>
        </w:rPr>
      </w:pPr>
      <w:r>
        <w:rPr/>
        <w:t>Increased emnphasis on the requirement that charges for access to national networks applied to generators and consumers shall be ‘</w:t>
      </w:r>
      <w:r>
        <w:rPr>
          <w:b/>
          <w:bCs/>
          <w:u w:val="single"/>
        </w:rPr>
        <w:t>applied independently from the country of destination and respectively origin of the electricity, as of underlying commercial arrangment.</w:t>
      </w:r>
    </w:p>
    <w:p>
      <w:pPr>
        <w:pStyle w:val="Normal"/>
        <w:rPr>
          <w:b/>
          <w:bCs/>
          <w:u w:val="single"/>
        </w:rPr>
      </w:pPr>
      <w:r>
        <w:rPr>
          <w:b/>
          <w:bCs/>
          <w:u w:val="single"/>
        </w:rPr>
      </w:r>
    </w:p>
    <w:p>
      <w:pPr>
        <w:pStyle w:val="Normal"/>
        <w:numPr>
          <w:ilvl w:val="0"/>
          <w:numId w:val="1"/>
        </w:numPr>
        <w:rPr>
          <w:b/>
          <w:bCs/>
          <w:u w:val="single"/>
        </w:rPr>
      </w:pPr>
      <w:r>
        <w:rPr/>
        <w:t xml:space="preserve">Very strong provisions regarding the information that the Commission is entitled to obtain directly from undertakings and associations of undertakings and regarding the penalties for failure on the part of undertakings to make this information available to the Commission. </w:t>
      </w:r>
    </w:p>
    <w:p>
      <w:pPr>
        <w:pStyle w:val="Normal"/>
        <w:rPr>
          <w:b/>
          <w:bCs/>
          <w:u w:val="single"/>
        </w:rPr>
      </w:pPr>
      <w:r>
        <w:rPr>
          <w:b/>
          <w:bCs/>
          <w:u w:val="single"/>
        </w:rPr>
      </w:r>
    </w:p>
    <w:p>
      <w:pPr>
        <w:pStyle w:val="Normal"/>
        <w:numPr>
          <w:ilvl w:val="0"/>
          <w:numId w:val="1"/>
        </w:numPr>
        <w:rPr>
          <w:b/>
          <w:bCs/>
          <w:u w:val="single"/>
        </w:rPr>
      </w:pPr>
      <w:r>
        <w:rPr/>
        <w:t xml:space="preserve">New provisions on the obligation for Member States to lay down rules on penalties applicable to infringements of the provisions of the Regulation. </w:t>
      </w:r>
    </w:p>
    <w:p>
      <w:pPr>
        <w:pStyle w:val="Normal"/>
        <w:rPr>
          <w:b/>
          <w:bCs/>
          <w:u w:val="single"/>
        </w:rPr>
      </w:pPr>
      <w:r>
        <w:rPr>
          <w:b/>
          <w:bCs/>
          <w:u w:val="single"/>
        </w:rPr>
      </w:r>
    </w:p>
    <w:p>
      <w:pPr>
        <w:pStyle w:val="Normal"/>
        <w:numPr>
          <w:ilvl w:val="0"/>
          <w:numId w:val="1"/>
        </w:numPr>
        <w:rPr>
          <w:b/>
          <w:bCs/>
          <w:u w:val="single"/>
        </w:rPr>
      </w:pPr>
      <w:r>
        <w:rPr/>
        <w:t xml:space="preserve">Separate Annex has been inserted – </w:t>
      </w:r>
      <w:r>
        <w:rPr>
          <w:b/>
          <w:bCs/>
        </w:rPr>
        <w:t>‘Guidelines on the management and allocation of available capacity of interconnections between national systems.’</w:t>
      </w:r>
    </w:p>
    <w:p>
      <w:pPr>
        <w:pStyle w:val="Normal"/>
        <w:rPr>
          <w:b/>
          <w:bCs/>
          <w:u w:val="single"/>
        </w:rPr>
      </w:pPr>
      <w:r>
        <w:rPr>
          <w:b/>
          <w:bCs/>
          <w:u w:val="single"/>
        </w:rPr>
      </w:r>
    </w:p>
    <w:p>
      <w:pPr>
        <w:pStyle w:val="Normal"/>
        <w:numPr>
          <w:ilvl w:val="1"/>
          <w:numId w:val="2"/>
        </w:numPr>
        <w:rPr/>
      </w:pPr>
      <w:r>
        <w:rPr/>
        <w:t xml:space="preserve">Congestion management methods should deael with the short-run congestion in an economically efficient manner. </w:t>
      </w:r>
      <w:r>
        <w:rPr>
          <w:b/>
          <w:bCs/>
          <w:u w:val="single"/>
        </w:rPr>
        <w:t>The current network should be used at the maximum capacity</w:t>
      </w:r>
      <w:r>
        <w:rPr/>
        <w:t xml:space="preserve"> that complies with the safety standards of secure network operation.</w:t>
      </w:r>
    </w:p>
    <w:p>
      <w:pPr>
        <w:pStyle w:val="Normal"/>
        <w:ind w:start="1080" w:end="0"/>
        <w:rPr/>
      </w:pPr>
      <w:r>
        <w:rPr/>
      </w:r>
    </w:p>
    <w:p>
      <w:pPr>
        <w:pStyle w:val="Normal"/>
        <w:numPr>
          <w:ilvl w:val="1"/>
          <w:numId w:val="2"/>
        </w:numPr>
        <w:rPr/>
      </w:pPr>
      <w:r>
        <w:rPr/>
        <w:t>The TSOs should provide non-discriminatory and transparent standards describing which congestion management methods will be used under which circumstances. This information should be publicly available.</w:t>
      </w:r>
    </w:p>
    <w:p>
      <w:pPr>
        <w:pStyle w:val="Normal"/>
        <w:rPr/>
      </w:pPr>
      <w:r>
        <w:rPr/>
      </w:r>
    </w:p>
    <w:p>
      <w:pPr>
        <w:pStyle w:val="Normal"/>
        <w:numPr>
          <w:ilvl w:val="1"/>
          <w:numId w:val="2"/>
        </w:numPr>
        <w:rPr/>
      </w:pPr>
      <w:r>
        <w:rPr/>
        <w:t>Minimising discriminatory treatment between different types of cross-border transactions when designing the rules of a specific congestion management method. Allocation of scarce capacity must be transparent and any difference in treatment must be demonstrated not to distort or hinder the development of competition.</w:t>
      </w:r>
    </w:p>
    <w:p>
      <w:pPr>
        <w:pStyle w:val="Normal"/>
        <w:rPr/>
      </w:pPr>
      <w:r>
        <w:rPr/>
      </w:r>
    </w:p>
    <w:p>
      <w:pPr>
        <w:pStyle w:val="Normal"/>
        <w:numPr>
          <w:ilvl w:val="1"/>
          <w:numId w:val="2"/>
        </w:numPr>
        <w:rPr/>
      </w:pPr>
      <w:r>
        <w:rPr/>
        <w:t>Counter flow transactions should never be denied.</w:t>
      </w:r>
    </w:p>
    <w:p>
      <w:pPr>
        <w:pStyle w:val="Normal"/>
        <w:rPr/>
      </w:pPr>
      <w:r>
        <w:rPr/>
      </w:r>
    </w:p>
    <w:p>
      <w:pPr>
        <w:pStyle w:val="Normal"/>
        <w:numPr>
          <w:ilvl w:val="1"/>
          <w:numId w:val="2"/>
        </w:numPr>
        <w:rPr/>
      </w:pPr>
      <w:r>
        <w:rPr/>
        <w:t>Use-it-or-lose-it principle stipulated.</w:t>
      </w:r>
    </w:p>
    <w:p>
      <w:pPr>
        <w:pStyle w:val="Normal"/>
        <w:rPr/>
      </w:pPr>
      <w:r>
        <w:rPr/>
      </w:r>
    </w:p>
    <w:p>
      <w:pPr>
        <w:pStyle w:val="Normal"/>
        <w:numPr>
          <w:ilvl w:val="1"/>
          <w:numId w:val="2"/>
        </w:numPr>
        <w:rPr/>
      </w:pPr>
      <w:r>
        <w:rPr/>
        <w:t>Any rents resulting from the allocation of capacity may be used for redispatching or counter trading to ensure firmness of the allocated capacity. Any remaining rents to be used for network investments.</w:t>
      </w:r>
    </w:p>
    <w:p>
      <w:pPr>
        <w:pStyle w:val="Normal"/>
        <w:rPr/>
      </w:pPr>
      <w:r>
        <w:rPr/>
      </w:r>
    </w:p>
    <w:p>
      <w:pPr>
        <w:pStyle w:val="Normal"/>
        <w:numPr>
          <w:ilvl w:val="1"/>
          <w:numId w:val="2"/>
        </w:numPr>
        <w:rPr/>
      </w:pPr>
      <w:r>
        <w:rPr/>
        <w:t>Capacity should be offered as ‘firm’ as possible.</w:t>
      </w:r>
    </w:p>
    <w:p>
      <w:pPr>
        <w:pStyle w:val="Normal"/>
        <w:rPr/>
      </w:pPr>
      <w:r>
        <w:rPr/>
      </w:r>
    </w:p>
    <w:p>
      <w:pPr>
        <w:pStyle w:val="Normal"/>
        <w:numPr>
          <w:ilvl w:val="1"/>
          <w:numId w:val="2"/>
        </w:numPr>
        <w:rPr/>
      </w:pPr>
      <w:r>
        <w:rPr/>
        <w:t>Treatment of the long-term contracts – a) they can’t be assigned priority rights (violation of Articles 81 and 82) and b) no pre-emption rights for existing contracts when they come up for renewal.</w:t>
      </w:r>
    </w:p>
    <w:p>
      <w:pPr>
        <w:pStyle w:val="Normal"/>
        <w:rPr/>
      </w:pPr>
      <w:r>
        <w:rPr/>
      </w:r>
    </w:p>
    <w:p>
      <w:pPr>
        <w:pStyle w:val="Normal"/>
        <w:numPr>
          <w:ilvl w:val="1"/>
          <w:numId w:val="2"/>
        </w:numPr>
        <w:rPr/>
      </w:pPr>
      <w:r>
        <w:rPr/>
        <w:t xml:space="preserve">TSOs obliged to implement appropriate co-ordination and information exchange mechanisms. </w:t>
      </w:r>
    </w:p>
    <w:p>
      <w:pPr>
        <w:pStyle w:val="Normal"/>
        <w:rPr/>
      </w:pPr>
      <w:r>
        <w:rPr/>
      </w:r>
    </w:p>
    <w:p>
      <w:pPr>
        <w:pStyle w:val="Normal"/>
        <w:numPr>
          <w:ilvl w:val="1"/>
          <w:numId w:val="2"/>
        </w:numPr>
        <w:rPr/>
      </w:pPr>
      <w:r>
        <w:rPr/>
        <w:t>All the relevant data concerning cross-border transfer capacities must be published.</w:t>
      </w:r>
    </w:p>
    <w:p>
      <w:pPr>
        <w:pStyle w:val="Normal"/>
        <w:rPr/>
      </w:pPr>
      <w:r>
        <w:rPr/>
      </w:r>
    </w:p>
    <w:p>
      <w:pPr>
        <w:pStyle w:val="Normal"/>
        <w:numPr>
          <w:ilvl w:val="1"/>
          <w:numId w:val="2"/>
        </w:numPr>
        <w:rPr/>
      </w:pPr>
      <w:r>
        <w:rPr/>
        <w:t>Market splitting is a preferred method of congestion management. In the short-term, implicit and explicit auctions cobined with co-ordinated redispatch are a viable solution.</w:t>
      </w:r>
    </w:p>
    <w:p>
      <w:pPr>
        <w:pStyle w:val="Normal"/>
        <w:rPr/>
      </w:pPr>
      <w:r>
        <w:rPr/>
      </w:r>
    </w:p>
    <w:p>
      <w:pPr>
        <w:pStyle w:val="Normal"/>
        <w:numPr>
          <w:ilvl w:val="1"/>
          <w:numId w:val="2"/>
        </w:numPr>
        <w:rPr/>
      </w:pPr>
      <w:r>
        <w:rPr/>
        <w:t>Transaction curtailment, following pre-established priority rules, only for emergency solutions.</w:t>
      </w:r>
    </w:p>
    <w:p>
      <w:pPr>
        <w:pStyle w:val="Normal"/>
        <w:rPr/>
      </w:pPr>
      <w:r>
        <w:rPr/>
      </w:r>
    </w:p>
    <w:p>
      <w:pPr>
        <w:pStyle w:val="Normal"/>
        <w:numPr>
          <w:ilvl w:val="1"/>
          <w:numId w:val="2"/>
        </w:numPr>
        <w:rPr>
          <w:b/>
          <w:bCs/>
        </w:rPr>
      </w:pPr>
      <w:r>
        <w:rPr>
          <w:b/>
          <w:bCs/>
        </w:rPr>
        <w:t xml:space="preserve">Guidelines for explicit auctions (endoresemnt of Florence Conclusions): </w:t>
      </w:r>
    </w:p>
    <w:p>
      <w:pPr>
        <w:pStyle w:val="Normal"/>
        <w:rPr>
          <w:b/>
          <w:bCs/>
        </w:rPr>
      </w:pPr>
      <w:r>
        <w:rPr>
          <w:b/>
          <w:bCs/>
        </w:rPr>
      </w:r>
    </w:p>
    <w:p>
      <w:pPr>
        <w:pStyle w:val="Normal"/>
        <w:numPr>
          <w:ilvl w:val="2"/>
          <w:numId w:val="2"/>
        </w:numPr>
        <w:rPr/>
      </w:pPr>
      <w:r>
        <w:rPr/>
        <w:t>Auction must be designed in a way so as to</w:t>
      </w:r>
      <w:r>
        <w:rPr>
          <w:b/>
          <w:bCs/>
        </w:rPr>
        <w:t xml:space="preserve"> offer to the market all available capacity </w:t>
      </w:r>
      <w:r>
        <w:rPr/>
        <w:t>(use different duration and characterictics of the capaity)</w:t>
      </w:r>
    </w:p>
    <w:p>
      <w:pPr>
        <w:pStyle w:val="Normal"/>
        <w:numPr>
          <w:ilvl w:val="2"/>
          <w:numId w:val="2"/>
        </w:numPr>
        <w:rPr/>
      </w:pPr>
      <w:r>
        <w:rPr/>
        <w:t>Total interconnnection capacity to be offered in a series of auctions (to be held in a yearly, monthly, weekly, daily and intra-daily basis).</w:t>
      </w:r>
    </w:p>
    <w:p>
      <w:pPr>
        <w:pStyle w:val="Normal"/>
        <w:numPr>
          <w:ilvl w:val="2"/>
          <w:numId w:val="2"/>
        </w:numPr>
        <w:rPr/>
      </w:pPr>
      <w:r>
        <w:rPr/>
        <w:t xml:space="preserve">Auction prodecures to be prepared in close co-operation between the national regulatory authority and the TSO concerned. </w:t>
      </w:r>
    </w:p>
    <w:p>
      <w:pPr>
        <w:pStyle w:val="Normal"/>
        <w:numPr>
          <w:ilvl w:val="2"/>
          <w:numId w:val="2"/>
        </w:numPr>
        <w:rPr/>
      </w:pPr>
      <w:r>
        <w:rPr/>
        <w:t>Design of the auction should allow bidders to participate in the daily session of any organised market (power exchange).</w:t>
      </w:r>
    </w:p>
    <w:p>
      <w:pPr>
        <w:pStyle w:val="Normal"/>
        <w:numPr>
          <w:ilvl w:val="2"/>
          <w:numId w:val="2"/>
        </w:numPr>
        <w:rPr/>
      </w:pPr>
      <w:r>
        <w:rPr/>
        <w:t>Netting of flows to maximise the transport capacity in the direction of congestion.</w:t>
      </w:r>
    </w:p>
    <w:p>
      <w:pPr>
        <w:pStyle w:val="Normal"/>
        <w:numPr>
          <w:ilvl w:val="2"/>
          <w:numId w:val="2"/>
        </w:numPr>
        <w:rPr/>
      </w:pPr>
      <w:r>
        <w:rPr/>
        <w:t>Capacity bought at an auction should be freely tradeable ‘before the moment of notification’ (odd phrasing, our interpretation – ‘up to the moment when final nominations are due to the TSO, barring intra-day re-nominations)</w:t>
      </w:r>
    </w:p>
    <w:p>
      <w:pPr>
        <w:pStyle w:val="Normal"/>
        <w:rPr>
          <w:b/>
          <w:bCs/>
          <w:sz w:val="28"/>
        </w:rPr>
      </w:pPr>
      <w:r>
        <w:rPr>
          <w:b/>
          <w:bCs/>
          <w:sz w:val="28"/>
        </w:rPr>
      </w:r>
    </w:p>
    <w:p>
      <w:pPr>
        <w:pStyle w:val="Normal"/>
        <w:jc w:val="center"/>
        <w:rPr>
          <w:b/>
          <w:bCs/>
          <w:sz w:val="28"/>
        </w:rPr>
      </w:pPr>
      <w:r>
        <w:rPr>
          <w:b/>
          <w:bCs/>
          <w:sz w:val="28"/>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 w:name="Georgia">
    <w:charset w:val="00" w:characterSet="windows-1252"/>
    <w:family w:val="roman"/>
    <w:pitch w:val="variable"/>
  </w:font>
  <w:font w:name="Courier New">
    <w:charset w:val="00" w:characterSet="windows-1252"/>
    <w:family w:val="modern"/>
    <w:pitch w:val="fixed"/>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start"/>
      <w:pPr>
        <w:tabs>
          <w:tab w:val="num" w:pos="1080"/>
        </w:tabs>
        <w:ind w:start="1080" w:hanging="360"/>
      </w:pPr>
      <w:rPr>
        <w:rFonts w:ascii="Symbol" w:hAnsi="Symbol" w:cs="Symbol" w:hint="default"/>
      </w:rPr>
    </w:lvl>
  </w:abstractNum>
  <w:abstractNum w:abstractNumId="2">
    <w:lvl w:ilvl="0">
      <w:start w:val="1"/>
      <w:numFmt w:val="bullet"/>
      <w:lvlText w:val=""/>
      <w:lvlJc w:val="start"/>
      <w:pPr>
        <w:tabs>
          <w:tab w:val="num" w:pos="1080"/>
        </w:tabs>
        <w:ind w:start="1080" w:hanging="360"/>
      </w:pPr>
      <w:rPr>
        <w:rFonts w:ascii="Symbol" w:hAnsi="Symbol" w:cs="Symbol" w:hint="default"/>
      </w:rPr>
    </w:lvl>
    <w:lvl w:ilvl="1">
      <w:start w:val="1"/>
      <w:numFmt w:val="bullet"/>
      <w:lvlText w:val="o"/>
      <w:lvlJc w:val="start"/>
      <w:pPr>
        <w:tabs>
          <w:tab w:val="num" w:pos="1800"/>
        </w:tabs>
        <w:ind w:start="1800" w:hanging="360"/>
      </w:pPr>
      <w:rPr>
        <w:rFonts w:ascii="Courier New" w:hAnsi="Courier New" w:cs="Courier New" w:hint="default"/>
      </w:rPr>
    </w:lvl>
    <w:lvl w:ilvl="2">
      <w:start w:val="1"/>
      <w:numFmt w:val="bullet"/>
      <w:lvlText w:val=""/>
      <w:lvlJc w:val="start"/>
      <w:pPr>
        <w:tabs>
          <w:tab w:val="num" w:pos="2520"/>
        </w:tabs>
        <w:ind w:start="2520" w:hanging="360"/>
      </w:pPr>
      <w:rPr>
        <w:rFonts w:ascii="Wingdings" w:hAnsi="Wingdings" w:cs="Wingdings" w:hint="default"/>
      </w:rPr>
    </w:lvl>
    <w:lvl w:ilvl="3">
      <w:start w:val="1"/>
      <w:numFmt w:val="bullet"/>
      <w:lvlText w:val=""/>
      <w:lvlJc w:val="start"/>
      <w:pPr>
        <w:tabs>
          <w:tab w:val="num" w:pos="3240"/>
        </w:tabs>
        <w:ind w:start="3240" w:hanging="360"/>
      </w:pPr>
      <w:rPr>
        <w:rFonts w:ascii="Symbol" w:hAnsi="Symbol" w:cs="Symbol" w:hint="default"/>
      </w:rPr>
    </w:lvl>
    <w:lvl w:ilvl="4">
      <w:start w:val="1"/>
      <w:numFmt w:val="bullet"/>
      <w:lvlText w:val="o"/>
      <w:lvlJc w:val="start"/>
      <w:pPr>
        <w:tabs>
          <w:tab w:val="num" w:pos="3960"/>
        </w:tabs>
        <w:ind w:start="3960" w:hanging="360"/>
      </w:pPr>
      <w:rPr>
        <w:rFonts w:ascii="Courier New" w:hAnsi="Courier New" w:cs="Courier New" w:hint="default"/>
      </w:rPr>
    </w:lvl>
    <w:lvl w:ilvl="5">
      <w:start w:val="1"/>
      <w:numFmt w:val="bullet"/>
      <w:lvlText w:val=""/>
      <w:lvlJc w:val="start"/>
      <w:pPr>
        <w:tabs>
          <w:tab w:val="num" w:pos="4680"/>
        </w:tabs>
        <w:ind w:start="4680" w:hanging="360"/>
      </w:pPr>
      <w:rPr>
        <w:rFonts w:ascii="Wingdings" w:hAnsi="Wingdings" w:cs="Wingdings" w:hint="default"/>
      </w:rPr>
    </w:lvl>
    <w:lvl w:ilvl="6">
      <w:start w:val="1"/>
      <w:numFmt w:val="bullet"/>
      <w:lvlText w:val=""/>
      <w:lvlJc w:val="start"/>
      <w:pPr>
        <w:tabs>
          <w:tab w:val="num" w:pos="5400"/>
        </w:tabs>
        <w:ind w:start="5400" w:hanging="360"/>
      </w:pPr>
      <w:rPr>
        <w:rFonts w:ascii="Symbol" w:hAnsi="Symbol" w:cs="Symbol" w:hint="default"/>
      </w:rPr>
    </w:lvl>
    <w:lvl w:ilvl="7">
      <w:start w:val="1"/>
      <w:numFmt w:val="bullet"/>
      <w:lvlText w:val="o"/>
      <w:lvlJc w:val="start"/>
      <w:pPr>
        <w:tabs>
          <w:tab w:val="num" w:pos="6120"/>
        </w:tabs>
        <w:ind w:start="6120" w:hanging="360"/>
      </w:pPr>
      <w:rPr>
        <w:rFonts w:ascii="Courier New" w:hAnsi="Courier New" w:cs="Courier New" w:hint="default"/>
      </w:rPr>
    </w:lvl>
    <w:lvl w:ilvl="8">
      <w:start w:val="1"/>
      <w:numFmt w:val="bullet"/>
      <w:lvlText w:val=""/>
      <w:lvlJc w:val="start"/>
      <w:pPr>
        <w:tabs>
          <w:tab w:val="num" w:pos="6840"/>
        </w:tabs>
        <w:ind w:start="6840" w:hanging="360"/>
      </w:pPr>
      <w:rPr>
        <w:rFonts w:ascii="Wingdings" w:hAnsi="Wingdings" w:cs="Wingdings" w:hint="default"/>
      </w:rPr>
    </w:lvl>
  </w:abstractNum>
  <w:abstractNum w:abstractNumId="3">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jc w:val="center"/>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98</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2001-03-19T06:47:00Z</dcterms:created>
  <dc:creator>ndindaro</dc:creator>
  <dc:description/>
  <dc:language>en-CA</dc:language>
  <cp:lastModifiedBy>ndindaro</cp:lastModifiedBy>
  <dcterms:modified xsi:type="dcterms:W3CDTF">2001-03-19T08:25:00Z</dcterms:modified>
  <cp:revision>1</cp:revision>
  <dc:subject/>
  <dc:title>Proposal for a</dc:title>
</cp:coreProperties>
</file>