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ind w:start="5472" w:end="0"/>
        <w:rPr>
          <w:sz w:val="23"/>
          <w:szCs w:val="23"/>
        </w:rPr>
      </w:pPr>
      <w:bookmarkStart w:id="0" w:name="ClientMemo"/>
      <w:r>
        <w:rPr>
          <w:sz w:val="23"/>
          <w:szCs w:val="23"/>
        </w:rPr>
        <w:t>December 16, 1999</w:t>
      </w:r>
    </w:p>
    <w:p>
      <w:pPr>
        <w:pStyle w:val="Normal"/>
        <w:spacing w:before="0" w:after="240"/>
        <w:jc w:val="center"/>
        <w:rPr>
          <w:sz w:val="23"/>
          <w:szCs w:val="23"/>
          <w:u w:val="single"/>
        </w:rPr>
      </w:pPr>
      <w:r>
        <w:rPr>
          <w:sz w:val="23"/>
          <w:szCs w:val="23"/>
          <w:u w:val="single"/>
        </w:rPr>
        <w:t>SEC Proposes Rules To Ban Selective Disclosure and Clarify Insider Trading Laws</w:t>
      </w:r>
    </w:p>
    <w:p>
      <w:pPr>
        <w:pStyle w:val="BodyText"/>
        <w:ind w:firstLine="720" w:end="0"/>
        <w:rPr>
          <w:sz w:val="23"/>
          <w:szCs w:val="23"/>
        </w:rPr>
      </w:pPr>
      <w:bookmarkStart w:id="1" w:name="ClientMemo_BeginTyping"/>
      <w:bookmarkEnd w:id="1"/>
      <w:r>
        <w:rPr>
          <w:sz w:val="23"/>
          <w:szCs w:val="23"/>
        </w:rPr>
        <w:t xml:space="preserve">The SEC yesterday proposed new rules to ban selective disclosure of material information and to clarify insider trading rules.  The proposed rules include: </w:t>
      </w:r>
    </w:p>
    <w:p>
      <w:pPr>
        <w:pStyle w:val="Normal"/>
        <w:numPr>
          <w:ilvl w:val="0"/>
          <w:numId w:val="13"/>
        </w:numPr>
        <w:tabs>
          <w:tab w:val="clear" w:pos="720"/>
          <w:tab w:val="left" w:pos="0" w:leader="none"/>
        </w:tabs>
        <w:spacing w:before="0" w:after="240"/>
        <w:ind w:hanging="720" w:start="1080" w:end="0"/>
        <w:rPr/>
      </w:pPr>
      <w:r>
        <w:rPr>
          <w:b/>
          <w:bCs/>
          <w:sz w:val="23"/>
          <w:szCs w:val="23"/>
        </w:rPr>
        <w:t>Selective Disclosure:</w:t>
      </w:r>
      <w:r>
        <w:rPr>
          <w:sz w:val="23"/>
          <w:szCs w:val="23"/>
        </w:rPr>
        <w:t xml:space="preserve">  New Regulation FD (Fair Disclosure) would bar companies from selectively disclosing material information.  In particular, proposed Regulation FD would require that: (1) whenever an issuer intentionally discloses material information, it do so through public disclosure, not through selective disclosure; and (2) whenever an issuer learns that it has made a non-intentional material selective disclosure, it make prompt public disclosure of that information.</w:t>
      </w:r>
    </w:p>
    <w:p>
      <w:pPr>
        <w:pStyle w:val="Normal"/>
        <w:numPr>
          <w:ilvl w:val="0"/>
          <w:numId w:val="13"/>
        </w:numPr>
        <w:tabs>
          <w:tab w:val="clear" w:pos="720"/>
          <w:tab w:val="left" w:pos="0" w:leader="none"/>
        </w:tabs>
        <w:spacing w:before="0" w:after="240"/>
        <w:ind w:hanging="720" w:start="1080" w:end="0"/>
        <w:rPr/>
      </w:pPr>
      <w:r>
        <w:rPr>
          <w:b/>
          <w:bCs/>
          <w:sz w:val="23"/>
          <w:szCs w:val="23"/>
        </w:rPr>
        <w:t>Use/Possession Issue:</w:t>
      </w:r>
      <w:r>
        <w:rPr>
          <w:sz w:val="23"/>
          <w:szCs w:val="23"/>
        </w:rPr>
        <w:t xml:space="preserve">  Insider trading liability would arise when a person trades while “aware” of material nonpublic information.  Under current law, courts have split on the issue of whether insider trading liability requires trading while in “knowing possession” of material nonpublic information, or proof that the trader “used” the information in trading. </w:t>
      </w:r>
    </w:p>
    <w:p>
      <w:pPr>
        <w:pStyle w:val="Normal"/>
        <w:numPr>
          <w:ilvl w:val="0"/>
          <w:numId w:val="13"/>
        </w:numPr>
        <w:tabs>
          <w:tab w:val="clear" w:pos="720"/>
          <w:tab w:val="left" w:pos="0" w:leader="none"/>
        </w:tabs>
        <w:spacing w:before="0" w:after="240"/>
        <w:ind w:hanging="360" w:start="1080" w:end="0"/>
        <w:rPr/>
      </w:pPr>
      <w:r>
        <w:rPr>
          <w:b/>
          <w:bCs/>
          <w:sz w:val="23"/>
          <w:szCs w:val="23"/>
        </w:rPr>
        <w:t>Misappropriation of Information Theory Involving Family and Other Personal Relationships:</w:t>
      </w:r>
      <w:r>
        <w:rPr>
          <w:sz w:val="23"/>
          <w:szCs w:val="23"/>
        </w:rPr>
        <w:t xml:space="preserve">  A new rule would clarify when a person receiving confidential information from a family member or through another personal relationship would owe a duty of trust or confidence to the person giving the information and therefore could not trade on that information. </w:t>
      </w:r>
    </w:p>
    <w:p>
      <w:pPr>
        <w:pStyle w:val="BodyText"/>
        <w:ind w:firstLine="720" w:end="0"/>
        <w:rPr>
          <w:sz w:val="23"/>
          <w:szCs w:val="23"/>
        </w:rPr>
      </w:pPr>
      <w:r>
        <w:rPr>
          <w:sz w:val="23"/>
          <w:szCs w:val="23"/>
        </w:rPr>
        <w:t xml:space="preserve">In announcing the proposals, the SEC said: </w:t>
      </w:r>
    </w:p>
    <w:p>
      <w:pPr>
        <w:pStyle w:val="Normal"/>
        <w:tabs>
          <w:tab w:val="clear" w:pos="720"/>
          <w:tab w:val="left" w:pos="9630" w:leader="none"/>
          <w:tab w:val="left" w:pos="9900" w:leader="none"/>
        </w:tabs>
        <w:spacing w:before="0" w:after="240"/>
        <w:ind w:start="720" w:end="756"/>
        <w:rPr>
          <w:sz w:val="23"/>
          <w:szCs w:val="23"/>
        </w:rPr>
      </w:pPr>
      <w:r>
        <w:rPr>
          <w:sz w:val="23"/>
          <w:szCs w:val="23"/>
        </w:rPr>
        <w:t xml:space="preserve">The Commission has become increasingly concerned about the growing incidence of “selective disclosure” of material corporate information.  In many reported incidents, companies selectively disclosed important information – such as upcoming earnings figures – in conference calls or meetings that are open only to selected securities analysts and/or institutional investors, and which exclude members of the public and the media.  Those privy to selectively disclosed information have an unfair advantage over other investors, who learn of the information only if and when the issuer later makes full public disclosure.  By that time, the information often has resulted in a significant change in the share price or higher than usual trading volume. </w:t>
      </w:r>
    </w:p>
    <w:p>
      <w:pPr>
        <w:pStyle w:val="Normal"/>
        <w:tabs>
          <w:tab w:val="clear" w:pos="720"/>
          <w:tab w:val="left" w:pos="9630" w:leader="none"/>
          <w:tab w:val="left" w:pos="9900" w:leader="none"/>
        </w:tabs>
        <w:spacing w:before="0" w:after="240"/>
        <w:ind w:start="720" w:end="756"/>
        <w:rPr>
          <w:sz w:val="23"/>
          <w:szCs w:val="23"/>
        </w:rPr>
      </w:pPr>
      <w:r>
        <w:rPr>
          <w:sz w:val="23"/>
          <w:szCs w:val="23"/>
        </w:rPr>
        <w:t xml:space="preserve">Selective disclosure undermines investor confidence in the integrity of our securities markets, and creates a serious potential for conflicts of interest by securities analysts. </w:t>
      </w:r>
    </w:p>
    <w:p>
      <w:pPr>
        <w:pStyle w:val="BodyText"/>
        <w:ind w:firstLine="720" w:end="0"/>
        <w:rPr>
          <w:sz w:val="23"/>
          <w:szCs w:val="23"/>
        </w:rPr>
      </w:pPr>
      <w:r>
        <w:rPr>
          <w:sz w:val="23"/>
          <w:szCs w:val="23"/>
        </w:rPr>
        <w:t>The SEC’s announcement and related materials are available at http://www.sec.gov/news/sele</w:t>
        <w:softHyphen/>
        <w:t>disc.htm.  The text of the proposed rules has not yet been released.</w:t>
      </w:r>
    </w:p>
    <w:p>
      <w:pPr>
        <w:pStyle w:val="BodyText"/>
        <w:ind w:firstLine="720" w:end="0"/>
        <w:rPr>
          <w:sz w:val="23"/>
          <w:szCs w:val="23"/>
        </w:rPr>
      </w:pPr>
      <w:r>
        <w:rPr>
          <w:sz w:val="23"/>
          <w:szCs w:val="23"/>
        </w:rPr>
        <w:t xml:space="preserve">The proposals are quite significant in their insight into the SEC’s view of the securities markets and the role of information at a time when the speed and bandwidth of communications are increasing at exponential rates.  Public companies, as well as securities analysts and other market participants, should carefully monitor the progress of the proposals and, even prior to their adoption, consider their ramifications in the context of company-analyst communications, disclosure and trading activities.  A proactive response is important to avoid potential SEC enforcement action and private lawsuits in connection with market-sensitive developments. </w:t>
      </w:r>
    </w:p>
    <w:p>
      <w:pPr>
        <w:pStyle w:val="Normal"/>
        <w:keepNext w:val="true"/>
        <w:spacing w:before="120" w:after="0"/>
        <w:ind w:start="5472" w:end="0"/>
        <w:rPr>
          <w:sz w:val="23"/>
          <w:szCs w:val="23"/>
        </w:rPr>
      </w:pPr>
      <w:bookmarkStart w:id="2" w:name="ClientMemo"/>
      <w:bookmarkStart w:id="3" w:name="ClientMemo_BeginTyping"/>
      <w:bookmarkEnd w:id="3"/>
      <w:r>
        <w:rPr>
          <w:sz w:val="23"/>
          <w:szCs w:val="23"/>
        </w:rPr>
        <w:t>Adam O. Emmerich</w:t>
      </w:r>
      <w:bookmarkEnd w:id="2"/>
    </w:p>
    <w:sectPr>
      <w:headerReference w:type="default" r:id="rId2"/>
      <w:headerReference w:type="first" r:id="rId3"/>
      <w:footerReference w:type="default" r:id="rId4"/>
      <w:footerReference w:type="first" r:id="rId5"/>
      <w:type w:val="nextPage"/>
      <w:pgSz w:w="12240" w:h="15840"/>
      <w:pgMar w:left="1152" w:right="1152" w:gutter="0" w:header="288" w:top="1152" w:footer="288" w:bottom="36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Sackers Gothic Medium">
    <w:charset w:val="01"/>
    <w:family w:val="auto"/>
    <w:pitch w:val="variable"/>
  </w:font>
  <w:font w:name="Courier New">
    <w:charset w:val="01"/>
    <w:family w:val="modern"/>
    <w:pitch w:val="default"/>
  </w:font>
  <w:font w:name="Tahoma">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sz w:val="23"/>
        <w:szCs w:val="23"/>
      </w:rPr>
      <w:t>0</w:t>
    </w:r>
    <w:r>
      <w:rPr>
        <w:sz w:val="23"/>
        <w:szCs w:val="23"/>
      </w:rPr>
      <w:fldChar w:fldCharType="end"/>
    </w:r>
    <w:r>
      <w:rPr>
        <w:sz w:val="23"/>
        <w:szCs w:val="23"/>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szCs w:val="23"/>
      </w:rPr>
    </w:pPr>
    <w:r>
      <w:rPr>
        <w:sz w:val="23"/>
        <w:szCs w:val="2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SecondPage"/>
      <w:spacing w:before="280" w:after="180"/>
      <w:ind w:start="-288" w:end="0"/>
      <w:rPr>
        <w:spacing w:val="10"/>
        <w:sz w:val="17"/>
        <w:szCs w:val="17"/>
      </w:rPr>
    </w:pPr>
    <w:r>
      <w:rPr>
        <w:spacing w:val="10"/>
        <w:sz w:val="17"/>
        <w:szCs w:val="17"/>
      </w:rPr>
      <w:t>Wachtell, Lipton, Rosen &amp; Katz</w:t>
    </w:r>
  </w:p>
  <w:p>
    <w:pPr>
      <w:pStyle w:val="Header"/>
      <w:rPr>
        <w:spacing w:val="10"/>
        <w:sz w:val="23"/>
        <w:szCs w:val="23"/>
      </w:rPr>
    </w:pPr>
    <w:r>
      <w:rPr>
        <w:spacing w:val="10"/>
        <w:sz w:val="23"/>
        <w:szCs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SecondPage"/>
      <w:spacing w:before="280" w:after="0"/>
      <w:ind w:start="-288" w:end="0"/>
      <w:rPr>
        <w:sz w:val="17"/>
        <w:szCs w:val="17"/>
      </w:rPr>
    </w:pPr>
    <w:bookmarkStart w:id="4" w:name="LetterheadSecondPage"/>
    <w:r>
      <w:rPr>
        <w:sz w:val="17"/>
        <w:szCs w:val="17"/>
      </w:rPr>
      <w:t>Wachtell, Lipton, Rosen &amp; Katz</w:t>
    </w:r>
    <w:bookmarkEnd w:id="4"/>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360" w:hanging="36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tabs>
        <w:tab w:val="clear" w:pos="720"/>
      </w:tabs>
      <w:spacing w:before="0" w:after="240"/>
      <w:ind w:hanging="360" w:start="1080" w:end="0"/>
      <w:outlineLvl w:val="0"/>
    </w:pPr>
    <w:rPr>
      <w:b/>
      <w:bCs/>
      <w:smallCaps/>
    </w:rPr>
  </w:style>
  <w:style w:type="paragraph" w:styleId="Heading2">
    <w:name w:val="heading 2"/>
    <w:basedOn w:val="Heading1"/>
    <w:next w:val="BodyText"/>
    <w:qFormat/>
    <w:pPr>
      <w:numPr>
        <w:ilvl w:val="1"/>
        <w:numId w:val="1"/>
      </w:numPr>
      <w:tabs>
        <w:tab w:val="clear" w:pos="0"/>
        <w:tab w:val="left" w:pos="720" w:leader="none"/>
      </w:tabs>
      <w:ind w:hanging="720" w:start="2160" w:end="0"/>
      <w:outlineLvl w:val="1"/>
    </w:pPr>
    <w:rPr>
      <w:b w:val="false"/>
      <w:bCs w:val="false"/>
      <w:caps/>
    </w:rPr>
  </w:style>
  <w:style w:type="paragraph" w:styleId="Heading3">
    <w:name w:val="heading 3"/>
    <w:basedOn w:val="Heading2"/>
    <w:next w:val="BodyText"/>
    <w:qFormat/>
    <w:pPr>
      <w:numPr>
        <w:ilvl w:val="2"/>
        <w:numId w:val="1"/>
      </w:numPr>
      <w:ind w:hanging="720" w:start="2880" w:end="0"/>
      <w:outlineLvl w:val="2"/>
    </w:pPr>
    <w:rPr/>
  </w:style>
  <w:style w:type="paragraph" w:styleId="Heading4">
    <w:name w:val="heading 4"/>
    <w:basedOn w:val="Heading3"/>
    <w:next w:val="BodyText"/>
    <w:qFormat/>
    <w:pPr>
      <w:numPr>
        <w:ilvl w:val="3"/>
        <w:numId w:val="1"/>
      </w:numPr>
      <w:ind w:hanging="720" w:start="3600" w:end="0"/>
      <w:outlineLvl w:val="3"/>
    </w:pPr>
    <w:rPr/>
  </w:style>
  <w:style w:type="paragraph" w:styleId="Heading5">
    <w:name w:val="heading 5"/>
    <w:basedOn w:val="Heading4"/>
    <w:next w:val="BodyText"/>
    <w:qFormat/>
    <w:pPr>
      <w:numPr>
        <w:ilvl w:val="4"/>
        <w:numId w:val="1"/>
      </w:numPr>
      <w:ind w:hanging="720" w:start="4320" w:end="0"/>
      <w:outlineLvl w:val="4"/>
    </w:pPr>
    <w:rPr/>
  </w:style>
  <w:style w:type="paragraph" w:styleId="Heading6">
    <w:name w:val="heading 6"/>
    <w:basedOn w:val="Heading5"/>
    <w:next w:val="BodyText"/>
    <w:qFormat/>
    <w:pPr>
      <w:numPr>
        <w:ilvl w:val="5"/>
        <w:numId w:val="1"/>
      </w:numPr>
      <w:ind w:hanging="720" w:start="5040" w:end="0"/>
      <w:outlineLvl w:val="5"/>
    </w:pPr>
    <w:rPr/>
  </w:style>
  <w:style w:type="paragraph" w:styleId="Heading7">
    <w:name w:val="heading 7"/>
    <w:basedOn w:val="Heading6"/>
    <w:next w:val="BodyText"/>
    <w:qFormat/>
    <w:pPr>
      <w:numPr>
        <w:ilvl w:val="6"/>
        <w:numId w:val="1"/>
      </w:numPr>
      <w:tabs>
        <w:tab w:val="clear" w:pos="4320"/>
        <w:tab w:val="left" w:pos="4680" w:leader="none"/>
      </w:tabs>
      <w:ind w:hanging="720" w:start="5760" w:end="0"/>
      <w:outlineLvl w:val="6"/>
    </w:pPr>
    <w:rPr/>
  </w:style>
  <w:style w:type="paragraph" w:styleId="Heading8">
    <w:name w:val="heading 8"/>
    <w:basedOn w:val="Heading7"/>
    <w:next w:val="BodyText"/>
    <w:qFormat/>
    <w:pPr>
      <w:numPr>
        <w:ilvl w:val="7"/>
        <w:numId w:val="1"/>
      </w:numPr>
      <w:tabs>
        <w:tab w:val="clear" w:pos="5400"/>
        <w:tab w:val="left" w:pos="5040" w:leader="none"/>
      </w:tabs>
      <w:ind w:hanging="720" w:start="6480" w:end="0"/>
      <w:outlineLvl w:val="7"/>
    </w:pPr>
    <w:rPr/>
  </w:style>
  <w:style w:type="paragraph" w:styleId="Heading9">
    <w:name w:val="heading 9"/>
    <w:basedOn w:val="Heading8"/>
    <w:next w:val="BodyText"/>
    <w:qFormat/>
    <w:pPr>
      <w:numPr>
        <w:ilvl w:val="8"/>
        <w:numId w:val="1"/>
      </w:numPr>
      <w:tabs>
        <w:tab w:val="clear" w:pos="5760"/>
        <w:tab w:val="left" w:pos="6120" w:leader="none"/>
      </w:tabs>
      <w:ind w:hanging="720" w:start="7200" w:end="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ParagraphNumber">
    <w:name w:val="ParagraphNumber"/>
    <w:basedOn w:val="DefaultParagraphFont"/>
    <w:qFormat/>
    <w:rPr>
      <w:b/>
      <w:bCs/>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AnnotationReference">
    <w:name w:val="Annotation Reference"/>
    <w:basedOn w:val="DefaultParagraphFont"/>
    <w:qFormat/>
    <w:rPr>
      <w:sz w:val="16"/>
      <w:szCs w:val="16"/>
      <w:lang w:val="en-CA"/>
    </w:rPr>
  </w:style>
  <w:style w:type="character" w:styleId="Hyperlink">
    <w:name w:val="Hyperlink"/>
    <w:basedOn w:val="DefaultParagraphFont"/>
    <w:qFormat/>
    <w:rPr>
      <w:color w:val="0000FF"/>
      <w:u w:val="single"/>
    </w:rPr>
  </w:style>
  <w:style w:type="paragraph" w:styleId="Heading">
    <w:name w:val="Heading"/>
    <w:basedOn w:val="Normal"/>
    <w:next w:val="BodyText"/>
    <w:qFormat/>
    <w:pPr>
      <w:spacing w:before="240" w:after="60"/>
      <w:jc w:val="center"/>
    </w:pPr>
    <w:rPr>
      <w:rFonts w:ascii="Arial" w:hAnsi="Arial" w:eastAsia="Arial" w:cs="Arial"/>
      <w:b/>
      <w:bCs/>
      <w:kern w:val="2"/>
      <w:sz w:val="32"/>
      <w:szCs w:val="32"/>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BulletedList">
    <w:name w:val="Bulleted List"/>
    <w:basedOn w:val="Normal"/>
    <w:qFormat/>
    <w:pPr>
      <w:numPr>
        <w:ilvl w:val="0"/>
        <w:numId w:val="2"/>
      </w:numPr>
      <w:tabs>
        <w:tab w:val="clear" w:pos="720"/>
        <w:tab w:val="left" w:pos="1080" w:leader="none"/>
      </w:tabs>
      <w:spacing w:before="0" w:after="240"/>
      <w:ind w:hanging="360" w:start="1080" w:end="720"/>
    </w:pPr>
    <w:rPr/>
  </w:style>
  <w:style w:type="paragraph" w:styleId="CenteredHeading">
    <w:name w:val="Centered Heading"/>
    <w:basedOn w:val="Normal"/>
    <w:qFormat/>
    <w:pPr>
      <w:keepNext w:val="true"/>
      <w:spacing w:before="0" w:after="240"/>
      <w:ind w:hanging="0" w:start="1800" w:end="1800"/>
      <w:jc w:val="center"/>
    </w:pPr>
    <w:rPr>
      <w: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Heading1Para">
    <w:name w:val="Heading1Para"/>
    <w:basedOn w:val="BodyText"/>
    <w:next w:val="BodyText"/>
    <w:qFormat/>
    <w:pPr>
      <w:ind w:hanging="0" w:start="0" w:end="0"/>
      <w:jc w:val="both"/>
    </w:pPr>
    <w:rPr/>
  </w:style>
  <w:style w:type="paragraph" w:styleId="Heading2Para">
    <w:name w:val="Heading2Para"/>
    <w:basedOn w:val="BodyText"/>
    <w:next w:val="BodyText"/>
    <w:qFormat/>
    <w:pPr>
      <w:ind w:firstLine="720" w:start="0" w:end="0"/>
      <w:jc w:val="both"/>
    </w:pPr>
    <w:rPr/>
  </w:style>
  <w:style w:type="paragraph" w:styleId="Heading3Para">
    <w:name w:val="Heading3Para"/>
    <w:basedOn w:val="BodyText"/>
    <w:next w:val="BodyText"/>
    <w:qFormat/>
    <w:pPr>
      <w:jc w:val="both"/>
    </w:pPr>
    <w:rPr/>
  </w:style>
  <w:style w:type="paragraph" w:styleId="Heading4Para">
    <w:name w:val="Heading4Para"/>
    <w:basedOn w:val="BodyText"/>
    <w:next w:val="BodyText"/>
    <w:qFormat/>
    <w:pPr>
      <w:ind w:firstLine="2160" w:start="0" w:end="0"/>
      <w:jc w:val="both"/>
    </w:pPr>
    <w:rPr/>
  </w:style>
  <w:style w:type="paragraph" w:styleId="Heading5Para">
    <w:name w:val="Heading5Para"/>
    <w:basedOn w:val="BodyText"/>
    <w:next w:val="BodyText"/>
    <w:qFormat/>
    <w:pPr>
      <w:ind w:firstLine="2880" w:start="0" w:end="0"/>
      <w:jc w:val="both"/>
    </w:pPr>
    <w:rPr/>
  </w:style>
  <w:style w:type="paragraph" w:styleId="Heading6Para">
    <w:name w:val="Heading6Para"/>
    <w:basedOn w:val="BodyText"/>
    <w:next w:val="BodyText"/>
    <w:qFormat/>
    <w:pPr>
      <w:ind w:firstLine="3600" w:start="0" w:end="0"/>
      <w:jc w:val="both"/>
    </w:pPr>
    <w:rPr/>
  </w:style>
  <w:style w:type="paragraph" w:styleId="Heading7Para">
    <w:name w:val="Heading7Para"/>
    <w:basedOn w:val="BodyText"/>
    <w:next w:val="BodyText"/>
    <w:qFormat/>
    <w:pPr>
      <w:ind w:firstLine="4320" w:start="0" w:end="0"/>
      <w:jc w:val="both"/>
    </w:pPr>
    <w:rPr/>
  </w:style>
  <w:style w:type="paragraph" w:styleId="Heading8Para">
    <w:name w:val="Heading8Para"/>
    <w:basedOn w:val="BodyText"/>
    <w:next w:val="BodyText"/>
    <w:qFormat/>
    <w:pPr>
      <w:ind w:firstLine="5040" w:start="0" w:end="0"/>
      <w:jc w:val="both"/>
    </w:pPr>
    <w:rPr/>
  </w:style>
  <w:style w:type="paragraph" w:styleId="Heading9Para">
    <w:name w:val="Heading9Para"/>
    <w:basedOn w:val="BodyText"/>
    <w:next w:val="BodyText"/>
    <w:qFormat/>
    <w:pPr>
      <w:ind w:firstLine="5760" w:start="0" w:end="0"/>
      <w:jc w:val="both"/>
    </w:pPr>
    <w:rPr/>
  </w:style>
  <w:style w:type="paragraph" w:styleId="LeftHeading">
    <w:name w:val="Left Heading"/>
    <w:basedOn w:val="Normal"/>
    <w:qFormat/>
    <w:pPr>
      <w:keepNext w:val="true"/>
      <w:spacing w:before="0" w:after="240"/>
      <w:ind w:hanging="0" w:start="0" w:end="4320"/>
    </w:pPr>
    <w:rPr/>
  </w:style>
  <w:style w:type="paragraph" w:styleId="LetterHead">
    <w:name w:val="LetterHead"/>
    <w:basedOn w:val="Normal"/>
    <w:qFormat/>
    <w:pPr>
      <w:spacing w:lineRule="exact" w:line="240" w:before="180" w:after="180"/>
      <w:ind w:hanging="0" w:start="-360" w:end="0"/>
    </w:pPr>
    <w:rPr>
      <w:rFonts w:ascii="Sackers Gothic Medium" w:hAnsi="Sackers Gothic Medium" w:eastAsia="Sackers Gothic Medium" w:cs="Sackers Gothic Medium"/>
      <w:b/>
      <w:bCs/>
      <w:spacing w:val="4"/>
      <w:sz w:val="18"/>
      <w:szCs w:val="18"/>
    </w:rPr>
  </w:style>
  <w:style w:type="paragraph" w:styleId="ParagraphDivider">
    <w:name w:val="Paragraph Divider"/>
    <w:basedOn w:val="Normal"/>
    <w:qFormat/>
    <w:pPr>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s>
      <w:spacing w:before="0" w:after="240"/>
      <w:jc w:val="center"/>
    </w:pPr>
    <w:rPr/>
  </w:style>
  <w:style w:type="paragraph" w:styleId="Quote">
    <w:name w:val="Quote"/>
    <w:basedOn w:val="Normal"/>
    <w:qFormat/>
    <w:pPr>
      <w:spacing w:before="0" w:after="240"/>
      <w:ind w:hanging="0" w:start="720" w:end="0"/>
    </w:pPr>
    <w:rPr/>
  </w:style>
  <w:style w:type="paragraph" w:styleId="TOC1">
    <w:name w:val="toc 1"/>
    <w:basedOn w:val="Normal"/>
    <w:pPr>
      <w:keepLines/>
      <w:tabs>
        <w:tab w:val="clear" w:pos="720"/>
        <w:tab w:val="right" w:pos="9288" w:leader="dot"/>
      </w:tabs>
      <w:ind w:hanging="1440" w:start="1440" w:end="1440"/>
    </w:pPr>
    <w:rPr/>
  </w:style>
  <w:style w:type="paragraph" w:styleId="TOC2">
    <w:name w:val="toc 2"/>
    <w:basedOn w:val="TOC1"/>
    <w:pPr>
      <w:ind w:hanging="720" w:start="1440" w:end="1440"/>
    </w:pPr>
    <w:rPr/>
  </w:style>
  <w:style w:type="paragraph" w:styleId="TOC3">
    <w:name w:val="toc 3"/>
    <w:basedOn w:val="TOC1"/>
    <w:pPr>
      <w:ind w:hanging="720" w:start="2160" w:end="1440"/>
    </w:pPr>
    <w:rPr/>
  </w:style>
  <w:style w:type="paragraph" w:styleId="TOC4">
    <w:name w:val="toc 4"/>
    <w:basedOn w:val="TOC1"/>
    <w:pPr>
      <w:ind w:hanging="720" w:start="2880" w:end="1440"/>
    </w:pPr>
    <w:rPr/>
  </w:style>
  <w:style w:type="paragraph" w:styleId="TOC5">
    <w:name w:val="toc 5"/>
    <w:basedOn w:val="TOC1"/>
    <w:pPr>
      <w:ind w:hanging="720" w:start="3600" w:end="1440"/>
    </w:pPr>
    <w:rPr/>
  </w:style>
  <w:style w:type="paragraph" w:styleId="TOC6">
    <w:name w:val="toc 6"/>
    <w:basedOn w:val="TOC1"/>
    <w:pPr>
      <w:ind w:hanging="720" w:start="4320" w:end="1440"/>
    </w:pPr>
    <w:rPr/>
  </w:style>
  <w:style w:type="paragraph" w:styleId="TOC7">
    <w:name w:val="toc 7"/>
    <w:basedOn w:val="TOC1"/>
    <w:pPr>
      <w:ind w:hanging="720" w:start="5040" w:end="1440"/>
    </w:pPr>
    <w:rPr/>
  </w:style>
  <w:style w:type="paragraph" w:styleId="TOC8">
    <w:name w:val="toc 8"/>
    <w:basedOn w:val="TOC1"/>
    <w:pPr>
      <w:ind w:hanging="720" w:start="5760" w:end="1440"/>
    </w:pPr>
    <w:rPr/>
  </w:style>
  <w:style w:type="paragraph" w:styleId="TOC9">
    <w:name w:val="toc 9"/>
    <w:basedOn w:val="TOC1"/>
    <w:pPr>
      <w:ind w:hanging="720" w:start="6480" w:end="1440"/>
    </w:pPr>
    <w:rPr/>
  </w:style>
  <w:style w:type="paragraph" w:styleId="BodyText2">
    <w:name w:val="Body Text 2"/>
    <w:basedOn w:val="Normal"/>
    <w:qFormat/>
    <w:pPr>
      <w:spacing w:before="0" w:after="120"/>
      <w:ind w:hanging="0" w:start="360" w:end="0"/>
    </w:pPr>
    <w:rPr/>
  </w:style>
  <w:style w:type="paragraph" w:styleId="Closing">
    <w:name w:val="Closing"/>
    <w:basedOn w:val="Normal"/>
    <w:qFormat/>
    <w:pPr>
      <w:ind w:hanging="0" w:start="4320" w:end="0"/>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style>
  <w:style w:type="paragraph" w:styleId="EnvelopeReturn">
    <w:name w:val="envelope return"/>
    <w:basedOn w:val="Normal"/>
    <w:pPr/>
    <w:rPr>
      <w:sz w:val="20"/>
      <w:szCs w:val="20"/>
    </w:rPr>
  </w:style>
  <w:style w:type="paragraph" w:styleId="FootnoteText">
    <w:name w:val="footnote text"/>
    <w:basedOn w:val="Normal"/>
    <w:pPr/>
    <w:rPr>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tabs>
        <w:tab w:val="clear" w:pos="720"/>
        <w:tab w:val="left" w:pos="360" w:leader="none"/>
      </w:tabs>
      <w:ind w:hanging="360" w:start="360" w:end="0"/>
    </w:pPr>
    <w:rPr/>
  </w:style>
  <w:style w:type="paragraph" w:styleId="ListBullet21">
    <w:name w:val="List Bullet 21"/>
    <w:basedOn w:val="Normal"/>
    <w:qFormat/>
    <w:pPr>
      <w:numPr>
        <w:ilvl w:val="0"/>
        <w:numId w:val="4"/>
      </w:numPr>
      <w:tabs>
        <w:tab w:val="left" w:pos="720" w:leader="none"/>
      </w:tabs>
      <w:ind w:hanging="360" w:start="720" w:end="0"/>
    </w:pPr>
    <w:rPr/>
  </w:style>
  <w:style w:type="paragraph" w:styleId="ListBullet31">
    <w:name w:val="List Bullet 31"/>
    <w:basedOn w:val="Normal"/>
    <w:qFormat/>
    <w:pPr>
      <w:numPr>
        <w:ilvl w:val="0"/>
        <w:numId w:val="5"/>
      </w:numPr>
      <w:tabs>
        <w:tab w:val="clear" w:pos="720"/>
        <w:tab w:val="left" w:pos="1080" w:leader="none"/>
      </w:tabs>
      <w:ind w:hanging="360" w:start="1080" w:end="0"/>
    </w:pPr>
    <w:rPr/>
  </w:style>
  <w:style w:type="paragraph" w:styleId="ListBullet41">
    <w:name w:val="List Bullet 41"/>
    <w:basedOn w:val="Normal"/>
    <w:qFormat/>
    <w:pPr>
      <w:numPr>
        <w:ilvl w:val="0"/>
        <w:numId w:val="6"/>
      </w:numPr>
      <w:tabs>
        <w:tab w:val="clear" w:pos="720"/>
        <w:tab w:val="left" w:pos="1440" w:leader="none"/>
      </w:tabs>
      <w:ind w:hanging="360" w:start="1440" w:end="0"/>
    </w:pPr>
    <w:rPr/>
  </w:style>
  <w:style w:type="paragraph" w:styleId="ListBullet51">
    <w:name w:val="List Bullet 51"/>
    <w:basedOn w:val="Normal"/>
    <w:qFormat/>
    <w:pPr>
      <w:numPr>
        <w:ilvl w:val="0"/>
        <w:numId w:val="7"/>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8"/>
      </w:numPr>
      <w:tabs>
        <w:tab w:val="clear" w:pos="720"/>
        <w:tab w:val="left" w:pos="360" w:leader="none"/>
      </w:tabs>
      <w:ind w:hanging="360" w:start="360" w:end="0"/>
    </w:pPr>
    <w:rPr/>
  </w:style>
  <w:style w:type="paragraph" w:styleId="ListNumber2">
    <w:name w:val="List Number 2"/>
    <w:basedOn w:val="Normal"/>
    <w:qFormat/>
    <w:pPr>
      <w:numPr>
        <w:ilvl w:val="0"/>
        <w:numId w:val="9"/>
      </w:numPr>
      <w:tabs>
        <w:tab w:val="left" w:pos="720" w:leader="none"/>
      </w:tabs>
      <w:ind w:hanging="360" w:start="720" w:end="0"/>
    </w:pPr>
    <w:rPr/>
  </w:style>
  <w:style w:type="paragraph" w:styleId="ListNumber3">
    <w:name w:val="List Number 3"/>
    <w:basedOn w:val="Normal"/>
    <w:qFormat/>
    <w:pPr>
      <w:numPr>
        <w:ilvl w:val="0"/>
        <w:numId w:val="10"/>
      </w:numPr>
      <w:tabs>
        <w:tab w:val="clear" w:pos="720"/>
        <w:tab w:val="left" w:pos="1080" w:leader="none"/>
      </w:tabs>
      <w:ind w:hanging="360" w:start="1080" w:end="0"/>
    </w:pPr>
    <w:rPr/>
  </w:style>
  <w:style w:type="paragraph" w:styleId="ListNumber4">
    <w:name w:val="List Number 4"/>
    <w:basedOn w:val="Normal"/>
    <w:qFormat/>
    <w:pPr>
      <w:numPr>
        <w:ilvl w:val="0"/>
        <w:numId w:val="11"/>
      </w:numPr>
      <w:tabs>
        <w:tab w:val="clear" w:pos="720"/>
        <w:tab w:val="left" w:pos="1440" w:leader="none"/>
      </w:tabs>
      <w:ind w:hanging="360" w:start="1440" w:end="0"/>
    </w:pPr>
    <w:rPr/>
  </w:style>
  <w:style w:type="paragraph" w:styleId="ListNumber5">
    <w:name w:val="List Number 5"/>
    <w:basedOn w:val="Normal"/>
    <w:qFormat/>
    <w:pPr>
      <w:numPr>
        <w:ilvl w:val="0"/>
        <w:numId w:val="12"/>
      </w:numPr>
      <w:tabs>
        <w:tab w:val="clear" w:pos="720"/>
        <w:tab w:val="left" w:pos="1800" w:leader="none"/>
      </w:tabs>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AnnnotationText">
    <w:name w:val="Annnotation Text"/>
    <w:basedOn w:val="Normal"/>
    <w:qFormat/>
    <w:pPr>
      <w:widowControl w:val="false"/>
      <w:spacing w:lineRule="exact" w:line="240"/>
    </w:pPr>
    <w:rPr>
      <w:sz w:val="20"/>
      <w:szCs w:val="20"/>
    </w:rPr>
  </w:style>
  <w:style w:type="paragraph" w:styleId="BlockText">
    <w:name w:val="Block Text"/>
    <w:basedOn w:val="Normal"/>
    <w:qFormat/>
    <w:pPr>
      <w:spacing w:before="0" w:after="120"/>
      <w:ind w:hanging="0" w:start="1440" w:end="1440"/>
    </w:pPr>
    <w:rPr/>
  </w:style>
  <w:style w:type="paragraph" w:styleId="WW-BodyText2">
    <w:name w:val="WW-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AnnotationText">
    <w:name w:val="Annotation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NoteHeading">
    <w:name w:val="Note Heading"/>
    <w:basedOn w:val="Normal"/>
    <w:next w:val="Normal"/>
    <w:qFormat/>
    <w:pPr/>
    <w:rPr/>
  </w:style>
  <w:style w:type="paragraph" w:styleId="PlainText">
    <w:name w:val="Plain Text"/>
    <w:basedOn w:val="Normal"/>
    <w:qFormat/>
    <w:pPr/>
    <w:rPr>
      <w:sz w:val="20"/>
      <w:szCs w:val="20"/>
    </w:rPr>
  </w:style>
  <w:style w:type="paragraph" w:styleId="Salutation">
    <w:name w:val="Salutation"/>
    <w:basedOn w:val="Normal"/>
    <w:next w:val="Normal"/>
    <w:qFormat/>
    <w:pPr/>
    <w:rPr/>
  </w:style>
  <w:style w:type="paragraph" w:styleId="H3">
    <w:name w:val="H3"/>
    <w:basedOn w:val="Normal"/>
    <w:next w:val="Normal"/>
    <w:qFormat/>
    <w:pPr>
      <w:keepNext w:val="true"/>
      <w:spacing w:before="100" w:after="100"/>
    </w:pPr>
    <w:rPr>
      <w:b/>
      <w:bCs/>
      <w:sz w:val="28"/>
      <w:szCs w:val="28"/>
    </w:rPr>
  </w:style>
  <w:style w:type="paragraph" w:styleId="LetterHeadSecondPage">
    <w:name w:val="LetterHeadSecondPage"/>
    <w:basedOn w:val="Normal"/>
    <w:qFormat/>
    <w:pPr>
      <w:spacing w:lineRule="exact" w:line="240" w:before="180" w:after="180"/>
      <w:ind w:hanging="0" w:start="-360" w:end="0"/>
    </w:pPr>
    <w:rPr>
      <w:rFonts w:ascii="Sackers Gothic Medium" w:hAnsi="Sackers Gothic Medium" w:eastAsia="Sackers Gothic Medium" w:cs="Sackers Gothic Medium"/>
      <w:b/>
      <w:bCs/>
      <w:spacing w:val="4"/>
      <w:sz w:val="18"/>
      <w:szCs w:val="18"/>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Client 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1999-12-16T17:16:00Z</dcterms:created>
  <dc:creator>coaoe</dc:creator>
  <dc:description/>
  <dc:language>en-CA</dc:language>
  <cp:lastModifiedBy>wlrk</cp:lastModifiedBy>
  <cp:lastPrinted>1999-12-16T14:22:00Z</cp:lastPrinted>
  <dcterms:modified xsi:type="dcterms:W3CDTF">1999-12-16T17:16:00Z</dcterms:modified>
  <cp:revision>2</cp:revision>
  <dc:subject/>
  <dc:title>memo to clients re SEC Reg FD (12/16/99)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S:\ResearchTech\SEC.12.16.99.doc</vt:lpwstr>
  </property>
</Properties>
</file>