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</w:rPr>
      </w:pPr>
      <w:r>
        <w:rPr>
          <w:sz w:val="24"/>
        </w:rPr>
        <w:t>TO:  Distribution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FROM:  Jim Steffes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RE:  Follow-up from 5/8/00 Meeting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The following items are next steps in developing the Regulated Commodity risk management process. 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Undertake “Bridge analysis” of key rate curves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Review the “Top 20” rate curves based on Net Position (listed in Scott Stoness’ 5/8 memo page 5).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Review the “80/20” curves with pending deals (listed in Scott Stoness’ 5/8 memo page 6 plus any other relevant curves from unlisted deals).</w:t>
      </w:r>
    </w:p>
    <w:p>
      <w:pPr>
        <w:pStyle w:val="Normal"/>
        <w:numPr>
          <w:ilvl w:val="0"/>
          <w:numId w:val="5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 xml:space="preserve">EES URM to provide to Government Affairs the rate curves and key regulatory assumptions within these rate curves by 5/12 (we did not set a date – Jim Steffes / Harry Kingerski / Scott Stoness need to discuss). </w:t>
      </w:r>
    </w:p>
    <w:p>
      <w:pPr>
        <w:pStyle w:val="Normal"/>
        <w:numPr>
          <w:ilvl w:val="0"/>
          <w:numId w:val="5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Government Affairs identifies regulatory assumption issues with rate forecast by 5/19 (assumes 5/12 receipt of key regulatory assumptions).</w:t>
      </w:r>
    </w:p>
    <w:p>
      <w:pPr>
        <w:pStyle w:val="Normal"/>
        <w:numPr>
          <w:ilvl w:val="0"/>
          <w:numId w:val="5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Exception resolution meeting on 5/22.</w:t>
      </w:r>
    </w:p>
    <w:p>
      <w:pPr>
        <w:pStyle w:val="Normal"/>
        <w:numPr>
          <w:ilvl w:val="0"/>
          <w:numId w:val="5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Management report complete on 5/31.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Develop Daily Position Report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EES URM and Government Affairs to discuss DPR report design after 5/22 Exception meeting.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EES complete first structure of DPR by 6/30.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Begin Monthly Review Analysis of rate curves (begin one month from close of #1)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Develop Quarterly Assessment of Net Position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I hope this properly captures the next steps.  If anyone wants to add or subtract from this process, please let me know.  Thanks. </w:t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2000-05-08T20:45:00Z</dcterms:created>
  <dc:creator>John Neslage</dc:creator>
  <dc:description/>
  <dc:language>en-CA</dc:language>
  <cp:lastModifiedBy>jsteffe</cp:lastModifiedBy>
  <dcterms:modified xsi:type="dcterms:W3CDTF">2000-05-08T20:59:00Z</dcterms:modified>
  <cp:revision>3</cp:revision>
  <dc:subject/>
  <dc:title>TO:  EES Regulated Commodity Rate Curve Team</dc:title>
</cp:coreProperties>
</file>