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GPG REGULATORY &amp; GOVERNMENT AFFAIRS ROUNDTABLE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July 19, 2000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1:30 – 2:30 PM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 Conference Room 49C2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0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18"/>
        <w:gridCol w:w="6930"/>
        <w:gridCol w:w="360"/>
        <w:gridCol w:w="810"/>
      </w:tblGrid>
      <w:tr>
        <w:trPr>
          <w:trHeight w:val="675" w:hRule="atLeast"/>
        </w:trPr>
        <w:tc>
          <w:tcPr>
            <w:tcW w:w="9018" w:type="dxa"/>
            <w:gridSpan w:val="4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****** REVISED AGENDA ******</w:t>
            </w:r>
          </w:p>
          <w:p>
            <w:pPr>
              <w:pStyle w:val="Normal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 xml:space="preserve">I. </w:t>
            </w:r>
          </w:p>
        </w:tc>
        <w:tc>
          <w:tcPr>
            <w:tcW w:w="6930" w:type="dxa"/>
            <w:tcBorders/>
          </w:tcPr>
          <w:p>
            <w:pPr>
              <w:pStyle w:val="Normal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  <w:t>BLM and National Forest Service ROW Valuation Changes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08"/>
              <w:rPr/>
            </w:pPr>
            <w:r>
              <w:rPr/>
              <w:t>Current implications to Enron /EBS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08"/>
              <w:rPr>
                <w:b/>
                <w:sz w:val="28"/>
              </w:rPr>
            </w:pPr>
            <w:r>
              <w:rPr/>
              <w:t>Potential impact to GPG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  <w:t xml:space="preserve">Steve Burns, 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  <w:t>Scott Bolton</w:t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FERC Matters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Outreach Meeting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Larcamp Visit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Order 637 Compliance Filings</w:t>
            </w:r>
          </w:p>
          <w:p>
            <w:pPr>
              <w:pStyle w:val="Normal"/>
              <w:numPr>
                <w:ilvl w:val="0"/>
                <w:numId w:val="5"/>
              </w:numPr>
              <w:ind w:hanging="360" w:start="720" w:end="0"/>
              <w:rPr/>
            </w:pPr>
            <w:r>
              <w:rPr/>
              <w:t>NNG new services</w:t>
            </w:r>
          </w:p>
          <w:p>
            <w:pPr>
              <w:pStyle w:val="Normal"/>
              <w:numPr>
                <w:ilvl w:val="0"/>
                <w:numId w:val="5"/>
              </w:numPr>
              <w:ind w:hanging="360" w:start="720" w:end="0"/>
              <w:rPr/>
            </w:pPr>
            <w:r>
              <w:rPr/>
              <w:t>AGA Intervention – Concept of Defining a High Quality Recourse Service</w:t>
            </w:r>
          </w:p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/>
              <w:t>Status on Meeting September 1 Reporting Requirements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/>
            </w:pPr>
            <w:r>
              <w:rPr/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numPr>
                <w:ilvl w:val="0"/>
                <w:numId w:val="0"/>
              </w:numPr>
              <w:ind w:hanging="0" w:start="0"/>
              <w:jc w:val="both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ind w:end="-108"/>
              <w:rPr>
                <w:b/>
                <w:sz w:val="28"/>
              </w:rPr>
            </w:pPr>
            <w:r>
              <w:rPr>
                <w:b/>
                <w:sz w:val="28"/>
              </w:rPr>
              <w:t>Auctions/Open Seasons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-108"/>
              <w:rPr/>
            </w:pPr>
            <w:r>
              <w:rPr/>
              <w:t>Columbia Proposal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-108"/>
              <w:rPr/>
            </w:pPr>
            <w:r>
              <w:rPr/>
              <w:t>Koch Proposal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360" w:end="-108"/>
              <w:rPr>
                <w:b/>
                <w:sz w:val="28"/>
              </w:rPr>
            </w:pPr>
            <w:r>
              <w:rPr/>
              <w:t>TW IOS</w:t>
            </w:r>
          </w:p>
        </w:tc>
        <w:tc>
          <w:tcPr>
            <w:tcW w:w="1170" w:type="dxa"/>
            <w:gridSpan w:val="2"/>
            <w:tcBorders/>
          </w:tcPr>
          <w:p>
            <w:pPr>
              <w:pStyle w:val="Normal"/>
              <w:numPr>
                <w:ilvl w:val="0"/>
                <w:numId w:val="0"/>
              </w:numPr>
              <w:snapToGrid w:val="false"/>
              <w:ind w:hanging="0" w:start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snapToGrid w:val="false"/>
              <w:jc w:val="both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93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918" w:type="dxa"/>
            <w:tcBorders/>
          </w:tcPr>
          <w:p>
            <w:pPr>
              <w:pStyle w:val="Normal"/>
              <w:jc w:val="both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6930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Legislative Matters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MTBE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Substitute Kansas Ad Valorem Amendment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1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*  The next Regulatory Roundtable meeting will be August 18 at 2:30 PM</w:t>
      </w:r>
    </w:p>
    <w:p>
      <w:pPr>
        <w:pStyle w:val="Normal"/>
        <w:jc w:val="both"/>
        <w:rPr/>
      </w:pPr>
      <w:r>
        <w:rPr/>
      </w:r>
    </w:p>
    <w:sectPr>
      <w:type w:val="nextPage"/>
      <w:pgSz w:w="12240" w:h="15840"/>
      <w:pgMar w:left="2160" w:right="2160" w:gutter="0" w:header="0" w:top="1440" w:footer="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738" w:end="0"/>
      <w:outlineLvl w:val="0"/>
    </w:pPr>
    <w:rPr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2000-07-19T14:31:00Z</dcterms:created>
  <dc:creator>mpierce</dc:creator>
  <dc:description/>
  <dc:language>en-CA</dc:language>
  <cp:lastModifiedBy>scorman</cp:lastModifiedBy>
  <cp:lastPrinted>2000-07-19T11:36:00Z</cp:lastPrinted>
  <dcterms:modified xsi:type="dcterms:W3CDTF">2000-07-19T14:31:00Z</dcterms:modified>
  <cp:revision>2</cp:revision>
  <dc:subject/>
  <dc:title>ENRON REGULATORY ROUNDTABLE</dc:title>
</cp:coreProperties>
</file>