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308" w:type="dxa"/>
        <w:jc w:val="start"/>
        <w:tblInd w:w="0" w:type="dxa"/>
        <w:tblLayout w:type="fixed"/>
        <w:tblCellMar>
          <w:top w:w="0" w:type="dxa"/>
          <w:start w:w="108" w:type="dxa"/>
          <w:bottom w:w="0" w:type="dxa"/>
          <w:end w:w="108" w:type="dxa"/>
        </w:tblCellMar>
      </w:tblPr>
      <w:tblGrid>
        <w:gridCol w:w="2178"/>
        <w:gridCol w:w="5130"/>
      </w:tblGrid>
      <w:tr>
        <w:trPr/>
        <w:tc>
          <w:tcPr>
            <w:tcW w:w="7308" w:type="dxa"/>
            <w:gridSpan w:val="2"/>
            <w:tcBorders/>
          </w:tcPr>
          <w:p>
            <w:pPr>
              <w:pStyle w:val="Normal"/>
              <w:ind w:end="72"/>
              <w:jc w:val="both"/>
              <w:rPr/>
            </w:pPr>
            <w:r>
              <w:rPr>
                <w:sz w:val="28"/>
              </w:rPr>
              <w:t>At any time after the 180</w:t>
            </w:r>
            <w:r>
              <w:rPr>
                <w:sz w:val="28"/>
                <w:vertAlign w:val="superscript"/>
              </w:rPr>
              <w:t>th</w:t>
            </w:r>
            <w:r>
              <w:rPr>
                <w:sz w:val="28"/>
              </w:rPr>
              <w:t xml:space="preserve"> day following the initial public offering of common stock, Enron will have two (2) demand registration rights and three (3) piggyback registration rights, with customary terms and provisions.  There shall be no limit on the number of occasions that Enron my request the registration of their registrable securities on Form S-3 in accordance with customary terms and conditions.  Enron shall have the right to require the Company to convert to a corporation and conduct an initial public offering of its common equity in the event that a nationally recognized investment banking firm advises Enron and the Company that the Company’s equity valuation is at least $100 million.  </w:t>
            </w:r>
          </w:p>
        </w:tc>
      </w:tr>
      <w:tr>
        <w:trPr/>
        <w:tc>
          <w:tcPr>
            <w:tcW w:w="2178" w:type="dxa"/>
            <w:tcBorders/>
          </w:tcPr>
          <w:p>
            <w:pPr>
              <w:pStyle w:val="Normal"/>
              <w:snapToGrid w:val="false"/>
              <w:jc w:val="both"/>
              <w:rPr>
                <w:sz w:val="28"/>
              </w:rPr>
            </w:pPr>
            <w:r>
              <w:rPr>
                <w:sz w:val="28"/>
              </w:rPr>
            </w:r>
          </w:p>
        </w:tc>
        <w:tc>
          <w:tcPr>
            <w:tcW w:w="5130" w:type="dxa"/>
            <w:tcBorders/>
            <w:tcMar>
              <w:start w:w="0" w:type="dxa"/>
              <w:end w:w="0" w:type="dxa"/>
            </w:tcMar>
          </w:tcPr>
          <w:p>
            <w:pPr>
              <w:pStyle w:val="Normal"/>
              <w:snapToGrid w:val="false"/>
              <w:rPr>
                <w:sz w:val="28"/>
              </w:rPr>
            </w:pPr>
            <w:r>
              <w:rPr>
                <w:sz w:val="2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2000-05-12T15:46:00Z</dcterms:created>
  <dc:creator>Todd Creek</dc:creator>
  <dc:description/>
  <dc:language>en-CA</dc:language>
  <cp:lastModifiedBy>Todd Creek</cp:lastModifiedBy>
  <cp:lastPrinted>2000-05-12T14:34:00Z</cp:lastPrinted>
  <dcterms:modified xsi:type="dcterms:W3CDTF">2000-05-12T16:14:00Z</dcterms:modified>
  <cp:revision>1</cp:revision>
  <dc:subject/>
  <dc:title>At any time after the 180th day following the initial public offering of common stock, Enron will have two (2) demand registration rights and three (3) piggyback registration rights, with customary terms and provisions</dc:title>
</cp:coreProperties>
</file>