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sz w:val="24"/>
          <w:lang w:eastAsia="en-US"/>
        </w:rPr>
      </w:pPr>
      <w:r>
        <w:rPr>
          <w:sz w:val="24"/>
          <w:lang w:eastAsia="en-US"/>
        </w:rPr>
        <w:t>EPMI opposes proposed discrimination in the treatment of rollover rights.  EPMI is not one of the entities referenced in the filing that, recently request large amounts of through transmission service in order to get a free option to a right of first refusal over the most valuable FTR’s to be auctioned in the West.  Rather, EPMI has economically committed to a very long duration contract, which was entered into long before FTR’s were even being discussed in the Northwest.  It’s only other outstanding requests for transmission are either 30 years in length or will only be granted if some of the transmission owners do not exercise (or do not have) a right of first refusal.  EPMI opposes the proposal to afford continuing rollover rights for transmission use to provide adequate power supply to serve loads when other transmission customers get a one time right to rollover their contracts.  Transmission owners could use this right to ultimately monopolize all of the transmission rights on the California intertie and the intertie to Canada.  They would do this by expanding their FTR’s (at no cost) over these interties as other transmission customers’ contracts end and cannot be rolled over.  They could do so even though these interties are the most important to trading in the larger wholesale market in the West.  Accordingly, EPMI would suggest several more equitable alternatives; 1) no parties should have rollover rights in the new RTO, or 2) no parties should have rollover rights in the interties into California and Canada, or 3) all parties should have a one-time rollover right at the formation of the RTO for a contract period of no longer than their existing contract.</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 xml:space="preserve">Enron opposes the proposal to include a provision in BPA’s transmission operating agreement (TOA) that would require the RTO to grant a priority among competing requests for federal transmission capacity to power serving Northwest regional loads. It is illogical for BPA to claim that it must have such a provision in its TOA to ensure that the RTO meets its obligations under current law to discriminate in the provisions of interstate transmission service.  BPA never found it needed such a provision in its own reciprocity tariff when it was operating its own transmission system.  Moreover, such a provision would clearly violate the open access procedures and requirements of Order Nos. 888 and 889. </w:t>
      </w:r>
    </w:p>
    <w:p>
      <w:pPr>
        <w:pStyle w:val="Normal"/>
        <w:widowControl w:val="false"/>
        <w:rPr>
          <w:sz w:val="24"/>
          <w:lang w:eastAsia="en-US"/>
        </w:rPr>
      </w:pPr>
      <w:r>
        <w:rPr>
          <w:sz w:val="24"/>
          <w:lang w:eastAsia="en-US"/>
        </w:rPr>
      </w:r>
    </w:p>
    <w:p>
      <w:pPr>
        <w:pStyle w:val="Normal"/>
        <w:widowControl w:val="false"/>
        <w:rPr/>
      </w:pPr>
      <w:r>
        <w:rPr>
          <w:sz w:val="24"/>
          <w:lang w:eastAsia="en-US"/>
        </w:rPr>
        <w:t xml:space="preserve">Further, regional preference would conflict with the requirements of Order No. 2000.  First, it would undermine the primary purpose of Order No. 2000, to remedy undue discrimination and anticompetitive effects. </w:t>
      </w:r>
      <w:r>
        <w:rPr>
          <w:rStyle w:val="FootnoteCharacters"/>
          <w:rStyle w:val="FootnoteReference"/>
          <w:sz w:val="24"/>
          <w:lang w:eastAsia="en-US"/>
        </w:rPr>
        <w:footnoteReference w:id="2"/>
      </w:r>
      <w:r>
        <w:rPr>
          <w:sz w:val="24"/>
          <w:lang w:eastAsia="en-US"/>
        </w:rPr>
        <w:t xml:space="preserve">  Second, the RTO would not have exclusive and independent authority to file changes to its transmission tariff including the rates terms, and conditions for service over facilities it operates.  The regional preference requirement would deprive the RTO of the exclusive and independent authority to change tariff rates reflecting different congestion pricing methods and to change tariff terms and conditions to allow service to parties outside the scope of regional preference.</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widowControl w:val="false"/>
        <w:rPr/>
      </w:pPr>
      <w:r>
        <w:rPr>
          <w:rStyle w:val="FootnoteCharacters"/>
        </w:rPr>
        <w:footnoteRef/>
      </w:r>
      <w:r>
        <w:rPr/>
        <w:t xml:space="preserve"> </w:t>
      </w:r>
      <w:r>
        <w:rPr>
          <w:lang w:eastAsia="en-US"/>
        </w:rPr>
        <w:t xml:space="preserve">Page 90, advance sheet.   The Commission has concluded that, pursuant to FPA section 202(a), it clearly has the authority to direct public utilities as well as non-public utilities to consider the regional coordination that would result from joining an RTO and to participate in Commission-sanctioned RTO discussions.  It notes that the legislative history indicates that the provision applies to both public utilities and non-public utilities.  (At note 169). Although it did not rely on Sections 211 and 212 for what it required in the rule, it noted that under appropriate circumstances, those authorities may indeed be relevant to RTO formation.  On page 143, it found that the Commission has a statutory mandate under [Sections 205 and 206] to ensure that transmission in interstate commerce and rates, contracts, and practices affecting transmission services, do not reflect an undue preference or advantage (or undue preference or disadvantage) and are just, reasonable, and not unduly discriminatory or preferential.   Once such a finding is made, the Commission is required to remedy it. (At note 163). </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2000-11-14T15:13:00Z</dcterms:created>
  <dc:creator>mhain</dc:creator>
  <dc:description/>
  <dc:language>en-CA</dc:language>
  <cp:lastModifiedBy>mhain</cp:lastModifiedBy>
  <dcterms:modified xsi:type="dcterms:W3CDTF">2000-11-14T15:13:00Z</dcterms:modified>
  <cp:revision>2</cp:revision>
  <dc:subject/>
  <dc:title>EPMI opposes proposed discrimination in the treatment of rollover rights</dc:title>
</cp:coreProperties>
</file>