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Regional ICAP Validation Procedure</w:t>
      </w:r>
    </w:p>
    <w:p>
      <w:pPr>
        <w:pStyle w:val="Normal"/>
        <w:jc w:val="center"/>
        <w:rPr>
          <w:b/>
          <w:sz w:val="28"/>
        </w:rPr>
      </w:pPr>
      <w:r>
        <w:rPr>
          <w:b/>
          <w:sz w:val="28"/>
        </w:rPr>
        <w:t>Draft 11/20/01</w:t>
      </w:r>
    </w:p>
    <w:p>
      <w:pPr>
        <w:pStyle w:val="Normal"/>
        <w:jc w:val="center"/>
        <w:rPr>
          <w:b/>
          <w:sz w:val="28"/>
        </w:rPr>
      </w:pPr>
      <w:r>
        <w:rPr>
          <w:b/>
          <w:sz w:val="28"/>
        </w:rPr>
      </w:r>
    </w:p>
    <w:p>
      <w:pPr>
        <w:pStyle w:val="Normal"/>
        <w:rPr>
          <w:b/>
          <w:sz w:val="28"/>
        </w:rPr>
      </w:pPr>
      <w:r>
        <w:rPr>
          <w:b/>
          <w:sz w:val="28"/>
        </w:rPr>
      </w:r>
    </w:p>
    <w:p>
      <w:pPr>
        <w:pStyle w:val="Heading1"/>
        <w:ind w:hanging="0" w:start="0"/>
        <w:rPr/>
      </w:pPr>
      <w:r>
        <w:rPr/>
        <w:t>Background</w:t>
      </w:r>
    </w:p>
    <w:p>
      <w:pPr>
        <w:pStyle w:val="Normal"/>
        <w:rPr>
          <w:sz w:val="24"/>
          <w:u w:val="single"/>
        </w:rPr>
      </w:pPr>
      <w:r>
        <w:rPr>
          <w:sz w:val="24"/>
          <w:u w:val="single"/>
        </w:rPr>
      </w:r>
    </w:p>
    <w:p>
      <w:pPr>
        <w:pStyle w:val="BodyText"/>
        <w:rPr/>
      </w:pPr>
      <w:r>
        <w:rPr/>
        <w:t>Currently PJM, NYISO and ISO-NE have installed capacity (ICAP) requirements for their respective Control Areas.  ICAP suppliers and purchasers are subject to the existing rules that govern each of the respective markets.  In addition to these individual market rules the ISO’s have established procedures for permitting the purchase and sale of ICAP from sources and sinks across the control area boundaries. This procedure will identify the validation and approval process for inter-control area ICAP transactions to avoid “double-counting” of ICAP and possible over-subscription of inter-area transfer capability.</w:t>
      </w:r>
    </w:p>
    <w:p>
      <w:pPr>
        <w:pStyle w:val="Normal"/>
        <w:rPr>
          <w:sz w:val="24"/>
        </w:rPr>
      </w:pPr>
      <w:r>
        <w:rPr>
          <w:sz w:val="24"/>
        </w:rPr>
      </w:r>
    </w:p>
    <w:p>
      <w:pPr>
        <w:pStyle w:val="Heading1"/>
        <w:ind w:hanging="0" w:start="0"/>
        <w:rPr/>
      </w:pPr>
      <w:r>
        <w:rPr/>
        <w:t>Details</w:t>
      </w:r>
    </w:p>
    <w:p>
      <w:pPr>
        <w:pStyle w:val="Normal"/>
        <w:rPr>
          <w:sz w:val="24"/>
          <w:u w:val="single"/>
        </w:rPr>
      </w:pPr>
      <w:r>
        <w:rPr>
          <w:sz w:val="24"/>
          <w:u w:val="single"/>
        </w:rPr>
      </w:r>
    </w:p>
    <w:p>
      <w:pPr>
        <w:pStyle w:val="BodyText"/>
        <w:rPr/>
      </w:pPr>
      <w:r>
        <w:rPr/>
        <w:t>The ICAP validation process will be as follows:</w:t>
      </w:r>
    </w:p>
    <w:p>
      <w:pPr>
        <w:pStyle w:val="Normal"/>
        <w:rPr>
          <w:sz w:val="24"/>
        </w:rPr>
      </w:pPr>
      <w:r>
        <w:rPr>
          <w:sz w:val="24"/>
        </w:rPr>
      </w:r>
    </w:p>
    <w:p>
      <w:pPr>
        <w:pStyle w:val="Normal"/>
        <w:numPr>
          <w:ilvl w:val="0"/>
          <w:numId w:val="3"/>
        </w:numPr>
        <w:rPr>
          <w:sz w:val="24"/>
        </w:rPr>
      </w:pPr>
      <w:r>
        <w:rPr>
          <w:sz w:val="24"/>
        </w:rPr>
        <w:t>By noon of the last business day of the month, prior to the start of a proposed inter-control area ICAP transaction, the responsible Sink Control Area will submit a Regional Validation form for review by the other affected Control Areas.</w:t>
      </w:r>
    </w:p>
    <w:p>
      <w:pPr>
        <w:pStyle w:val="Normal"/>
        <w:numPr>
          <w:ilvl w:val="0"/>
          <w:numId w:val="3"/>
        </w:numPr>
        <w:rPr>
          <w:sz w:val="24"/>
        </w:rPr>
      </w:pPr>
      <w:r>
        <w:rPr>
          <w:sz w:val="24"/>
        </w:rPr>
        <w:t xml:space="preserve">Each affected Control Area will complete its review of the proposed transaction and acknowledge the transaction’s feasibility by 3:00pm.  The appropriate acknowledgement line will be completed and the form will be emailed to the other affected CA (‘s).  </w:t>
      </w:r>
    </w:p>
    <w:p>
      <w:pPr>
        <w:pStyle w:val="Normal"/>
        <w:numPr>
          <w:ilvl w:val="0"/>
          <w:numId w:val="3"/>
        </w:numPr>
        <w:rPr>
          <w:sz w:val="24"/>
        </w:rPr>
      </w:pPr>
      <w:r>
        <w:rPr>
          <w:sz w:val="24"/>
        </w:rPr>
        <w:t>Once validated by all parties the ICAP will be “de-listed” from the generating source CA and added to the ICAP in the Sink CA for the transaction period.</w:t>
      </w:r>
    </w:p>
    <w:p>
      <w:pPr>
        <w:pStyle w:val="Normal"/>
        <w:rPr>
          <w:sz w:val="24"/>
        </w:rPr>
      </w:pPr>
      <w:r>
        <w:rPr>
          <w:sz w:val="24"/>
        </w:rPr>
      </w:r>
    </w:p>
    <w:p>
      <w:pPr>
        <w:pStyle w:val="BodyText"/>
        <w:rPr/>
      </w:pPr>
      <w:r>
        <w:rPr/>
        <w:t>The contacts for the respective CA’s is as follows:</w:t>
      </w:r>
    </w:p>
    <w:p>
      <w:pPr>
        <w:pStyle w:val="Normal"/>
        <w:rPr>
          <w:sz w:val="24"/>
        </w:rPr>
      </w:pPr>
      <w:r>
        <w:rPr>
          <w:sz w:val="24"/>
        </w:rPr>
      </w:r>
    </w:p>
    <w:p>
      <w:pPr>
        <w:pStyle w:val="Normal"/>
        <w:numPr>
          <w:ilvl w:val="0"/>
          <w:numId w:val="2"/>
        </w:numPr>
        <w:rPr>
          <w:sz w:val="24"/>
        </w:rPr>
      </w:pPr>
      <w:r>
        <w:rPr>
          <w:sz w:val="24"/>
        </w:rPr>
        <w:t xml:space="preserve">NYISO  - </w:t>
        <w:tab/>
        <w:t>John Charlton</w:t>
        <w:tab/>
      </w:r>
      <w:r>
        <w:rPr>
          <w:b/>
          <w:sz w:val="24"/>
        </w:rPr>
        <w:t xml:space="preserve"> – </w:t>
      </w:r>
      <w:hyperlink r:id="rId2">
        <w:r>
          <w:rPr>
            <w:rStyle w:val="Hyperlink"/>
          </w:rPr>
          <w:t>jcharlton@nyiso.com</w:t>
        </w:r>
      </w:hyperlink>
      <w:r>
        <w:rPr>
          <w:b/>
          <w:sz w:val="24"/>
        </w:rPr>
        <w:t xml:space="preserve"> </w:t>
      </w:r>
    </w:p>
    <w:p>
      <w:pPr>
        <w:pStyle w:val="Normal"/>
        <w:numPr>
          <w:ilvl w:val="0"/>
          <w:numId w:val="2"/>
        </w:numPr>
        <w:rPr>
          <w:sz w:val="24"/>
        </w:rPr>
      </w:pPr>
      <w:r>
        <w:rPr>
          <w:sz w:val="24"/>
        </w:rPr>
        <w:t>ISO-NE -</w:t>
        <w:tab/>
        <w:t xml:space="preserve">Rick Morrow </w:t>
      </w:r>
      <w:r>
        <w:rPr>
          <w:b/>
          <w:sz w:val="24"/>
        </w:rPr>
        <w:tab/>
        <w:t xml:space="preserve"> – </w:t>
      </w:r>
      <w:hyperlink r:id="rId3">
        <w:r>
          <w:rPr>
            <w:rStyle w:val="Hyperlink"/>
          </w:rPr>
          <w:t>rmorrow@iso-ne.com</w:t>
        </w:r>
      </w:hyperlink>
    </w:p>
    <w:p>
      <w:pPr>
        <w:pStyle w:val="Normal"/>
        <w:numPr>
          <w:ilvl w:val="0"/>
          <w:numId w:val="2"/>
        </w:numPr>
        <w:rPr>
          <w:sz w:val="24"/>
        </w:rPr>
      </w:pPr>
      <w:r>
        <w:rPr>
          <w:sz w:val="24"/>
        </w:rPr>
        <w:t>PJM       -</w:t>
        <w:tab/>
        <w:t>Tom Moleski</w:t>
        <w:tab/>
        <w:t xml:space="preserve"> – </w:t>
      </w:r>
      <w:hyperlink r:id="rId4">
        <w:r>
          <w:rPr>
            <w:rStyle w:val="Hyperlink"/>
          </w:rPr>
          <w:t>moleski@pjm.com</w:t>
        </w:r>
      </w:hyperlink>
      <w:r>
        <w:rPr>
          <w:sz w:val="24"/>
        </w:rPr>
        <w:t xml:space="preserve">     </w:t>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numPr>
          <w:ilvl w:val="0"/>
          <w:numId w:val="2"/>
        </w:numPr>
        <w:rPr>
          <w:sz w:val="24"/>
        </w:rPr>
      </w:pPr>
      <w:r>
        <w:rPr>
          <w:sz w:val="24"/>
        </w:rPr>
        <w:t>HQ-TE   -  Patrick Doyle</w:t>
        <w:tab/>
        <w:t xml:space="preserve"> -  </w:t>
      </w:r>
      <w:hyperlink r:id="rId5">
        <w:r>
          <w:rPr>
            <w:rStyle w:val="Hyperlink"/>
          </w:rPr>
          <w:t>doyle.patrick@hydro.qc.ca</w:t>
        </w:r>
      </w:hyperlink>
      <w:r>
        <w:rPr>
          <w:sz w:val="24"/>
        </w:rPr>
        <w:t xml:space="preserve"> </w:t>
        <w:tab/>
        <w:t xml:space="preserve">      </w:t>
      </w:r>
    </w:p>
    <w:p>
      <w:pPr>
        <w:pStyle w:val="Heading"/>
        <w:rPr>
          <w:sz w:val="34"/>
        </w:rPr>
      </w:pPr>
      <w:r>
        <w:rPr>
          <w:sz w:val="34"/>
        </w:rPr>
        <w:t>NY/NE/PJM/HQ Regional Inter-Control Area ICAP</w:t>
      </w:r>
    </w:p>
    <w:p>
      <w:pPr>
        <w:pStyle w:val="Subtitle"/>
        <w:rPr>
          <w:sz w:val="27"/>
        </w:rPr>
      </w:pPr>
      <w:r>
        <w:rPr>
          <w:sz w:val="27"/>
        </w:rPr>
        <w:t>Validation Form</w:t>
      </w:r>
    </w:p>
    <w:p>
      <w:pPr>
        <w:pStyle w:val="Normal"/>
        <w:jc w:val="center"/>
        <w:rPr>
          <w:sz w:val="27"/>
        </w:rPr>
      </w:pPr>
      <w:r>
        <w:rPr>
          <w:sz w:val="27"/>
        </w:rPr>
        <w:t>(11/7/01 Draft)</w:t>
      </w:r>
    </w:p>
    <w:p>
      <w:pPr>
        <w:pStyle w:val="Normal"/>
        <w:jc w:val="center"/>
        <w:rPr>
          <w:sz w:val="27"/>
        </w:rPr>
      </w:pPr>
      <w:r>
        <w:rPr>
          <w:sz w:val="27"/>
        </w:rPr>
      </w:r>
    </w:p>
    <w:p>
      <w:pPr>
        <w:pStyle w:val="Normal"/>
        <w:jc w:val="center"/>
        <w:rPr>
          <w:sz w:val="27"/>
        </w:rPr>
      </w:pPr>
      <w:r>
        <w:rPr>
          <w:sz w:val="27"/>
        </w:rPr>
      </w:r>
    </w:p>
    <w:p>
      <w:pPr>
        <w:pStyle w:val="Normal"/>
        <w:jc w:val="center"/>
        <w:rPr>
          <w:sz w:val="27"/>
        </w:rPr>
      </w:pPr>
      <w:r>
        <w:rPr>
          <w:sz w:val="27"/>
        </w:rPr>
      </w:r>
    </w:p>
    <w:p>
      <w:pPr>
        <w:pStyle w:val="Normal"/>
        <w:spacing w:lineRule="exact" w:line="960"/>
        <w:rPr/>
      </w:pPr>
      <w:r>
        <w:rPr>
          <w:b/>
          <w:sz w:val="27"/>
          <w:shd w:fill="FFFF00" w:val="clear"/>
        </w:rPr>
        <w:t>________________</w:t>
      </w:r>
      <w:r>
        <w:rPr>
          <w:b/>
          <w:sz w:val="27"/>
        </w:rPr>
        <w:t xml:space="preserve"> </w:t>
      </w:r>
      <w:r>
        <w:rPr>
          <w:b/>
          <w:sz w:val="23"/>
          <w:shd w:fill="FFFF00" w:val="clear"/>
        </w:rPr>
        <w:t>_________</w:t>
      </w:r>
      <w:r>
        <w:rPr>
          <w:b/>
          <w:sz w:val="23"/>
        </w:rPr>
        <w:t xml:space="preserve"> has awarded</w:t>
      </w:r>
      <w:r>
        <w:rPr>
          <w:sz w:val="23"/>
        </w:rPr>
        <w:t xml:space="preserve"> </w:t>
      </w:r>
      <w:r>
        <w:rPr>
          <w:b/>
          <w:sz w:val="23"/>
          <w:shd w:fill="FFFF00" w:val="clear"/>
        </w:rPr>
        <w:t>_________</w:t>
      </w:r>
      <w:r>
        <w:rPr>
          <w:b/>
          <w:sz w:val="23"/>
        </w:rPr>
        <w:t xml:space="preserve">MW of ICAP from </w:t>
      </w:r>
      <w:r>
        <w:rPr>
          <w:b/>
          <w:sz w:val="23"/>
          <w:shd w:fill="FFFF00" w:val="clear"/>
        </w:rPr>
        <w:t>________________________________</w:t>
      </w:r>
      <w:r>
        <w:rPr>
          <w:b/>
          <w:sz w:val="23"/>
        </w:rPr>
        <w:t xml:space="preserve"> located in the </w:t>
      </w:r>
      <w:r>
        <w:rPr>
          <w:b/>
          <w:sz w:val="23"/>
          <w:shd w:fill="FFFF00" w:val="clear"/>
        </w:rPr>
        <w:t xml:space="preserve">_____________________________ </w:t>
      </w:r>
      <w:r>
        <w:rPr>
          <w:b/>
          <w:sz w:val="23"/>
        </w:rPr>
        <w:t>for</w:t>
      </w:r>
      <w:r>
        <w:rPr>
          <w:sz w:val="23"/>
        </w:rPr>
        <w:t xml:space="preserve"> </w:t>
      </w:r>
      <w:r>
        <w:rPr>
          <w:b/>
          <w:sz w:val="23"/>
        </w:rPr>
        <w:t xml:space="preserve">the period beginning </w:t>
      </w:r>
      <w:r>
        <w:rPr>
          <w:b/>
          <w:sz w:val="23"/>
          <w:shd w:fill="FFFF00" w:val="clear"/>
        </w:rPr>
        <w:t>________________</w:t>
      </w:r>
      <w:r>
        <w:rPr>
          <w:b/>
          <w:sz w:val="23"/>
        </w:rPr>
        <w:t xml:space="preserve">and ending on  </w:t>
      </w:r>
      <w:r>
        <w:rPr>
          <w:b/>
          <w:sz w:val="23"/>
          <w:shd w:fill="FFFF00" w:val="clear"/>
        </w:rPr>
        <w:t>_____________________</w:t>
      </w:r>
      <w:r>
        <w:rPr>
          <w:b/>
          <w:sz w:val="23"/>
        </w:rPr>
        <w:t xml:space="preserve">.      This ICAP is supplied from </w:t>
      </w:r>
      <w:r>
        <w:rPr>
          <w:b/>
          <w:sz w:val="23"/>
          <w:shd w:fill="FFFF00" w:val="clear"/>
        </w:rPr>
        <w:t>___________________________</w:t>
      </w:r>
      <w:r>
        <w:rPr>
          <w:b/>
          <w:sz w:val="23"/>
        </w:rPr>
        <w:t xml:space="preserve">.  The Source Control Area also confirms that the ICAP supplier will reserve firm transmission or otherwise guarantees delivery when associated energy is needed by the Sink Control Area. </w:t>
      </w:r>
      <w:r>
        <mc:AlternateContent>
          <mc:Choice Requires="wps">
            <w:drawing>
              <wp:anchor behindDoc="0" distT="0" distB="0" distL="114935" distR="114935" simplePos="0" locked="0" layoutInCell="1" allowOverlap="1" relativeHeight="2">
                <wp:simplePos x="0" y="0"/>
                <wp:positionH relativeFrom="column">
                  <wp:posOffset>2743200</wp:posOffset>
                </wp:positionH>
                <wp:positionV relativeFrom="paragraph">
                  <wp:posOffset>495300</wp:posOffset>
                </wp:positionV>
                <wp:extent cx="1714500" cy="228600"/>
                <wp:effectExtent l="0" t="0" r="0" b="0"/>
                <wp:wrapNone/>
                <wp:docPr id="1" name="Frame7"/>
                <a:graphic xmlns:a="http://schemas.openxmlformats.org/drawingml/2006/main">
                  <a:graphicData uri="http://schemas.microsoft.com/office/word/2010/wordprocessingShape">
                    <wps:wsp>
                      <wps:cNvSpPr txBox="1"/>
                      <wps:spPr>
                        <a:xfrm>
                          <a:off x="0" y="0"/>
                          <a:ext cx="1714500" cy="228600"/>
                        </a:xfrm>
                        <a:prstGeom prst="rect"/>
                        <a:solidFill>
                          <a:srgbClr val="FFFFFF">
                            <a:alpha val="0"/>
                          </a:srgbClr>
                        </a:solidFill>
                      </wps:spPr>
                      <wps:txbx>
                        <w:txbxContent>
                          <w:p>
                            <w:pPr>
                              <w:pStyle w:val="Heading1"/>
                              <w:ind w:hanging="0" w:start="0"/>
                              <w:rPr>
                                <w:sz w:val="19"/>
                              </w:rPr>
                            </w:pPr>
                            <w:r>
                              <w:rPr>
                                <w:sz w:val="19"/>
                              </w:rPr>
                            </w:r>
                          </w:p>
                        </w:txbxContent>
                      </wps:txbx>
                      <wps:bodyPr anchor="t" lIns="92075" tIns="46355" rIns="92075" bIns="46355">
                        <a:noAutofit/>
                      </wps:bodyPr>
                    </wps:wsp>
                  </a:graphicData>
                </a:graphic>
              </wp:anchor>
            </w:drawing>
          </mc:Choice>
          <mc:Fallback>
            <w:pict>
              <v:rect fillcolor="#FFFFFF" style="position:absolute;rotation:-0;width:135pt;height:18pt;mso-wrap-distance-left:9.05pt;mso-wrap-distance-right:9.05pt;mso-wrap-distance-top:0pt;mso-wrap-distance-bottom:0pt;margin-top:39pt;mso-position-vertical-relative:text;margin-left:216pt;mso-position-horizontal-relative:text">
                <v:fill opacity="0f"/>
                <v:textbox inset="0.100694444444444in,0.0506944444444444in,0.100694444444444in,0.0506944444444444in">
                  <w:txbxContent>
                    <w:p>
                      <w:pPr>
                        <w:pStyle w:val="Heading1"/>
                        <w:ind w:hanging="0" w:start="0"/>
                        <w:rPr>
                          <w:sz w:val="19"/>
                        </w:rPr>
                      </w:pPr>
                      <w:r>
                        <w:rPr>
                          <w:sz w:val="19"/>
                        </w:rPr>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51435</wp:posOffset>
                </wp:positionH>
                <wp:positionV relativeFrom="paragraph">
                  <wp:posOffset>460375</wp:posOffset>
                </wp:positionV>
                <wp:extent cx="1828800" cy="228600"/>
                <wp:effectExtent l="0" t="0" r="0" b="0"/>
                <wp:wrapNone/>
                <wp:docPr id="2" name="Frame3"/>
                <a:graphic xmlns:a="http://schemas.openxmlformats.org/drawingml/2006/main">
                  <a:graphicData uri="http://schemas.microsoft.com/office/word/2010/wordprocessingShape">
                    <wps:wsp>
                      <wps:cNvSpPr txBox="1"/>
                      <wps:spPr>
                        <a:xfrm>
                          <a:off x="0" y="0"/>
                          <a:ext cx="1828800" cy="228600"/>
                        </a:xfrm>
                        <a:prstGeom prst="rect"/>
                        <a:solidFill>
                          <a:srgbClr val="FFFFFF">
                            <a:alpha val="0"/>
                          </a:srgbClr>
                        </a:solidFill>
                      </wps:spPr>
                      <wps:txbx>
                        <w:txbxContent>
                          <w:p>
                            <w:pPr>
                              <w:pStyle w:val="Heading1"/>
                              <w:ind w:hanging="0" w:start="0"/>
                              <w:rPr>
                                <w:rFonts w:ascii="Arial" w:hAnsi="Arial" w:cs="Arial"/>
                                <w:sz w:val="16"/>
                              </w:rPr>
                            </w:pPr>
                            <w:r>
                              <w:rPr>
                                <w:rFonts w:cs="Arial" w:ascii="Arial" w:hAnsi="Arial"/>
                                <w:sz w:val="16"/>
                              </w:rPr>
                              <w:t>Sink Control Area</w:t>
                            </w:r>
                          </w:p>
                        </w:txbxContent>
                      </wps:txbx>
                      <wps:bodyPr anchor="t" lIns="92075" tIns="46355" rIns="92075" bIns="46355">
                        <a:noAutofit/>
                      </wps:bodyPr>
                    </wps:wsp>
                  </a:graphicData>
                </a:graphic>
              </wp:anchor>
            </w:drawing>
          </mc:Choice>
          <mc:Fallback>
            <w:pict>
              <v:rect fillcolor="#FFFFFF" style="position:absolute;rotation:-0;width:144pt;height:18pt;mso-wrap-distance-left:9.05pt;mso-wrap-distance-right:9.05pt;mso-wrap-distance-top:0pt;mso-wrap-distance-bottom:0pt;margin-top:36.25pt;mso-position-vertical-relative:text;margin-left:4.05pt;mso-position-horizontal-relative:text">
                <v:fill opacity="0f"/>
                <v:textbox inset="0.100694444444444in,0.0506944444444444in,0.100694444444444in,0.0506944444444444in">
                  <w:txbxContent>
                    <w:p>
                      <w:pPr>
                        <w:pStyle w:val="Heading1"/>
                        <w:ind w:hanging="0" w:start="0"/>
                        <w:rPr>
                          <w:rFonts w:ascii="Arial" w:hAnsi="Arial" w:cs="Arial"/>
                          <w:sz w:val="16"/>
                        </w:rPr>
                      </w:pPr>
                      <w:r>
                        <w:rPr>
                          <w:rFonts w:cs="Arial" w:ascii="Arial" w:hAnsi="Arial"/>
                          <w:sz w:val="16"/>
                        </w:rPr>
                        <w:t>Sink Control Area</w:t>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1537335</wp:posOffset>
                </wp:positionH>
                <wp:positionV relativeFrom="paragraph">
                  <wp:posOffset>1717675</wp:posOffset>
                </wp:positionV>
                <wp:extent cx="1371600" cy="228600"/>
                <wp:effectExtent l="0" t="0" r="0" b="0"/>
                <wp:wrapNone/>
                <wp:docPr id="3" name="Frame5"/>
                <a:graphic xmlns:a="http://schemas.openxmlformats.org/drawingml/2006/main">
                  <a:graphicData uri="http://schemas.microsoft.com/office/word/2010/wordprocessingShape">
                    <wps:wsp>
                      <wps:cNvSpPr txBox="1"/>
                      <wps:spPr>
                        <a:xfrm>
                          <a:off x="0" y="0"/>
                          <a:ext cx="1371600" cy="228600"/>
                        </a:xfrm>
                        <a:prstGeom prst="rect"/>
                        <a:solidFill>
                          <a:srgbClr val="FFFFFF">
                            <a:alpha val="0"/>
                          </a:srgbClr>
                        </a:solidFill>
                      </wps:spPr>
                      <wps:txbx>
                        <w:txbxContent>
                          <w:p>
                            <w:pPr>
                              <w:pStyle w:val="BodyText"/>
                              <w:rPr>
                                <w:rFonts w:ascii="Arial" w:hAnsi="Arial" w:cs="Arial"/>
                                <w:sz w:val="16"/>
                                <w:u w:val="single"/>
                              </w:rPr>
                            </w:pPr>
                            <w:r>
                              <w:rPr>
                                <w:rFonts w:cs="Arial" w:ascii="Arial" w:hAnsi="Arial"/>
                                <w:sz w:val="16"/>
                                <w:u w:val="single"/>
                              </w:rPr>
                              <w:t>Date</w:t>
                            </w:r>
                          </w:p>
                        </w:txbxContent>
                      </wps:txbx>
                      <wps:bodyPr anchor="t" lIns="92075" tIns="635" rIns="92075" bIns="46355">
                        <a:noAutofit/>
                      </wps:bodyPr>
                    </wps:wsp>
                  </a:graphicData>
                </a:graphic>
              </wp:anchor>
            </w:drawing>
          </mc:Choice>
          <mc:Fallback>
            <w:pict>
              <v:rect fillcolor="#FFFFFF" style="position:absolute;rotation:-0;width:108pt;height:18pt;mso-wrap-distance-left:9.05pt;mso-wrap-distance-right:9.05pt;mso-wrap-distance-top:0pt;mso-wrap-distance-bottom:0pt;margin-top:135.25pt;mso-position-vertical-relative:text;margin-left:121.05pt;mso-position-horizontal-relative:text">
                <v:fill opacity="0f"/>
                <v:textbox inset="0.100694444444444in,0.000694444444444445in,0.100694444444444in,0.0506944444444444in">
                  <w:txbxContent>
                    <w:p>
                      <w:pPr>
                        <w:pStyle w:val="BodyText"/>
                        <w:rPr>
                          <w:rFonts w:ascii="Arial" w:hAnsi="Arial" w:cs="Arial"/>
                          <w:sz w:val="16"/>
                          <w:u w:val="single"/>
                        </w:rPr>
                      </w:pPr>
                      <w:r>
                        <w:rPr>
                          <w:rFonts w:cs="Arial" w:ascii="Arial" w:hAnsi="Arial"/>
                          <w:sz w:val="16"/>
                          <w:u w:val="single"/>
                        </w:rPr>
                        <w:t>Date</w:t>
                      </w:r>
                    </w:p>
                  </w:txbxContent>
                </v:textbox>
                <w10:wrap type="none"/>
              </v:rect>
            </w:pict>
          </mc:Fallback>
        </mc:AlternateContent>
      </w:r>
      <w:r>
        <mc:AlternateContent>
          <mc:Choice Requires="wps">
            <w:drawing>
              <wp:anchor behindDoc="0" distT="0" distB="0" distL="114935" distR="114935" simplePos="0" locked="0" layoutInCell="1" allowOverlap="1" relativeHeight="5">
                <wp:simplePos x="0" y="0"/>
                <wp:positionH relativeFrom="column">
                  <wp:posOffset>1765935</wp:posOffset>
                </wp:positionH>
                <wp:positionV relativeFrom="paragraph">
                  <wp:posOffset>2289175</wp:posOffset>
                </wp:positionV>
                <wp:extent cx="1943100" cy="228600"/>
                <wp:effectExtent l="0" t="0" r="0" b="0"/>
                <wp:wrapNone/>
                <wp:docPr id="4" name="Frame6"/>
                <a:graphic xmlns:a="http://schemas.openxmlformats.org/drawingml/2006/main">
                  <a:graphicData uri="http://schemas.microsoft.com/office/word/2010/wordprocessingShape">
                    <wps:wsp>
                      <wps:cNvSpPr txBox="1"/>
                      <wps:spPr>
                        <a:xfrm>
                          <a:off x="0" y="0"/>
                          <a:ext cx="1943100" cy="228600"/>
                        </a:xfrm>
                        <a:prstGeom prst="rect"/>
                        <a:solidFill>
                          <a:srgbClr val="FFFFFF">
                            <a:alpha val="0"/>
                          </a:srgbClr>
                        </a:solidFill>
                      </wps:spPr>
                      <wps:txbx>
                        <w:txbxContent>
                          <w:p>
                            <w:pPr>
                              <w:pStyle w:val="Heading2"/>
                              <w:ind w:hanging="0" w:start="0"/>
                              <w:rPr>
                                <w:i w:val="false"/>
                                <w:i w:val="false"/>
                                <w:sz w:val="16"/>
                                <w:u w:val="single"/>
                              </w:rPr>
                            </w:pPr>
                            <w:r>
                              <w:rPr>
                                <w:i w:val="false"/>
                                <w:sz w:val="16"/>
                                <w:u w:val="single"/>
                              </w:rPr>
                              <w:t>Specific Generator</w:t>
                            </w:r>
                          </w:p>
                        </w:txbxContent>
                      </wps:txbx>
                      <wps:bodyPr anchor="t" lIns="92075" tIns="46355" rIns="92075" bIns="46355">
                        <a:noAutofit/>
                      </wps:bodyPr>
                    </wps:wsp>
                  </a:graphicData>
                </a:graphic>
              </wp:anchor>
            </w:drawing>
          </mc:Choice>
          <mc:Fallback>
            <w:pict>
              <v:rect fillcolor="#FFFFFF" style="position:absolute;rotation:-0;width:153pt;height:18pt;mso-wrap-distance-left:9.05pt;mso-wrap-distance-right:9.05pt;mso-wrap-distance-top:0pt;mso-wrap-distance-bottom:0pt;margin-top:180.25pt;mso-position-vertical-relative:text;margin-left:139.05pt;mso-position-horizontal-relative:text">
                <v:fill opacity="0f"/>
                <v:textbox inset="0.100694444444444in,0.0506944444444444in,0.100694444444444in,0.0506944444444444in">
                  <w:txbxContent>
                    <w:p>
                      <w:pPr>
                        <w:pStyle w:val="Heading2"/>
                        <w:ind w:hanging="0" w:start="0"/>
                        <w:rPr>
                          <w:i w:val="false"/>
                          <w:i w:val="false"/>
                          <w:sz w:val="16"/>
                          <w:u w:val="single"/>
                        </w:rPr>
                      </w:pPr>
                      <w:r>
                        <w:rPr>
                          <w:i w:val="false"/>
                          <w:sz w:val="16"/>
                          <w:u w:val="single"/>
                        </w:rPr>
                        <w:t>Specific Generator</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3709035</wp:posOffset>
                </wp:positionH>
                <wp:positionV relativeFrom="paragraph">
                  <wp:posOffset>1717675</wp:posOffset>
                </wp:positionV>
                <wp:extent cx="800100" cy="228600"/>
                <wp:effectExtent l="0" t="0" r="0" b="0"/>
                <wp:wrapNone/>
                <wp:docPr id="5" name="Frame4"/>
                <a:graphic xmlns:a="http://schemas.openxmlformats.org/drawingml/2006/main">
                  <a:graphicData uri="http://schemas.microsoft.com/office/word/2010/wordprocessingShape">
                    <wps:wsp>
                      <wps:cNvSpPr txBox="1"/>
                      <wps:spPr>
                        <a:xfrm>
                          <a:off x="0" y="0"/>
                          <a:ext cx="800100" cy="228600"/>
                        </a:xfrm>
                        <a:prstGeom prst="rect"/>
                        <a:solidFill>
                          <a:srgbClr val="FFFFFF">
                            <a:alpha val="0"/>
                          </a:srgbClr>
                        </a:solidFill>
                      </wps:spPr>
                      <wps:txbx>
                        <w:txbxContent>
                          <w:p>
                            <w:pPr>
                              <w:pStyle w:val="Heading2"/>
                              <w:ind w:hanging="0" w:start="0"/>
                              <w:rPr>
                                <w:i w:val="false"/>
                                <w:i w:val="false"/>
                                <w:sz w:val="16"/>
                                <w:u w:val="single"/>
                              </w:rPr>
                            </w:pPr>
                            <w:r>
                              <w:rPr>
                                <w:i w:val="false"/>
                                <w:sz w:val="16"/>
                                <w:u w:val="single"/>
                              </w:rPr>
                              <w:t>Date</w:t>
                            </w:r>
                          </w:p>
                        </w:txbxContent>
                      </wps:txbx>
                      <wps:bodyPr anchor="t" lIns="92075" tIns="635" rIns="92075" bIns="46355">
                        <a:noAutofit/>
                      </wps:bodyPr>
                    </wps:wsp>
                  </a:graphicData>
                </a:graphic>
              </wp:anchor>
            </w:drawing>
          </mc:Choice>
          <mc:Fallback>
            <w:pict>
              <v:rect fillcolor="#FFFFFF" style="position:absolute;rotation:-0;width:63pt;height:18pt;mso-wrap-distance-left:9.05pt;mso-wrap-distance-right:9.05pt;mso-wrap-distance-top:0pt;mso-wrap-distance-bottom:0pt;margin-top:135.25pt;mso-position-vertical-relative:text;margin-left:292.05pt;mso-position-horizontal-relative:text">
                <v:fill opacity="0f"/>
                <v:textbox inset="0.100694444444444in,0.000694444444444445in,0.100694444444444in,0.0506944444444444in">
                  <w:txbxContent>
                    <w:p>
                      <w:pPr>
                        <w:pStyle w:val="Heading2"/>
                        <w:ind w:hanging="0" w:start="0"/>
                        <w:rPr>
                          <w:i w:val="false"/>
                          <w:i w:val="false"/>
                          <w:sz w:val="16"/>
                          <w:u w:val="single"/>
                        </w:rPr>
                      </w:pPr>
                      <w:r>
                        <w:rPr>
                          <w:i w:val="false"/>
                          <w:sz w:val="16"/>
                          <w:u w:val="single"/>
                        </w:rPr>
                        <w:t>Date</w:t>
                      </w:r>
                    </w:p>
                  </w:txbxContent>
                </v:textbox>
                <w10:wrap type="non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0</wp:posOffset>
                </wp:positionH>
                <wp:positionV relativeFrom="paragraph">
                  <wp:posOffset>3009900</wp:posOffset>
                </wp:positionV>
                <wp:extent cx="2400300" cy="228600"/>
                <wp:effectExtent l="0" t="0" r="0" b="0"/>
                <wp:wrapNone/>
                <wp:docPr id="6" name="Frame8"/>
                <a:graphic xmlns:a="http://schemas.openxmlformats.org/drawingml/2006/main">
                  <a:graphicData uri="http://schemas.microsoft.com/office/word/2010/wordprocessingShape">
                    <wps:wsp>
                      <wps:cNvSpPr txBox="1"/>
                      <wps:spPr>
                        <a:xfrm>
                          <a:off x="0" y="0"/>
                          <a:ext cx="2400300" cy="228600"/>
                        </a:xfrm>
                        <a:prstGeom prst="rect"/>
                        <a:solidFill>
                          <a:srgbClr val="FFFFFF">
                            <a:alpha val="0"/>
                          </a:srgbClr>
                        </a:solidFill>
                      </wps:spPr>
                      <wps:txbx>
                        <w:txbxContent>
                          <w:p>
                            <w:pPr>
                              <w:pStyle w:val="Heading1"/>
                              <w:ind w:hanging="0" w:start="0"/>
                              <w:rPr>
                                <w:sz w:val="19"/>
                              </w:rPr>
                            </w:pPr>
                            <w:r>
                              <w:rPr>
                                <w:sz w:val="19"/>
                              </w:rPr>
                            </w:r>
                          </w:p>
                        </w:txbxContent>
                      </wps:txbx>
                      <wps:bodyPr anchor="t" lIns="92075" tIns="46355" rIns="92075" bIns="46355">
                        <a:noAutofit/>
                      </wps:bodyPr>
                    </wps:wsp>
                  </a:graphicData>
                </a:graphic>
              </wp:anchor>
            </w:drawing>
          </mc:Choice>
          <mc:Fallback>
            <w:pict>
              <v:rect fillcolor="#FFFFFF" style="position:absolute;rotation:-0;width:189pt;height:18pt;mso-wrap-distance-left:9.05pt;mso-wrap-distance-right:9.05pt;mso-wrap-distance-top:0pt;mso-wrap-distance-bottom:0pt;margin-top:237pt;mso-position-vertical-relative:text;margin-left:0pt;mso-position-horizontal-relative:text">
                <v:fill opacity="0f"/>
                <v:textbox inset="0.100694444444444in,0.0506944444444444in,0.100694444444444in,0.0506944444444444in">
                  <w:txbxContent>
                    <w:p>
                      <w:pPr>
                        <w:pStyle w:val="Heading1"/>
                        <w:ind w:hanging="0" w:start="0"/>
                        <w:rPr>
                          <w:sz w:val="19"/>
                        </w:rPr>
                      </w:pPr>
                      <w:r>
                        <w:rPr>
                          <w:sz w:val="19"/>
                        </w:rPr>
                      </w:r>
                    </w:p>
                  </w:txbxContent>
                </v:textbox>
                <w10:wrap type="none"/>
              </v:rect>
            </w:pict>
          </mc:Fallback>
        </mc:AlternateContent>
      </w:r>
      <w:r>
        <mc:AlternateContent>
          <mc:Choice Requires="wps">
            <w:drawing>
              <wp:anchor behindDoc="0" distT="0" distB="0" distL="114935" distR="114935" simplePos="0" locked="0" layoutInCell="1" allowOverlap="1" relativeHeight="8">
                <wp:simplePos x="0" y="0"/>
                <wp:positionH relativeFrom="column">
                  <wp:posOffset>3251835</wp:posOffset>
                </wp:positionH>
                <wp:positionV relativeFrom="paragraph">
                  <wp:posOffset>1146175</wp:posOffset>
                </wp:positionV>
                <wp:extent cx="1485900" cy="228600"/>
                <wp:effectExtent l="0" t="0" r="0" b="0"/>
                <wp:wrapNone/>
                <wp:docPr id="7" name="Frame2"/>
                <a:graphic xmlns:a="http://schemas.openxmlformats.org/drawingml/2006/main">
                  <a:graphicData uri="http://schemas.microsoft.com/office/word/2010/wordprocessingShape">
                    <wps:wsp>
                      <wps:cNvSpPr txBox="1"/>
                      <wps:spPr>
                        <a:xfrm>
                          <a:off x="0" y="0"/>
                          <a:ext cx="1485900" cy="228600"/>
                        </a:xfrm>
                        <a:prstGeom prst="rect"/>
                        <a:solidFill>
                          <a:srgbClr val="FFFFFF"/>
                        </a:solidFill>
                      </wps:spPr>
                      <wps:txbx>
                        <w:txbxContent>
                          <w:p>
                            <w:pPr>
                              <w:pStyle w:val="Heading1"/>
                              <w:ind w:hanging="0" w:start="0"/>
                              <w:rPr>
                                <w:rFonts w:ascii="Arial" w:hAnsi="Arial" w:cs="Arial"/>
                                <w:sz w:val="16"/>
                              </w:rPr>
                            </w:pPr>
                            <w:r>
                              <w:rPr>
                                <w:rFonts w:cs="Arial" w:ascii="Arial" w:hAnsi="Arial"/>
                                <w:sz w:val="16"/>
                              </w:rPr>
                              <w:t>Source Control Area</w:t>
                            </w:r>
                          </w:p>
                        </w:txbxContent>
                      </wps:txbx>
                      <wps:bodyPr anchor="t" lIns="92075" tIns="635" rIns="92075" bIns="46355">
                        <a:noAutofit/>
                      </wps:bodyPr>
                    </wps:wsp>
                  </a:graphicData>
                </a:graphic>
              </wp:anchor>
            </w:drawing>
          </mc:Choice>
          <mc:Fallback>
            <w:pict>
              <v:rect fillcolor="#FFFFFF" style="position:absolute;rotation:-0;width:117pt;height:18pt;mso-wrap-distance-left:9.05pt;mso-wrap-distance-right:9.05pt;mso-wrap-distance-top:0pt;mso-wrap-distance-bottom:0pt;margin-top:90.25pt;mso-position-vertical-relative:text;margin-left:256.05pt;mso-position-horizontal-relative:text">
                <v:textbox inset="0.100694444444444in,0.000694444444444445in,0.100694444444444in,0.0506944444444444in">
                  <w:txbxContent>
                    <w:p>
                      <w:pPr>
                        <w:pStyle w:val="Heading1"/>
                        <w:ind w:hanging="0" w:start="0"/>
                        <w:rPr>
                          <w:rFonts w:ascii="Arial" w:hAnsi="Arial" w:cs="Arial"/>
                          <w:sz w:val="16"/>
                        </w:rPr>
                      </w:pPr>
                      <w:r>
                        <w:rPr>
                          <w:rFonts w:cs="Arial" w:ascii="Arial" w:hAnsi="Arial"/>
                          <w:sz w:val="16"/>
                        </w:rPr>
                        <w:t>Source Control Area</w:t>
                      </w:r>
                    </w:p>
                  </w:txbxContent>
                </v:textbox>
                <w10:wrap type="none"/>
              </v:rect>
            </w:pict>
          </mc:Fallback>
        </mc:AlternateContent>
      </w:r>
      <w:r>
        <mc:AlternateContent>
          <mc:Choice Requires="wps">
            <w:drawing>
              <wp:anchor behindDoc="0" distT="0" distB="0" distL="114935" distR="114935" simplePos="0" locked="0" layoutInCell="1" allowOverlap="1" relativeHeight="9">
                <wp:simplePos x="0" y="0"/>
                <wp:positionH relativeFrom="column">
                  <wp:posOffset>51435</wp:posOffset>
                </wp:positionH>
                <wp:positionV relativeFrom="paragraph">
                  <wp:posOffset>1146175</wp:posOffset>
                </wp:positionV>
                <wp:extent cx="1143000" cy="228600"/>
                <wp:effectExtent l="0" t="0" r="0" b="0"/>
                <wp:wrapNone/>
                <wp:docPr id="8" name="Frame1"/>
                <a:graphic xmlns:a="http://schemas.openxmlformats.org/drawingml/2006/main">
                  <a:graphicData uri="http://schemas.microsoft.com/office/word/2010/wordprocessingShape">
                    <wps:wsp>
                      <wps:cNvSpPr txBox="1"/>
                      <wps:spPr>
                        <a:xfrm>
                          <a:off x="0" y="0"/>
                          <a:ext cx="1143000" cy="228600"/>
                        </a:xfrm>
                        <a:prstGeom prst="rect"/>
                        <a:solidFill>
                          <a:srgbClr val="FFFFFF"/>
                        </a:solidFill>
                      </wps:spPr>
                      <wps:txbx>
                        <w:txbxContent>
                          <w:p>
                            <w:pPr>
                              <w:pStyle w:val="Heading5"/>
                              <w:ind w:hanging="0" w:start="0"/>
                              <w:rPr/>
                            </w:pPr>
                            <w:r>
                              <w:rPr/>
                              <w:t>Supplier</w:t>
                            </w:r>
                          </w:p>
                        </w:txbxContent>
                      </wps:txbx>
                      <wps:bodyPr anchor="t" lIns="92075" tIns="635" rIns="92075" bIns="46355">
                        <a:noAutofit/>
                      </wps:bodyPr>
                    </wps:wsp>
                  </a:graphicData>
                </a:graphic>
              </wp:anchor>
            </w:drawing>
          </mc:Choice>
          <mc:Fallback>
            <w:pict>
              <v:rect fillcolor="#FFFFFF" style="position:absolute;rotation:-0;width:90pt;height:18pt;mso-wrap-distance-left:9.05pt;mso-wrap-distance-right:9.05pt;mso-wrap-distance-top:0pt;mso-wrap-distance-bottom:0pt;margin-top:90.25pt;mso-position-vertical-relative:text;margin-left:4.05pt;mso-position-horizontal-relative:text">
                <v:textbox inset="0.100694444444444in,0.000694444444444445in,0.100694444444444in,0.0506944444444444in">
                  <w:txbxContent>
                    <w:p>
                      <w:pPr>
                        <w:pStyle w:val="Heading5"/>
                        <w:ind w:hanging="0" w:start="0"/>
                        <w:rPr/>
                      </w:pPr>
                      <w:r>
                        <w:rPr/>
                        <w:t>Supplier</w:t>
                      </w:r>
                    </w:p>
                  </w:txbxContent>
                </v:textbox>
                <w10:wrap type="none"/>
              </v:rect>
            </w:pict>
          </mc:Fallback>
        </mc:AlternateContent>
      </w:r>
    </w:p>
    <w:p>
      <w:pPr>
        <w:pStyle w:val="Normal"/>
        <w:spacing w:lineRule="exact" w:line="960"/>
        <w:rPr>
          <w:b/>
          <w:sz w:val="23"/>
        </w:rPr>
      </w:pPr>
      <w:r>
        <w:rPr>
          <w:b/>
          <w:sz w:val="23"/>
        </w:rPr>
      </w:r>
    </w:p>
    <w:p>
      <w:pPr>
        <w:pStyle w:val="BodyText2"/>
        <w:rPr>
          <w:sz w:val="27"/>
        </w:rPr>
      </w:pPr>
      <w:r>
        <w:rPr>
          <w:sz w:val="27"/>
        </w:rPr>
        <w:t>Note that the Source Control Area will not count this capacity in meeting its installed capacity obligations.</w:t>
      </w:r>
    </w:p>
    <w:p>
      <w:pPr>
        <w:pStyle w:val="Normal"/>
        <w:rPr>
          <w:sz w:val="23"/>
        </w:rPr>
      </w:pPr>
      <w:r>
        <w:rPr>
          <w:sz w:val="23"/>
        </w:rPr>
      </w:r>
    </w:p>
    <w:p>
      <w:pPr>
        <w:pStyle w:val="Normal"/>
        <w:rPr>
          <w:sz w:val="23"/>
        </w:rPr>
      </w:pPr>
      <w:r>
        <w:rPr>
          <w:sz w:val="23"/>
        </w:rPr>
      </w:r>
    </w:p>
    <w:p>
      <w:pPr>
        <w:pStyle w:val="Normal"/>
        <w:rPr>
          <w:sz w:val="23"/>
        </w:rPr>
      </w:pPr>
      <w:r>
        <w:rPr>
          <w:sz w:val="23"/>
        </w:rPr>
      </w:r>
    </w:p>
    <w:p>
      <w:pPr>
        <w:pStyle w:val="Normal"/>
        <w:rPr>
          <w:sz w:val="23"/>
        </w:rPr>
      </w:pPr>
      <w:r>
        <w:rPr>
          <w:sz w:val="23"/>
        </w:rPr>
      </w:r>
    </w:p>
    <w:p>
      <w:pPr>
        <w:pStyle w:val="Normal"/>
        <w:rPr>
          <w:sz w:val="23"/>
        </w:rPr>
      </w:pPr>
      <w:r>
        <w:rPr>
          <w:sz w:val="23"/>
        </w:rPr>
      </w:r>
    </w:p>
    <w:p>
      <w:pPr>
        <w:pStyle w:val="Normal"/>
        <w:rPr>
          <w:sz w:val="23"/>
        </w:rPr>
      </w:pPr>
      <w:r>
        <w:rPr>
          <w:sz w:val="23"/>
        </w:rPr>
        <w:t>___________________________</w:t>
        <w:tab/>
        <w:tab/>
        <w:tab/>
        <w:t>____________________________</w:t>
      </w:r>
    </w:p>
    <w:p>
      <w:pPr>
        <w:pStyle w:val="Normal"/>
        <w:rPr>
          <w:sz w:val="23"/>
        </w:rPr>
      </w:pPr>
      <w:r>
        <w:rPr>
          <w:sz w:val="23"/>
        </w:rPr>
        <w:t>ICAP Sink CA Acknowledgement</w:t>
        <w:tab/>
        <w:tab/>
        <w:t xml:space="preserve">            ICAP Source CA Acknowledgement</w:t>
      </w:r>
    </w:p>
    <w:p>
      <w:pPr>
        <w:pStyle w:val="Normal"/>
        <w:rPr>
          <w:sz w:val="23"/>
        </w:rPr>
      </w:pPr>
      <w:r>
        <w:rPr>
          <w:sz w:val="23"/>
        </w:rPr>
      </w:r>
    </w:p>
    <w:p>
      <w:pPr>
        <w:pStyle w:val="Normal"/>
        <w:rPr>
          <w:sz w:val="23"/>
        </w:rPr>
      </w:pPr>
      <w:r>
        <w:rPr>
          <w:sz w:val="23"/>
        </w:rPr>
      </w:r>
    </w:p>
    <w:p>
      <w:pPr>
        <w:pStyle w:val="Normal"/>
        <w:rPr>
          <w:sz w:val="23"/>
        </w:rPr>
      </w:pPr>
      <w:r>
        <w:rPr>
          <w:sz w:val="23"/>
        </w:rPr>
        <w:t>______________________________</w:t>
      </w:r>
    </w:p>
    <w:p>
      <w:pPr>
        <w:pStyle w:val="Normal"/>
        <w:rPr>
          <w:sz w:val="23"/>
        </w:rPr>
      </w:pPr>
      <w:r>
        <w:rPr>
          <w:sz w:val="23"/>
        </w:rPr>
        <w:t>ICAP Intervening CA Acknowledgement (If applicable)</w:t>
      </w:r>
    </w:p>
    <w:p>
      <w:pPr>
        <w:pStyle w:val="Normal"/>
        <w:rPr>
          <w:sz w:val="23"/>
        </w:rPr>
      </w:pPr>
      <w:r>
        <w:rPr>
          <w:sz w:val="23"/>
        </w:rPr>
      </w:r>
    </w:p>
    <w:p>
      <w:pPr>
        <w:pStyle w:val="Normal"/>
        <w:rPr>
          <w:b/>
          <w:sz w:val="27"/>
        </w:rPr>
      </w:pPr>
      <w:r>
        <w:rPr>
          <w:b/>
          <w:sz w:val="27"/>
        </w:rPr>
        <w:t xml:space="preserve">  </w:t>
      </w:r>
    </w:p>
    <w:sectPr>
      <w:type w:val="nextPage"/>
      <w:pgSz w:w="12240" w:h="15840"/>
      <w:pgMar w:left="1800" w:right="1800" w:gutter="0" w:header="0" w:top="1296" w:footer="0" w:bottom="1152"/>
      <w:pgBorders w:display="allPages" w:offsetFrom="page">
        <w:top w:val="double" w:sz="4" w:space="24" w:color="000000"/>
        <w:left w:val="double" w:sz="4" w:space="24" w:color="000000"/>
        <w:bottom w:val="double" w:sz="4" w:space="24" w:color="000000"/>
        <w:right w:val="double" w:sz="4" w:space="2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u w:val="single"/>
    </w:rPr>
  </w:style>
  <w:style w:type="paragraph" w:styleId="Heading2">
    <w:name w:val="heading 2"/>
    <w:basedOn w:val="Normal"/>
    <w:next w:val="Normal"/>
    <w:qFormat/>
    <w:pPr>
      <w:keepNext w:val="true"/>
      <w:numPr>
        <w:ilvl w:val="1"/>
        <w:numId w:val="1"/>
      </w:numPr>
      <w:outlineLvl w:val="1"/>
    </w:pPr>
    <w:rPr>
      <w:rFonts w:ascii="Arial" w:hAnsi="Arial" w:cs="Arial"/>
      <w:i/>
      <w:iCs/>
      <w:sz w:val="18"/>
      <w:szCs w:val="24"/>
    </w:rPr>
  </w:style>
  <w:style w:type="paragraph" w:styleId="Heading3">
    <w:name w:val="heading 3"/>
    <w:basedOn w:val="Normal"/>
    <w:next w:val="Normal"/>
    <w:qFormat/>
    <w:pPr>
      <w:keepNext w:val="true"/>
      <w:numPr>
        <w:ilvl w:val="2"/>
        <w:numId w:val="1"/>
      </w:numPr>
      <w:outlineLvl w:val="2"/>
    </w:pPr>
    <w:rPr>
      <w:rFonts w:ascii="Arial" w:hAnsi="Arial" w:cs="Arial"/>
      <w:iCs/>
      <w:sz w:val="19"/>
      <w:u w:val="single"/>
    </w:rPr>
  </w:style>
  <w:style w:type="paragraph" w:styleId="Heading4">
    <w:name w:val="heading 4"/>
    <w:basedOn w:val="Normal"/>
    <w:next w:val="Normal"/>
    <w:qFormat/>
    <w:pPr>
      <w:keepNext w:val="true"/>
      <w:numPr>
        <w:ilvl w:val="3"/>
        <w:numId w:val="1"/>
      </w:numPr>
      <w:outlineLvl w:val="3"/>
    </w:pPr>
    <w:rPr>
      <w:u w:val="single"/>
    </w:rPr>
  </w:style>
  <w:style w:type="paragraph" w:styleId="Heading5">
    <w:name w:val="heading 5"/>
    <w:basedOn w:val="Normal"/>
    <w:next w:val="Normal"/>
    <w:qFormat/>
    <w:pPr>
      <w:keepNext w:val="true"/>
      <w:numPr>
        <w:ilvl w:val="4"/>
        <w:numId w:val="1"/>
      </w:numPr>
      <w:outlineLvl w:val="4"/>
    </w:pPr>
    <w:rPr>
      <w:rFonts w:ascii="Arial" w:hAnsi="Arial" w:cs="Arial"/>
      <w:sz w:val="16"/>
      <w:u w:val="single"/>
    </w:rPr>
  </w:style>
  <w:style w:type="character" w:styleId="WW8Num2z0">
    <w:name w:val="WW8Num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28"/>
      <w:szCs w:val="24"/>
    </w:rPr>
  </w:style>
  <w:style w:type="paragraph" w:styleId="BodyText2">
    <w:name w:val="Body Text 2"/>
    <w:basedOn w:val="Normal"/>
    <w:qFormat/>
    <w:pPr>
      <w:spacing w:lineRule="auto" w:line="360"/>
    </w:pPr>
    <w:rPr>
      <w:b/>
      <w:bCs/>
      <w:sz w:val="24"/>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charlton@nyiso.com" TargetMode="External"/><Relationship Id="rId3" Type="http://schemas.openxmlformats.org/officeDocument/2006/relationships/hyperlink" Target="mailto:rmorrow@iso-ne.comP" TargetMode="External"/><Relationship Id="rId4" Type="http://schemas.openxmlformats.org/officeDocument/2006/relationships/hyperlink" Target="mailto:moleski@pjm.com" TargetMode="External"/><Relationship Id="rId5" Type="http://schemas.openxmlformats.org/officeDocument/2006/relationships/hyperlink" Target="mailto:doyle.patrick@hydro.qc.ca"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2001-11-20T18:08:00Z</dcterms:created>
  <dc:creator>EMPLOYEE</dc:creator>
  <dc:description/>
  <dc:language>en-CA</dc:language>
  <cp:lastModifiedBy>EMPLOYEE</cp:lastModifiedBy>
  <cp:lastPrinted>2001-11-08T09:59:00Z</cp:lastPrinted>
  <dcterms:modified xsi:type="dcterms:W3CDTF">2001-11-20T18:43:00Z</dcterms:modified>
  <cp:revision>3</cp:revision>
  <dc:subject/>
  <dc:title>Regional ICAP Validation Procedure</dc:title>
</cp:coreProperties>
</file>