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954"/>
        <w:rPr/>
      </w:pPr>
      <w:r>
        <w:rPr/>
      </w:r>
    </w:p>
    <w:p>
      <w:pPr>
        <w:pStyle w:val="Normal"/>
        <w:ind w:start="90" w:end="684"/>
        <w:rPr/>
      </w:pPr>
      <w:r>
        <w:rPr/>
      </w:r>
    </w:p>
    <w:p>
      <w:pPr>
        <w:pStyle w:val="Normal"/>
        <w:ind w:start="90" w:end="684"/>
        <w:rPr/>
      </w:pPr>
      <w:r>
        <w:rPr/>
      </w:r>
    </w:p>
    <w:p>
      <w:pPr>
        <w:pStyle w:val="Normal"/>
        <w:ind w:start="90" w:end="684"/>
        <w:rPr/>
      </w:pPr>
      <w:r>
        <w:rPr/>
      </w:r>
    </w:p>
    <w:p>
      <w:pPr>
        <w:pStyle w:val="Normal"/>
        <w:ind w:start="0" w:end="954"/>
        <w:rPr/>
      </w:pPr>
      <w:r>
        <w:rPr>
          <w:rFonts w:cs="Palatino Linotype" w:ascii="Palatino Linotype" w:hAnsi="Palatino Linotype"/>
          <w:b/>
        </w:rPr>
        <w:t>To:</w:t>
      </w:r>
      <w:r>
        <w:rPr>
          <w:rFonts w:cs="Palatino Linotype" w:ascii="Palatino Linotype" w:hAnsi="Palatino Linotype"/>
        </w:rPr>
        <w:t xml:space="preserve"> </w:t>
        <w:tab/>
        <w:t>Competitive Retail Electric Generation Providers</w:t>
      </w:r>
    </w:p>
    <w:p>
      <w:pPr>
        <w:pStyle w:val="Normal"/>
        <w:ind w:start="0" w:end="954"/>
        <w:rPr>
          <w:rFonts w:ascii="Palatino Linotype" w:hAnsi="Palatino Linotype" w:cs="Palatino Linotype"/>
        </w:rPr>
      </w:pPr>
      <w:r>
        <w:rPr>
          <w:rFonts w:cs="Palatino Linotype" w:ascii="Palatino Linotype" w:hAnsi="Palatino Linotype"/>
        </w:rPr>
        <w:tab/>
        <w:t>Electric Distribution Companies (EDCs)</w:t>
      </w:r>
    </w:p>
    <w:p>
      <w:pPr>
        <w:pStyle w:val="Normal"/>
        <w:ind w:start="0" w:end="954"/>
        <w:rPr/>
      </w:pPr>
      <w:r>
        <w:rPr>
          <w:rFonts w:cs="Palatino Linotype" w:ascii="Palatino Linotype" w:hAnsi="Palatino Linotype"/>
          <w:b/>
        </w:rPr>
        <w:t>Re:</w:t>
      </w:r>
      <w:r>
        <w:rPr>
          <w:rFonts w:cs="Palatino Linotype" w:ascii="Palatino Linotype" w:hAnsi="Palatino Linotype"/>
        </w:rPr>
        <w:tab/>
        <w:t xml:space="preserve">Environmental Disclosure – Regional Environmental Data </w:t>
      </w:r>
    </w:p>
    <w:p>
      <w:pPr>
        <w:pStyle w:val="Normal"/>
        <w:ind w:start="0" w:end="954"/>
        <w:rPr/>
      </w:pPr>
      <w:r>
        <w:rPr>
          <w:rFonts w:cs="Palatino Linotype" w:ascii="Palatino Linotype" w:hAnsi="Palatino Linotype"/>
          <w:b/>
        </w:rPr>
        <w:t>Date:</w:t>
      </w:r>
      <w:r>
        <w:rPr>
          <w:rFonts w:cs="Palatino Linotype" w:ascii="Palatino Linotype" w:hAnsi="Palatino Linotype"/>
        </w:rPr>
        <w:tab/>
        <w:t>November 30</w:t>
      </w:r>
      <w:r>
        <w:rPr>
          <w:rFonts w:cs="Palatino Linotype" w:ascii="Palatino Linotype" w:hAnsi="Palatino Linotype"/>
          <w:vertAlign w:val="superscript"/>
        </w:rPr>
        <w:t>th</w:t>
      </w:r>
      <w:r>
        <w:rPr>
          <w:rFonts w:cs="Palatino Linotype" w:ascii="Palatino Linotype" w:hAnsi="Palatino Linotype"/>
        </w:rPr>
        <w:t xml:space="preserve">, 2001 </w:t>
      </w:r>
    </w:p>
    <w:p>
      <w:pPr>
        <w:pStyle w:val="Normal"/>
        <w:ind w:start="0" w:end="954"/>
        <w:rPr>
          <w:rFonts w:ascii="Palatino Linotype" w:hAnsi="Palatino Linotype" w:cs="Palatino Linotype"/>
        </w:rPr>
      </w:pPr>
      <w:r>
        <w:rPr>
          <w:rFonts w:cs="Palatino Linotype" w:ascii="Palatino Linotype" w:hAnsi="Palatino Linotype"/>
        </w:rPr>
      </w:r>
    </w:p>
    <w:p>
      <w:pPr>
        <w:pStyle w:val="Normal"/>
        <w:ind w:start="0" w:end="954"/>
        <w:rPr/>
      </w:pPr>
      <w:r>
        <w:rPr/>
      </w:r>
    </w:p>
    <w:p>
      <w:pPr>
        <w:pStyle w:val="BodyText2"/>
        <w:rPr/>
      </w:pPr>
      <w:r>
        <w:rPr/>
        <w:t>The PUCO's Environmental Disclosure Rules, issued in Cases No. 99-1611-EL-ORD (Rule 4901:1-21-09, Ohio Administrative Code (O.A.C.)) and No. 99-1613-EL-ORD (Rule 4901:1-10-31, O.A.C.), require competitive retail electric generation providers and electric distribution companies (EDCs) to supply their customers with specified environmental information in a standardized format.</w:t>
      </w:r>
    </w:p>
    <w:p>
      <w:pPr>
        <w:pStyle w:val="Normal"/>
        <w:ind w:start="0" w:end="0"/>
        <w:rPr>
          <w:rFonts w:ascii="Palatino" w:hAnsi="Palatino" w:cs="Palatino"/>
        </w:rPr>
      </w:pPr>
      <w:r>
        <w:rPr>
          <w:rFonts w:cs="Palatino" w:ascii="Palatino" w:hAnsi="Palatino"/>
        </w:rPr>
      </w:r>
    </w:p>
    <w:p>
      <w:pPr>
        <w:pStyle w:val="Normal"/>
        <w:ind w:start="0" w:end="0"/>
        <w:jc w:val="both"/>
        <w:rPr/>
      </w:pPr>
      <w:r>
        <w:rPr>
          <w:rFonts w:cs="Palatino" w:ascii="Palatino" w:hAnsi="Palatino"/>
        </w:rPr>
        <w:t>Included in this format is a component which conveys regional environmental data.  As the rules indicate in paragraph (D)(2)(e), the Commission will provide regional information, if available, by December 1</w:t>
      </w:r>
      <w:r>
        <w:rPr>
          <w:rFonts w:cs="Palatino" w:ascii="Palatino" w:hAnsi="Palatino"/>
          <w:vertAlign w:val="superscript"/>
        </w:rPr>
        <w:t>st</w:t>
      </w:r>
      <w:r>
        <w:rPr>
          <w:rFonts w:cs="Palatino" w:ascii="Palatino" w:hAnsi="Palatino"/>
        </w:rPr>
        <w:t xml:space="preserve"> of each year or as conditions warrant.</w:t>
      </w:r>
    </w:p>
    <w:p>
      <w:pPr>
        <w:pStyle w:val="Normal"/>
        <w:ind w:start="0" w:end="0"/>
        <w:rPr>
          <w:rFonts w:ascii="Palatino" w:hAnsi="Palatino" w:cs="Palatino"/>
        </w:rPr>
      </w:pPr>
      <w:r>
        <w:rPr>
          <w:rFonts w:cs="Palatino" w:ascii="Palatino" w:hAnsi="Palatino"/>
        </w:rPr>
      </w:r>
    </w:p>
    <w:p>
      <w:pPr>
        <w:pStyle w:val="BodyText2"/>
        <w:rPr/>
      </w:pPr>
      <w:r>
        <w:rPr/>
        <w:t>Consistent with this directive, the data below represents the regional generation resource mix and air emissions to be incorporated within the 2002 environmental disclosure forms.  If warranted, this data will be updated in the months preceding each subsequent calendar year.</w:t>
      </w:r>
    </w:p>
    <w:p>
      <w:pPr>
        <w:pStyle w:val="Normal"/>
        <w:ind w:start="0" w:end="0"/>
        <w:rPr>
          <w:rFonts w:ascii="Palatino" w:hAnsi="Palatino" w:cs="Palatino"/>
        </w:rPr>
      </w:pPr>
      <w:r>
        <w:rPr>
          <w:rFonts w:cs="Palatino" w:ascii="Palatino" w:hAnsi="Palatino"/>
        </w:rPr>
      </w:r>
    </w:p>
    <w:p>
      <w:pPr>
        <w:pStyle w:val="Normal"/>
        <w:ind w:start="0" w:end="0"/>
        <w:rPr>
          <w:rFonts w:ascii="Palatino" w:hAnsi="Palatino" w:cs="Palatino"/>
          <w:b/>
        </w:rPr>
      </w:pPr>
      <w:r>
        <w:rPr>
          <w:rFonts w:cs="Palatino" w:ascii="Palatino" w:hAnsi="Palatino"/>
          <w:b/>
        </w:rPr>
        <w:t>Regional Generation Resource Mix</w:t>
      </w:r>
    </w:p>
    <w:p>
      <w:pPr>
        <w:pStyle w:val="Normal"/>
        <w:rPr>
          <w:rFonts w:ascii="Palatino" w:hAnsi="Palatino" w:cs="Palatino"/>
          <w:b/>
          <w:lang w:eastAsia="en-US"/>
        </w:rPr>
      </w:pPr>
      <w:r>
        <w:rPr>
          <w:rFonts w:cs="Palatino" w:ascii="Palatino" w:hAnsi="Palatino"/>
          <w:b/>
          <w:lang w:eastAsia="en-US"/>
        </w:rPr>
      </w:r>
    </w:p>
    <w:p>
      <w:pPr>
        <w:pStyle w:val="Normal"/>
        <w:numPr>
          <w:ilvl w:val="0"/>
          <w:numId w:val="2"/>
        </w:numPr>
        <w:ind w:firstLine="360" w:start="360" w:end="0"/>
        <w:rPr>
          <w:rFonts w:ascii="Palatino" w:hAnsi="Palatino" w:cs="Palatino"/>
          <w:lang w:eastAsia="en-US"/>
        </w:rPr>
      </w:pPr>
      <w:r>
        <w:rPr>
          <w:rFonts w:cs="Palatino" w:ascii="Palatino" w:hAnsi="Palatino"/>
          <w:lang w:eastAsia="en-US"/>
        </w:rPr>
        <w:t xml:space="preserve">89% Coal-fired Power; </w:t>
      </w:r>
    </w:p>
    <w:p>
      <w:pPr>
        <w:pStyle w:val="Normal"/>
        <w:numPr>
          <w:ilvl w:val="0"/>
          <w:numId w:val="2"/>
        </w:numPr>
        <w:ind w:firstLine="360" w:start="360" w:end="0"/>
        <w:rPr>
          <w:rFonts w:ascii="Palatino" w:hAnsi="Palatino" w:cs="Palatino"/>
          <w:lang w:eastAsia="en-US"/>
        </w:rPr>
      </w:pPr>
      <w:r>
        <w:rPr>
          <w:rFonts w:cs="Palatino" w:ascii="Palatino" w:hAnsi="Palatino"/>
          <w:lang w:eastAsia="en-US"/>
        </w:rPr>
        <w:t xml:space="preserve">6% Nuclear Power; </w:t>
      </w:r>
    </w:p>
    <w:p>
      <w:pPr>
        <w:pStyle w:val="Normal"/>
        <w:numPr>
          <w:ilvl w:val="0"/>
          <w:numId w:val="2"/>
        </w:numPr>
        <w:ind w:firstLine="360" w:start="360" w:end="0"/>
        <w:rPr>
          <w:rFonts w:ascii="Palatino" w:hAnsi="Palatino" w:cs="Palatino"/>
          <w:lang w:eastAsia="en-US"/>
        </w:rPr>
      </w:pPr>
      <w:r>
        <w:rPr>
          <w:rFonts w:cs="Palatino" w:ascii="Palatino" w:hAnsi="Palatino"/>
          <w:lang w:eastAsia="en-US"/>
        </w:rPr>
        <w:t>3% Natural Gas-fired Power;</w:t>
      </w:r>
    </w:p>
    <w:p>
      <w:pPr>
        <w:pStyle w:val="Normal"/>
        <w:numPr>
          <w:ilvl w:val="0"/>
          <w:numId w:val="2"/>
        </w:numPr>
        <w:ind w:firstLine="360" w:start="360" w:end="0"/>
        <w:rPr>
          <w:rFonts w:ascii="Palatino" w:hAnsi="Palatino" w:cs="Palatino"/>
          <w:lang w:eastAsia="en-US"/>
        </w:rPr>
      </w:pPr>
      <w:r>
        <w:rPr>
          <w:rFonts w:cs="Palatino" w:ascii="Palatino" w:hAnsi="Palatino"/>
          <w:lang w:eastAsia="en-US"/>
        </w:rPr>
        <w:t xml:space="preserve">1% Oil-fired Power, and </w:t>
      </w:r>
    </w:p>
    <w:p>
      <w:pPr>
        <w:pStyle w:val="Normal"/>
        <w:numPr>
          <w:ilvl w:val="0"/>
          <w:numId w:val="2"/>
        </w:numPr>
        <w:ind w:firstLine="360" w:start="360" w:end="0"/>
        <w:rPr>
          <w:rFonts w:ascii="Palatino" w:hAnsi="Palatino" w:cs="Palatino"/>
          <w:lang w:eastAsia="en-US"/>
        </w:rPr>
      </w:pPr>
      <w:r>
        <w:rPr>
          <w:rFonts w:cs="Palatino" w:ascii="Palatino" w:hAnsi="Palatino"/>
          <w:lang w:eastAsia="en-US"/>
        </w:rPr>
        <w:t>1% Biomass Power.</w:t>
      </w:r>
    </w:p>
    <w:p>
      <w:pPr>
        <w:pStyle w:val="Normal"/>
        <w:rPr>
          <w:rFonts w:ascii="Palatino" w:hAnsi="Palatino" w:cs="Palatino"/>
          <w:lang w:eastAsia="en-US"/>
        </w:rPr>
      </w:pPr>
      <w:r>
        <w:rPr>
          <w:rFonts w:cs="Palatino" w:ascii="Palatino" w:hAnsi="Palatino"/>
          <w:lang w:eastAsia="en-US"/>
        </w:rPr>
      </w:r>
    </w:p>
    <w:p>
      <w:pPr>
        <w:pStyle w:val="Normal"/>
        <w:ind w:start="0" w:end="0"/>
        <w:rPr>
          <w:b/>
          <w:lang w:eastAsia="en-US"/>
        </w:rPr>
      </w:pPr>
      <w:r>
        <w:rPr>
          <w:rFonts w:cs="Palatino" w:ascii="Palatino" w:hAnsi="Palatino"/>
          <w:b/>
        </w:rPr>
        <w:t>Regional Emission Rates</w:t>
      </w:r>
    </w:p>
    <w:p>
      <w:pPr>
        <w:pStyle w:val="findings-autonumbered"/>
        <w:numPr>
          <w:ilvl w:val="0"/>
          <w:numId w:val="0"/>
        </w:numPr>
        <w:ind w:hanging="0" w:start="0"/>
        <w:rPr>
          <w:b/>
          <w:lang w:eastAsia="en-US"/>
        </w:rPr>
      </w:pPr>
      <w:r>
        <w:rPr>
          <w:b/>
          <w:lang w:eastAsia="en-US"/>
        </w:rPr>
      </w:r>
    </w:p>
    <w:p>
      <w:pPr>
        <w:pStyle w:val="findings-autonumbered"/>
        <w:numPr>
          <w:ilvl w:val="0"/>
          <w:numId w:val="3"/>
        </w:numPr>
        <w:ind w:firstLine="360" w:start="360" w:end="1512"/>
        <w:rPr>
          <w:lang w:eastAsia="en-US"/>
        </w:rPr>
      </w:pPr>
      <w:r>
        <w:rPr>
          <w:lang w:eastAsia="en-US"/>
        </w:rPr>
        <w:t xml:space="preserve">Sulfur Dioxide (SO2) – 15 lbs./MWh; </w:t>
      </w:r>
    </w:p>
    <w:p>
      <w:pPr>
        <w:pStyle w:val="findings-autonumbered"/>
        <w:numPr>
          <w:ilvl w:val="0"/>
          <w:numId w:val="3"/>
        </w:numPr>
        <w:ind w:firstLine="360" w:start="360" w:end="1512"/>
        <w:rPr>
          <w:lang w:eastAsia="en-US"/>
        </w:rPr>
      </w:pPr>
      <w:r>
        <w:rPr>
          <w:lang w:eastAsia="en-US"/>
        </w:rPr>
        <w:t xml:space="preserve">Nitrogen Oxides (NOx) – 6 lbs./MWh; </w:t>
      </w:r>
    </w:p>
    <w:p>
      <w:pPr>
        <w:pStyle w:val="findings-autonumbered"/>
        <w:numPr>
          <w:ilvl w:val="0"/>
          <w:numId w:val="3"/>
        </w:numPr>
        <w:ind w:firstLine="360" w:start="360" w:end="1512"/>
        <w:rPr>
          <w:lang w:eastAsia="en-US"/>
        </w:rPr>
      </w:pPr>
      <w:r>
        <w:rPr>
          <w:lang w:eastAsia="en-US"/>
        </w:rPr>
        <w:t>Carbon Dioxide (CO2) – 2,000 lbs./MWh.</w:t>
      </w:r>
    </w:p>
    <w:p>
      <w:pPr>
        <w:pStyle w:val="Normal"/>
        <w:ind w:start="90" w:end="954"/>
        <w:rPr>
          <w:lang w:eastAsia="en-US"/>
        </w:rPr>
      </w:pPr>
      <w:r>
        <w:rPr>
          <w:lang w:eastAsia="en-US"/>
        </w:rPr>
      </w:r>
    </w:p>
    <w:p>
      <w:pPr>
        <w:pStyle w:val="Normal"/>
        <w:ind w:start="0" w:end="954"/>
        <w:rPr/>
      </w:pPr>
      <w:r>
        <w:rPr/>
        <w:t xml:space="preserve">Any questions on this topic can be addressed to Stuart M. Siegfried, at </w:t>
      </w:r>
      <w:hyperlink r:id="rId2">
        <w:r>
          <w:rPr>
            <w:rStyle w:val="Hyperlink"/>
          </w:rPr>
          <w:t>Stuart.Siegfried@puc.state.oh.us</w:t>
        </w:r>
      </w:hyperlink>
      <w:r>
        <w:rPr/>
        <w:t xml:space="preserve"> or via phone at 614.466.7536.</w:t>
      </w:r>
    </w:p>
    <w:p>
      <w:pPr>
        <w:pStyle w:val="Normal"/>
        <w:ind w:start="90" w:end="684"/>
        <w:rPr/>
      </w:pPr>
      <w:r>
        <w:rPr/>
      </w:r>
    </w:p>
    <w:p>
      <w:pPr>
        <w:pStyle w:val="Normal"/>
        <w:ind w:start="90" w:end="684"/>
        <w:rPr/>
      </w:pPr>
      <w:r>
        <w:rPr/>
      </w:r>
    </w:p>
    <w:sectPr>
      <w:headerReference w:type="default" r:id="rId3"/>
      <w:headerReference w:type="first" r:id="rId4"/>
      <w:footerReference w:type="default" r:id="rId5"/>
      <w:footerReference w:type="first" r:id="rId6"/>
      <w:type w:val="nextPage"/>
      <w:pgSz w:w="12240" w:h="15840"/>
      <w:pgMar w:left="720" w:right="806" w:gutter="0" w:header="576" w:top="864" w:footer="576"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charset w:val="00" w:characterSet="windows-1252"/>
    <w:family w:val="roman"/>
    <w:pitch w:val="variable"/>
  </w:font>
  <w:font w:name="Palatino Linotype">
    <w:charset w:val="00" w:characterSet="windows-1252"/>
    <w:family w:val="roman"/>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630" w:start="180" w:end="0"/>
      <w:jc w:val="center"/>
      <w:rPr/>
    </w:pPr>
    <w:r>
      <w:rPr>
        <w:color w:val="0000FF"/>
        <w:sz w:val="15"/>
      </w:rPr>
      <w:t xml:space="preserve">The Public Utilities Commission of Ohio is an Equal Opportunity Employer and Service Provider </w:t>
    </w:r>
    <w:r>
      <w:rPr>
        <w:rFonts w:eastAsia="Marlett" w:cs="Marlett" w:ascii="Marlett" w:hAnsi="Marlett"/>
        <w:color w:val="0000FF"/>
        <w:sz w:val="12"/>
      </w:rPr>
      <w:sym w:font="Marlett" w:char="f069"/>
    </w:r>
    <w:r>
      <w:rPr>
        <w:color w:val="0000FF"/>
        <w:sz w:val="15"/>
      </w:rPr>
      <w:t xml:space="preserve"> 180 East Broad Street </w:t>
    </w:r>
    <w:r>
      <w:rPr>
        <w:rFonts w:eastAsia="Marlett" w:cs="Marlett" w:ascii="Marlett" w:hAnsi="Marlett"/>
        <w:color w:val="0000FF"/>
        <w:sz w:val="12"/>
      </w:rPr>
      <w:sym w:font="Marlett" w:char="f069"/>
    </w:r>
    <w:r>
      <w:rPr>
        <w:color w:val="0000FF"/>
        <w:sz w:val="15"/>
      </w:rPr>
      <w:t xml:space="preserve"> Columbus, OH 43215-3793</w:t>
    </w:r>
  </w:p>
  <w:p>
    <w:pPr>
      <w:pStyle w:val="Footer"/>
      <w:rPr>
        <w:color w:val="0000FF"/>
        <w:sz w:val="15"/>
      </w:rPr>
    </w:pPr>
    <w:r>
      <w:rPr>
        <w:color w:val="0000FF"/>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180" w:end="-252"/>
      <w:rPr>
        <w:b/>
        <w:color w:val="0000FF"/>
        <w:lang w:val="en-CA"/>
      </w:rPr>
    </w:pPr>
    <w:r>
      <w:rPr>
        <w:b/>
        <w:color w:val="0000FF"/>
        <w:lang w:val="en-CA"/>
      </w:rPr>
      <w:drawing>
        <wp:anchor behindDoc="0" distT="0" distB="0" distL="114935" distR="114935" simplePos="0" locked="0" layoutInCell="0" allowOverlap="1" relativeHeight="6">
          <wp:simplePos x="0" y="0"/>
          <wp:positionH relativeFrom="column">
            <wp:posOffset>-182880</wp:posOffset>
          </wp:positionH>
          <wp:positionV relativeFrom="paragraph">
            <wp:posOffset>-274320</wp:posOffset>
          </wp:positionV>
          <wp:extent cx="2926080" cy="964565"/>
          <wp:effectExtent l="0" t="0" r="0" b="0"/>
          <wp:wrapTopAndBottom/>
          <wp:docPr id="1" name="pucologonewb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cologonewblue" descr="" title=""/>
                  <pic:cNvPicPr>
                    <a:picLocks noChangeAspect="1" noChangeArrowheads="1"/>
                  </pic:cNvPicPr>
                </pic:nvPicPr>
                <pic:blipFill>
                  <a:blip r:embed="rId1"/>
                  <a:srcRect l="-7" t="-23" r="-7" b="-23"/>
                  <a:stretch>
                    <a:fillRect/>
                  </a:stretch>
                </pic:blipFill>
                <pic:spPr bwMode="auto">
                  <a:xfrm>
                    <a:off x="0" y="0"/>
                    <a:ext cx="2926080" cy="964565"/>
                  </a:xfrm>
                  <a:prstGeom prst="rect">
                    <a:avLst/>
                  </a:prstGeom>
                  <a:noFill/>
                </pic:spPr>
              </pic:pic>
            </a:graphicData>
          </a:graphic>
        </wp:anchor>
      </w:drawing>
    </w:r>
  </w:p>
  <w:p>
    <w:pPr>
      <w:pStyle w:val="Normal"/>
      <w:ind w:hanging="90" w:start="90" w:end="-176"/>
      <w:rPr/>
    </w:pPr>
    <w:r>
      <w:rPr>
        <w:b/>
        <w:color w:val="0000FF"/>
      </w:rPr>
      <w:t xml:space="preserve">                                                                                                                                                       </w:t>
    </w:r>
    <w:r>
      <w:rPr>
        <w:b/>
        <w:color w:val="0000FF"/>
        <w:sz w:val="22"/>
      </w:rPr>
      <w:t xml:space="preserve">      </w:t>
    </w:r>
    <w:r>
      <w:rPr>
        <w:color w:val="0000FF"/>
        <w:sz w:val="18"/>
      </w:rPr>
      <w:t>Bob Taft, Governor</w:t>
    </w:r>
    <w:r>
      <mc:AlternateContent>
        <mc:Choice Requires="wps">
          <w:drawing>
            <wp:anchor behindDoc="0" distT="0" distB="0" distL="114300" distR="114300" simplePos="0" locked="0" layoutInCell="0" allowOverlap="1" relativeHeight="2">
              <wp:simplePos x="0" y="0"/>
              <wp:positionH relativeFrom="page">
                <wp:posOffset>637540</wp:posOffset>
              </wp:positionH>
              <wp:positionV relativeFrom="paragraph">
                <wp:posOffset>97155</wp:posOffset>
              </wp:positionV>
              <wp:extent cx="872490"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872490" cy="175260"/>
                      </a:xfrm>
                      <a:prstGeom prst="rect"/>
                      <a:solidFill>
                        <a:srgbClr val="FFFFFF">
                          <a:alpha val="0"/>
                        </a:srgbClr>
                      </a:solidFill>
                    </wps:spPr>
                    <wps:txbx>
                      <w:txbxContent>
                        <w:p>
                          <w:pPr>
                            <w:pStyle w:val="Normal"/>
                            <w:ind w:hanging="90" w:start="360" w:end="0"/>
                            <w:jc w:val="both"/>
                            <w:rPr>
                              <w:color w:val="0000FF"/>
                            </w:rPr>
                          </w:pPr>
                          <w:r>
                            <w:rPr>
                              <w:color w:val="0000FF"/>
                            </w:rPr>
                          </w:r>
                        </w:p>
                      </w:txbxContent>
                    </wps:txbx>
                    <wps:bodyPr anchor="t" lIns="0" tIns="0" rIns="0" bIns="0">
                      <a:noAutofit/>
                    </wps:bodyPr>
                  </wps:wsp>
                </a:graphicData>
              </a:graphic>
            </wp:anchor>
          </w:drawing>
        </mc:Choice>
        <mc:Fallback>
          <w:pict>
            <v:rect fillcolor="#FFFFFF" style="position:absolute;rotation:-0;width:68.7pt;height:13.8pt;mso-wrap-distance-left:9pt;mso-wrap-distance-right:9pt;mso-wrap-distance-top:0pt;mso-wrap-distance-bottom:0pt;margin-top:7.65pt;mso-position-vertical-relative:text;margin-left:50.2pt;mso-position-horizontal-relative:page">
              <v:fill opacity="0f"/>
              <v:textbox inset="0in,0in,0in,0in">
                <w:txbxContent>
                  <w:p>
                    <w:pPr>
                      <w:pStyle w:val="Normal"/>
                      <w:ind w:hanging="90" w:start="360" w:end="0"/>
                      <w:jc w:val="both"/>
                      <w:rPr>
                        <w:color w:val="0000FF"/>
                      </w:rPr>
                    </w:pPr>
                    <w:r>
                      <w:rPr>
                        <w:color w:val="0000FF"/>
                      </w:rPr>
                    </w:r>
                  </w:p>
                </w:txbxContent>
              </v:textbox>
              <w10:wrap type="square"/>
            </v:rect>
          </w:pict>
        </mc:Fallback>
      </mc:AlternateContent>
    </w:r>
  </w:p>
  <w:p>
    <w:pPr>
      <w:pStyle w:val="Normal"/>
      <w:ind w:hanging="90" w:start="90" w:end="0"/>
      <w:rPr>
        <w:color w:val="0000FF"/>
        <w:sz w:val="18"/>
      </w:rPr>
    </w:pPr>
    <w:r>
      <w:rPr>
        <w:color w:val="0000FF"/>
        <w:sz w:val="18"/>
      </w:rPr>
    </w:r>
  </w:p>
  <w:p>
    <w:pPr>
      <w:pStyle w:val="Normal"/>
      <w:ind w:hanging="90" w:start="90" w:end="-266"/>
      <w:rPr>
        <w:color w:val="0000FF"/>
        <w:sz w:val="18"/>
      </w:rPr>
    </w:pPr>
    <w:r>
      <w:rPr>
        <w:color w:val="0000FF"/>
        <w:sz w:val="18"/>
      </w:rPr>
      <w:t xml:space="preserve">                                                                                                                                                                                                    </w:t>
    </w:r>
    <w:r>
      <w:rPr>
        <w:color w:val="0000FF"/>
        <w:sz w:val="18"/>
      </w:rPr>
      <w:t>Alan R. Schriber, Chairman</w:t>
    </w:r>
    <w:r>
      <mc:AlternateContent>
        <mc:Choice Requires="wps">
          <w:drawing>
            <wp:anchor behindDoc="0" distT="0" distB="0" distL="118745" distR="118745" simplePos="0" locked="0" layoutInCell="0" allowOverlap="1" relativeHeight="3">
              <wp:simplePos x="0" y="0"/>
              <wp:positionH relativeFrom="page">
                <wp:posOffset>463550</wp:posOffset>
              </wp:positionH>
              <wp:positionV relativeFrom="paragraph">
                <wp:posOffset>1122680</wp:posOffset>
              </wp:positionV>
              <wp:extent cx="7085330" cy="274320"/>
              <wp:effectExtent l="0" t="0" r="0" b="0"/>
              <wp:wrapSquare wrapText="bothSides"/>
              <wp:docPr id="3" name="Frame2"/>
              <a:graphic xmlns:a="http://schemas.openxmlformats.org/drawingml/2006/main">
                <a:graphicData uri="http://schemas.microsoft.com/office/word/2010/wordprocessingShape">
                  <wps:wsp>
                    <wps:cNvSpPr txBox="1"/>
                    <wps:spPr>
                      <a:xfrm>
                        <a:off x="0" y="0"/>
                        <a:ext cx="7085330" cy="274320"/>
                      </a:xfrm>
                      <a:prstGeom prst="rect"/>
                      <a:solidFill>
                        <a:srgbClr val="FFFFFF">
                          <a:alpha val="0"/>
                        </a:srgbClr>
                      </a:solidFill>
                    </wps:spPr>
                    <wps:txbx>
                      <w:txbxContent>
                        <w:p>
                          <w:pPr>
                            <w:pStyle w:val="Normal"/>
                            <w:ind w:firstLine="180" w:start="810" w:end="0"/>
                            <w:rPr>
                              <w:color w:val="0000FF"/>
                              <w:sz w:val="18"/>
                            </w:rPr>
                          </w:pPr>
                          <w:r>
                            <w:rPr>
                              <w:color w:val="0000FF"/>
                              <w:sz w:val="18"/>
                            </w:rPr>
                            <w:t>_</w:t>
                          </w:r>
                        </w:p>
                      </w:txbxContent>
                    </wps:txbx>
                    <wps:bodyPr anchor="t" lIns="0" tIns="0" rIns="0" bIns="0">
                      <a:noAutofit/>
                    </wps:bodyPr>
                  </wps:wsp>
                </a:graphicData>
              </a:graphic>
            </wp:anchor>
          </w:drawing>
        </mc:Choice>
        <mc:Fallback>
          <w:pict>
            <v:rect fillcolor="#FFFFFF" style="position:absolute;rotation:-0;width:557.9pt;height:21.6pt;mso-wrap-distance-left:9.35pt;mso-wrap-distance-right:9.35pt;mso-wrap-distance-top:0pt;mso-wrap-distance-bottom:0pt;margin-top:88.4pt;mso-position-vertical-relative:text;margin-left:36.5pt;mso-position-horizontal-relative:page">
              <v:fill opacity="0f"/>
              <v:textbox inset="0in,0in,0in,0in">
                <w:txbxContent>
                  <w:p>
                    <w:pPr>
                      <w:pStyle w:val="Normal"/>
                      <w:ind w:firstLine="180" w:start="810" w:end="0"/>
                      <w:rPr>
                        <w:color w:val="0000FF"/>
                        <w:sz w:val="18"/>
                      </w:rPr>
                    </w:pPr>
                    <w:r>
                      <w:rPr>
                        <w:color w:val="0000FF"/>
                        <w:sz w:val="18"/>
                      </w:rPr>
                      <w:t>_</w:t>
                    </w:r>
                  </w:p>
                </w:txbxContent>
              </v:textbox>
              <w10:wrap type="square"/>
            </v:rect>
          </w:pict>
        </mc:Fallback>
      </mc:AlternateContent>
    </w:r>
  </w:p>
  <w:p>
    <w:pPr>
      <w:pStyle w:val="Header"/>
      <w:rPr>
        <w:color w:val="0000FF"/>
      </w:rPr>
    </w:pPr>
    <w:r>
      <w:rPr>
        <w:color w:val="0000FF"/>
      </w:rPr>
    </w:r>
    <w:r>
      <mc:AlternateContent>
        <mc:Choice Requires="wps">
          <w:drawing>
            <wp:anchor behindDoc="0" distT="0" distB="0" distL="118745" distR="118745" simplePos="0" locked="0" layoutInCell="0" allowOverlap="1" relativeHeight="4">
              <wp:simplePos x="0" y="0"/>
              <wp:positionH relativeFrom="page">
                <wp:posOffset>97790</wp:posOffset>
              </wp:positionH>
              <wp:positionV relativeFrom="page">
                <wp:posOffset>1097915</wp:posOffset>
              </wp:positionV>
              <wp:extent cx="7202170" cy="321945"/>
              <wp:effectExtent l="0" t="0" r="0" b="0"/>
              <wp:wrapTopAndBottom/>
              <wp:docPr id="4" name="Frame3"/>
              <a:graphic xmlns:a="http://schemas.openxmlformats.org/drawingml/2006/main">
                <a:graphicData uri="http://schemas.microsoft.com/office/word/2010/wordprocessingShape">
                  <wps:wsp>
                    <wps:cNvSpPr txBox="1"/>
                    <wps:spPr>
                      <a:xfrm>
                        <a:off x="0" y="0"/>
                        <a:ext cx="7202170" cy="321945"/>
                      </a:xfrm>
                      <a:prstGeom prst="rect"/>
                      <a:solidFill>
                        <a:srgbClr val="FFFFFF">
                          <a:alpha val="0"/>
                        </a:srgbClr>
                      </a:solidFill>
                    </wps:spPr>
                    <wps:txbx>
                      <w:txbxContent>
                        <w:p>
                          <w:pPr>
                            <w:pStyle w:val="Normal"/>
                            <w:ind w:start="270" w:end="-175"/>
                            <w:rPr>
                              <w:i/>
                              <w:i/>
                              <w:color w:val="0000FF"/>
                              <w:sz w:val="16"/>
                            </w:rPr>
                          </w:pPr>
                          <w:r>
                            <w:rPr>
                              <w:i/>
                              <w:color w:val="0000FF"/>
                              <w:sz w:val="20"/>
                            </w:rPr>
                            <w:t xml:space="preserve">     </w:t>
                          </w:r>
                          <w:r>
                            <w:rPr>
                              <w:i/>
                              <w:color w:val="0000FF"/>
                              <w:sz w:val="20"/>
                            </w:rPr>
                            <w:t xml:space="preserve">The Public Utilities Commission of Ohio </w:t>
                          </w:r>
                          <w:r>
                            <w:rPr>
                              <w:color w:val="0000FF"/>
                              <w:sz w:val="20"/>
                            </w:rPr>
                            <w:t>……………………………………………………………………..………….…….…………….</w:t>
                          </w:r>
                          <w:r>
                            <w:rPr>
                              <w:i/>
                              <w:color w:val="0000FF"/>
                              <w:sz w:val="20"/>
                              <w:u w:val="single"/>
                            </w:rPr>
                            <w:t xml:space="preserve">                                                                                                                                  </w:t>
                          </w:r>
                          <w:r>
                            <w:rPr>
                              <w:i/>
                              <w:color w:val="0000FF"/>
                              <w:sz w:val="20"/>
                            </w:rPr>
                            <w:t xml:space="preserve">                </w:t>
                          </w:r>
                        </w:p>
                        <w:p>
                          <w:pPr>
                            <w:pStyle w:val="Normal"/>
                            <w:ind w:start="270" w:end="-196"/>
                            <w:rPr/>
                          </w:pPr>
                          <w:r>
                            <w:rPr>
                              <w:color w:val="0000FF"/>
                            </w:rPr>
                            <w:t xml:space="preserve">                                                              </w:t>
                          </w:r>
                          <w:r>
                            <w:rPr>
                              <w:color w:val="0000FF"/>
                              <w:sz w:val="28"/>
                            </w:rPr>
                            <w:t xml:space="preserve"> </w:t>
                          </w:r>
                        </w:p>
                      </w:txbxContent>
                    </wps:txbx>
                    <wps:bodyPr anchor="t" lIns="0" tIns="0" rIns="0" bIns="0">
                      <a:noAutofit/>
                    </wps:bodyPr>
                  </wps:wsp>
                </a:graphicData>
              </a:graphic>
            </wp:anchor>
          </w:drawing>
        </mc:Choice>
        <mc:Fallback>
          <w:pict>
            <v:rect fillcolor="#FFFFFF" style="position:absolute;rotation:-0;width:567.1pt;height:25.35pt;mso-wrap-distance-left:9.35pt;mso-wrap-distance-right:9.35pt;mso-wrap-distance-top:0pt;mso-wrap-distance-bottom:0pt;margin-top:86.45pt;mso-position-vertical-relative:page;margin-left:7.7pt;mso-position-horizontal-relative:page">
              <v:fill opacity="0f"/>
              <v:textbox inset="0in,0in,0in,0in">
                <w:txbxContent>
                  <w:p>
                    <w:pPr>
                      <w:pStyle w:val="Normal"/>
                      <w:ind w:start="270" w:end="-175"/>
                      <w:rPr>
                        <w:i/>
                        <w:i/>
                        <w:color w:val="0000FF"/>
                        <w:sz w:val="16"/>
                      </w:rPr>
                    </w:pPr>
                    <w:r>
                      <w:rPr>
                        <w:i/>
                        <w:color w:val="0000FF"/>
                        <w:sz w:val="20"/>
                      </w:rPr>
                      <w:t xml:space="preserve">     </w:t>
                    </w:r>
                    <w:r>
                      <w:rPr>
                        <w:i/>
                        <w:color w:val="0000FF"/>
                        <w:sz w:val="20"/>
                      </w:rPr>
                      <w:t xml:space="preserve">The Public Utilities Commission of Ohio </w:t>
                    </w:r>
                    <w:r>
                      <w:rPr>
                        <w:color w:val="0000FF"/>
                        <w:sz w:val="20"/>
                      </w:rPr>
                      <w:t>……………………………………………………………………..………….…….…………….</w:t>
                    </w:r>
                    <w:r>
                      <w:rPr>
                        <w:i/>
                        <w:color w:val="0000FF"/>
                        <w:sz w:val="20"/>
                        <w:u w:val="single"/>
                      </w:rPr>
                      <w:t xml:space="preserve">                                                                                                                                  </w:t>
                    </w:r>
                    <w:r>
                      <w:rPr>
                        <w:i/>
                        <w:color w:val="0000FF"/>
                        <w:sz w:val="20"/>
                      </w:rPr>
                      <w:t xml:space="preserve">                </w:t>
                    </w:r>
                  </w:p>
                  <w:p>
                    <w:pPr>
                      <w:pStyle w:val="Normal"/>
                      <w:ind w:start="270" w:end="-196"/>
                      <w:rPr/>
                    </w:pPr>
                    <w:r>
                      <w:rPr>
                        <w:color w:val="0000FF"/>
                      </w:rPr>
                      <w:t xml:space="preserve">                                                              </w:t>
                    </w:r>
                    <w:r>
                      <w:rPr>
                        <w:color w:val="0000FF"/>
                        <w:sz w:val="28"/>
                      </w:rPr>
                      <w:t xml:space="preserve"> </w:t>
                    </w:r>
                  </w:p>
                </w:txbxContent>
              </v:textbox>
              <w10:wrap type="topAndBottom"/>
            </v:rect>
          </w:pict>
        </mc:Fallback>
      </mc:AlternateContent>
    </w:r>
    <w:r>
      <mc:AlternateContent>
        <mc:Choice Requires="wps">
          <w:drawing>
            <wp:anchor behindDoc="0" distT="0" distB="0" distL="114935" distR="114935" simplePos="0" locked="0" layoutInCell="0" allowOverlap="1" relativeHeight="5">
              <wp:simplePos x="0" y="0"/>
              <wp:positionH relativeFrom="column">
                <wp:posOffset>177165</wp:posOffset>
              </wp:positionH>
              <wp:positionV relativeFrom="paragraph">
                <wp:posOffset>128270</wp:posOffset>
              </wp:positionV>
              <wp:extent cx="1645920" cy="1005840"/>
              <wp:effectExtent l="0" t="0" r="0" b="0"/>
              <wp:wrapTopAndBottom/>
              <wp:docPr id="5" name="Frame4"/>
              <a:graphic xmlns:a="http://schemas.openxmlformats.org/drawingml/2006/main">
                <a:graphicData uri="http://schemas.microsoft.com/office/word/2010/wordprocessingShape">
                  <wps:wsp>
                    <wps:cNvSpPr txBox="1"/>
                    <wps:spPr>
                      <a:xfrm>
                        <a:off x="0" y="0"/>
                        <a:ext cx="1645920" cy="1005840"/>
                      </a:xfrm>
                      <a:prstGeom prst="rect"/>
                      <a:solidFill>
                        <a:srgbClr val="FFFFFF"/>
                      </a:solidFill>
                    </wps:spPr>
                    <wps:txbx>
                      <w:txbxContent>
                        <w:p>
                          <w:pPr>
                            <w:pStyle w:val="Normal"/>
                            <w:ind w:start="90" w:end="0"/>
                            <w:rPr>
                              <w:color w:val="0000FF"/>
                              <w:sz w:val="17"/>
                            </w:rPr>
                          </w:pPr>
                          <w:r>
                            <w:rPr>
                              <w:color w:val="0000FF"/>
                              <w:sz w:val="17"/>
                            </w:rPr>
                            <w:t>Commissioners</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Ronda Hartman Fergus</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Judy A. Jones</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Donald L. Mason</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Clarence D. Rogers, Jr.</w:t>
                          </w:r>
                        </w:p>
                      </w:txbxContent>
                    </wps:txbx>
                    <wps:bodyPr anchor="t" lIns="92075" tIns="46355" rIns="92075" bIns="46355">
                      <a:noAutofit/>
                    </wps:bodyPr>
                  </wps:wsp>
                </a:graphicData>
              </a:graphic>
            </wp:anchor>
          </w:drawing>
        </mc:Choice>
        <mc:Fallback>
          <w:pict>
            <v:rect fillcolor="#FFFFFF" style="position:absolute;rotation:-0;width:129.6pt;height:79.2pt;mso-wrap-distance-left:9.05pt;mso-wrap-distance-right:9.05pt;mso-wrap-distance-top:0pt;mso-wrap-distance-bottom:0pt;margin-top:10.1pt;mso-position-vertical-relative:text;margin-left:13.95pt;mso-position-horizontal-relative:text">
              <v:textbox inset="0.100694444444444in,0.0506944444444444in,0.100694444444444in,0.0506944444444444in">
                <w:txbxContent>
                  <w:p>
                    <w:pPr>
                      <w:pStyle w:val="Normal"/>
                      <w:ind w:start="90" w:end="0"/>
                      <w:rPr>
                        <w:color w:val="0000FF"/>
                        <w:sz w:val="17"/>
                      </w:rPr>
                    </w:pPr>
                    <w:r>
                      <w:rPr>
                        <w:color w:val="0000FF"/>
                        <w:sz w:val="17"/>
                      </w:rPr>
                      <w:t>Commissioners</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Ronda Hartman Fergus</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Judy A. Jones</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Donald L. Mason</w:t>
                    </w:r>
                  </w:p>
                  <w:p>
                    <w:pPr>
                      <w:pStyle w:val="Normal"/>
                      <w:ind w:start="90" w:end="0"/>
                      <w:rPr>
                        <w:color w:val="0000FF"/>
                        <w:sz w:val="8"/>
                      </w:rPr>
                    </w:pPr>
                    <w:r>
                      <w:rPr>
                        <w:color w:val="0000FF"/>
                        <w:sz w:val="8"/>
                      </w:rPr>
                    </w:r>
                  </w:p>
                  <w:p>
                    <w:pPr>
                      <w:pStyle w:val="Normal"/>
                      <w:ind w:start="90" w:end="0"/>
                      <w:rPr>
                        <w:color w:val="0000FF"/>
                        <w:sz w:val="17"/>
                      </w:rPr>
                    </w:pPr>
                    <w:r>
                      <w:rPr>
                        <w:color w:val="0000FF"/>
                        <w:sz w:val="17"/>
                      </w:rPr>
                      <w:t>Clarence D. Rogers, Jr.</w:t>
                    </w:r>
                  </w:p>
                </w:txbxContent>
              </v:textbox>
              <w10:wrap type="topAndBottom"/>
            </v:rect>
          </w:pict>
        </mc:Fallback>
      </mc:AlternateContent>
    </w:r>
    <w:r>
      <mc:AlternateContent>
        <mc:Choice Requires="wps">
          <w:drawing>
            <wp:anchor behindDoc="1" distT="0" distB="0" distL="114935" distR="114935" simplePos="0" locked="0" layoutInCell="1" allowOverlap="1" relativeHeight="7">
              <wp:simplePos x="0" y="0"/>
              <wp:positionH relativeFrom="column">
                <wp:posOffset>4017645</wp:posOffset>
              </wp:positionH>
              <wp:positionV relativeFrom="paragraph">
                <wp:posOffset>128270</wp:posOffset>
              </wp:positionV>
              <wp:extent cx="3291840" cy="640080"/>
              <wp:effectExtent l="0" t="0" r="0" b="0"/>
              <wp:wrapNone/>
              <wp:docPr id="6" name="Frame5"/>
              <a:graphic xmlns:a="http://schemas.openxmlformats.org/drawingml/2006/main">
                <a:graphicData uri="http://schemas.microsoft.com/office/word/2010/wordprocessingShape">
                  <wps:wsp>
                    <wps:cNvSpPr txBox="1"/>
                    <wps:spPr>
                      <a:xfrm>
                        <a:off x="0" y="0"/>
                        <a:ext cx="3291840" cy="640080"/>
                      </a:xfrm>
                      <a:prstGeom prst="rect"/>
                      <a:solidFill>
                        <a:srgbClr val="FFFFFF"/>
                      </a:solidFill>
                    </wps:spPr>
                    <wps:txbx>
                      <w:txbxContent>
                        <w:p>
                          <w:pPr>
                            <w:pStyle w:val="Normal"/>
                            <w:rPr>
                              <w:rFonts w:ascii="Arial" w:hAnsi="Arial" w:cs="Arial"/>
                              <w:b/>
                              <w:color w:val="0000FF"/>
                              <w:sz w:val="18"/>
                            </w:rPr>
                          </w:pPr>
                          <w:r>
                            <w:rPr>
                              <w:rFonts w:cs="Arial" w:ascii="Arial" w:hAnsi="Arial"/>
                              <w:b/>
                              <w:color w:val="0000FF"/>
                              <w:sz w:val="18"/>
                            </w:rPr>
                          </w:r>
                        </w:p>
                      </w:txbxContent>
                    </wps:txbx>
                    <wps:bodyPr anchor="t" lIns="92075" tIns="46355" rIns="92075" bIns="46355">
                      <a:noAutofit/>
                    </wps:bodyPr>
                  </wps:wsp>
                </a:graphicData>
              </a:graphic>
            </wp:anchor>
          </w:drawing>
        </mc:Choice>
        <mc:Fallback>
          <w:pict>
            <v:rect fillcolor="#FFFFFF" style="position:absolute;rotation:-0;width:259.2pt;height:50.4pt;mso-wrap-distance-left:9.05pt;mso-wrap-distance-right:9.05pt;mso-wrap-distance-top:0pt;mso-wrap-distance-bottom:0pt;margin-top:10.1pt;mso-position-vertical-relative:text;margin-left:316.35pt;mso-position-horizontal-relative:text">
              <v:textbox inset="0.100694444444444in,0.0506944444444444in,0.100694444444444in,0.0506944444444444in">
                <w:txbxContent>
                  <w:p>
                    <w:pPr>
                      <w:pStyle w:val="Normal"/>
                      <w:rPr>
                        <w:rFonts w:ascii="Arial" w:hAnsi="Arial" w:cs="Arial"/>
                        <w:b/>
                        <w:color w:val="0000FF"/>
                        <w:sz w:val="18"/>
                      </w:rPr>
                    </w:pPr>
                    <w:r>
                      <w:rPr>
                        <w:rFonts w:cs="Arial" w:ascii="Arial" w:hAnsi="Arial"/>
                        <w:b/>
                        <w:color w:val="0000FF"/>
                        <w:sz w:val="18"/>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abstractNum>
  <w:abstractNum w:abstractNumId="2">
    <w:lvl w:ilvl="0">
      <w:start w:val="1"/>
      <w:numFmt w:val="bullet"/>
      <w:lvlText w:val=""/>
      <w:lvlJc w:val="start"/>
      <w:pPr>
        <w:tabs>
          <w:tab w:val="num" w:pos="720"/>
        </w:tabs>
        <w:ind w:start="360" w:hanging="360"/>
      </w:pPr>
      <w:rPr>
        <w:rFonts w:ascii="Symbol" w:hAnsi="Symbol" w:cs="Symbol" w:hint="default"/>
        <w:color w:val="auto"/>
      </w:rPr>
    </w:lvl>
  </w:abstractNum>
  <w:abstractNum w:abstractNumId="3">
    <w:lvl w:ilvl="0">
      <w:start w:val="1"/>
      <w:numFmt w:val="bullet"/>
      <w:lvlText w:val=""/>
      <w:lvlJc w:val="start"/>
      <w:pPr>
        <w:tabs>
          <w:tab w:val="num" w:pos="720"/>
        </w:tabs>
        <w:ind w:start="360" w:hanging="360"/>
      </w:pPr>
      <w:rPr>
        <w:rFonts w:ascii="Symbol" w:hAnsi="Symbol" w:cs="Symbol" w:hint="default"/>
        <w:color w:val="auto"/>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2"/>
    </w:rPr>
  </w:style>
  <w:style w:type="paragraph" w:styleId="List">
    <w:name w:val="List"/>
    <w:basedOn w:val="BodyText"/>
    <w:pPr>
      <w:tabs>
        <w:tab w:val="clear" w:pos="720"/>
        <w:tab w:val="left" w:pos="1440" w:leader="none"/>
      </w:tabs>
      <w:spacing w:before="0" w:after="0"/>
      <w:ind w:hanging="360" w:start="144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text">
    <w:name w:val="Tabletext"/>
    <w:basedOn w:val="Normal"/>
    <w:qFormat/>
    <w:pPr>
      <w:keepLines/>
      <w:suppressAutoHyphens w:val="true"/>
      <w:ind w:hanging="0" w:start="0" w:end="0"/>
      <w:jc w:val="center"/>
    </w:pPr>
    <w:rPr>
      <w:sz w:val="18"/>
    </w:rPr>
  </w:style>
  <w:style w:type="paragraph" w:styleId="Tableheadings">
    <w:name w:val="Tableheadings"/>
    <w:basedOn w:val="Tabletext"/>
    <w:qFormat/>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indings-autonumbered">
    <w:name w:val="findings-autonumbered"/>
    <w:basedOn w:val="Normal"/>
    <w:qFormat/>
    <w:pPr>
      <w:numPr>
        <w:ilvl w:val="0"/>
        <w:numId w:val="1"/>
      </w:numPr>
      <w:ind w:hanging="0" w:start="720" w:end="1512"/>
      <w:jc w:val="both"/>
    </w:pPr>
    <w:rPr>
      <w:rFonts w:ascii="Palatino" w:hAnsi="Palatino" w:cs="Palatino"/>
    </w:rPr>
  </w:style>
  <w:style w:type="paragraph" w:styleId="BodyText2">
    <w:name w:val="Body Text 2"/>
    <w:basedOn w:val="Normal"/>
    <w:qFormat/>
    <w:pPr>
      <w:ind w:hanging="0" w:start="0" w:end="0"/>
      <w:jc w:val="both"/>
    </w:pPr>
    <w:rPr>
      <w:rFonts w:ascii="Palatino" w:hAnsi="Palatino" w:cs="Palatino"/>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uart.Siegfried@puc.state.oh.u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The Public Utilities Commission of Ohio</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2001-11-30T11:51:00Z</dcterms:created>
  <dc:creator>siegfrd</dc:creator>
  <dc:description/>
  <dc:language>en-CA</dc:language>
  <cp:lastModifiedBy>siegfrd</cp:lastModifiedBy>
  <cp:lastPrinted>2001-07-06T15:03:00Z</cp:lastPrinted>
  <dcterms:modified xsi:type="dcterms:W3CDTF">2001-11-30T16:32:00Z</dcterms:modified>
  <cp:revision>4</cp:revision>
  <dc:subject/>
  <dc:title>                 The Public Utilities Commission of Ohio</dc:title>
</cp:coreProperties>
</file>