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caps/>
          <w:u w:val="single"/>
        </w:rPr>
      </w:pPr>
      <w:r>
        <w:rPr>
          <w:caps/>
          <w:u w:val="single"/>
        </w:rPr>
        <w:t>Guidelines For Communications</w:t>
        <w:br/>
        <w:t>Regarding the enron/dynegy Merger</w:t>
        <w:br/>
        <w:t>under Regulation m-a</w:t>
        <w:br/>
      </w:r>
    </w:p>
    <w:p>
      <w:pPr>
        <w:pStyle w:val="Bullet"/>
        <w:numPr>
          <w:ilvl w:val="0"/>
          <w:numId w:val="0"/>
        </w:numPr>
        <w:ind w:hanging="0" w:start="0"/>
        <w:rPr>
          <w:b/>
          <w:bCs/>
          <w:iCs/>
          <w:u w:val="single"/>
        </w:rPr>
      </w:pPr>
      <w:r>
        <w:rPr>
          <w:b/>
          <w:bCs/>
          <w:iCs/>
          <w:u w:val="single"/>
        </w:rPr>
        <w:t>General Rule</w:t>
      </w:r>
    </w:p>
    <w:p>
      <w:pPr>
        <w:pStyle w:val="Bullet"/>
        <w:numPr>
          <w:ilvl w:val="0"/>
          <w:numId w:val="0"/>
        </w:numPr>
        <w:ind w:hanging="0" w:start="0"/>
        <w:rPr/>
      </w:pPr>
      <w:r>
        <w:rPr>
          <w:iCs/>
        </w:rPr>
        <w:t>Generally, all “written communications” made by Enron (or on Enron’s behalf) that could be viewed as soliciting support for the merger and that are published, sent or given to securityholders (including written communications to the press, analysts, employees or other securityholder groups) must be filed with the SEC on the date of first use.  All written communications that are required to be filed with the SEC must prominently display the legend set forth below under “Legend.”  Failure to comply with these procedures could result in the communication being an illegal offer or illegal solicitation in violation of the securities laws.</w:t>
      </w:r>
    </w:p>
    <w:p>
      <w:pPr>
        <w:pStyle w:val="Bullet"/>
        <w:numPr>
          <w:ilvl w:val="0"/>
          <w:numId w:val="0"/>
        </w:numPr>
        <w:ind w:hanging="0" w:start="0"/>
        <w:rPr>
          <w:b/>
          <w:bCs/>
          <w:iCs/>
          <w:u w:val="single"/>
        </w:rPr>
      </w:pPr>
      <w:r>
        <w:rPr>
          <w:b/>
          <w:bCs/>
          <w:iCs/>
          <w:u w:val="single"/>
        </w:rPr>
        <w:t>“</w:t>
      </w:r>
      <w:r>
        <w:rPr>
          <w:b/>
          <w:bCs/>
          <w:iCs/>
          <w:u w:val="single"/>
        </w:rPr>
        <w:t>Written Communications”</w:t>
      </w:r>
    </w:p>
    <w:p>
      <w:pPr>
        <w:pStyle w:val="Bullet"/>
        <w:numPr>
          <w:ilvl w:val="0"/>
          <w:numId w:val="0"/>
        </w:numPr>
        <w:ind w:hanging="0" w:start="0"/>
        <w:rPr>
          <w:iCs/>
        </w:rPr>
      </w:pPr>
      <w:r>
        <w:rPr>
          <w:iCs/>
        </w:rPr>
        <w:t>“</w:t>
      </w:r>
      <w:r>
        <w:rPr>
          <w:iCs/>
        </w:rPr>
        <w:t>Written communications” that must be filed with the SEC include communications that have permanence in written or electronic form.  This includes:</w:t>
      </w:r>
    </w:p>
    <w:p>
      <w:pPr>
        <w:pStyle w:val="Dash"/>
        <w:numPr>
          <w:ilvl w:val="0"/>
          <w:numId w:val="15"/>
        </w:numPr>
        <w:rPr/>
      </w:pPr>
      <w:r>
        <w:rPr/>
        <w:t>press releases;</w:t>
      </w:r>
    </w:p>
    <w:p>
      <w:pPr>
        <w:pStyle w:val="Dash"/>
        <w:numPr>
          <w:ilvl w:val="0"/>
          <w:numId w:val="15"/>
        </w:numPr>
        <w:rPr/>
      </w:pPr>
      <w:r>
        <w:rPr/>
        <w:t>text, audio or video from Enron’s website containing references to the merger;</w:t>
      </w:r>
    </w:p>
    <w:p>
      <w:pPr>
        <w:pStyle w:val="Dash"/>
        <w:numPr>
          <w:ilvl w:val="0"/>
          <w:numId w:val="15"/>
        </w:numPr>
        <w:rPr/>
      </w:pPr>
      <w:r>
        <w:rPr/>
        <w:t xml:space="preserve">presentation scripts handed out or used for </w:t>
      </w:r>
      <w:r>
        <w:rPr>
          <w:u w:val="single"/>
        </w:rPr>
        <w:t>more</w:t>
      </w:r>
      <w:r>
        <w:rPr/>
        <w:t xml:space="preserve"> than one presentation (even if not distributed);</w:t>
      </w:r>
    </w:p>
    <w:p>
      <w:pPr>
        <w:pStyle w:val="Dash"/>
        <w:numPr>
          <w:ilvl w:val="0"/>
          <w:numId w:val="15"/>
        </w:numPr>
        <w:rPr/>
      </w:pPr>
      <w:r>
        <w:rPr/>
        <w:t>Q&amp;As used to respond to questions from the press, securityholders, analysts or employees (even if not distributed);</w:t>
      </w:r>
    </w:p>
    <w:p>
      <w:pPr>
        <w:pStyle w:val="Dash"/>
        <w:numPr>
          <w:ilvl w:val="0"/>
          <w:numId w:val="15"/>
        </w:numPr>
        <w:rPr/>
      </w:pPr>
      <w:r>
        <w:rPr/>
        <w:t>slides and other written material used in analyst, employee or other public presentations; and</w:t>
      </w:r>
    </w:p>
    <w:p>
      <w:pPr>
        <w:pStyle w:val="Dash"/>
        <w:numPr>
          <w:ilvl w:val="0"/>
          <w:numId w:val="15"/>
        </w:numPr>
        <w:rPr/>
      </w:pPr>
      <w:r>
        <w:rPr/>
        <w:t>e-mails or voice mails distributed to all employees.</w:t>
      </w:r>
    </w:p>
    <w:p>
      <w:pPr>
        <w:pStyle w:val="Dash"/>
        <w:numPr>
          <w:ilvl w:val="0"/>
          <w:numId w:val="0"/>
        </w:numPr>
        <w:ind w:hanging="720" w:start="720" w:end="0"/>
        <w:rPr>
          <w:b/>
          <w:bCs/>
          <w:u w:val="single"/>
        </w:rPr>
      </w:pPr>
      <w:r>
        <w:rPr>
          <w:b/>
          <w:bCs/>
          <w:u w:val="single"/>
        </w:rPr>
        <w:t>Oral Communications</w:t>
      </w:r>
    </w:p>
    <w:p>
      <w:pPr>
        <w:pStyle w:val="Dash"/>
        <w:numPr>
          <w:ilvl w:val="0"/>
          <w:numId w:val="0"/>
        </w:numPr>
        <w:ind w:hanging="0" w:start="0"/>
        <w:rPr/>
      </w:pPr>
      <w:r>
        <w:rPr/>
        <w:t xml:space="preserve">Purely oral communications do not need to be filed.  This includes discussions or calls with reporters, analysts, employees or other securityholder groups or “real-time” audio or video presentations.  However, if any presentation is made available in audio or video format via telephone, internet or otherwise </w:t>
      </w:r>
      <w:r>
        <w:rPr>
          <w:u w:val="single"/>
        </w:rPr>
        <w:t>after</w:t>
      </w:r>
      <w:r>
        <w:rPr/>
        <w:t xml:space="preserve"> its initial presentation, a transcript will need to be filed on the day it is made available after its initial presentation.  </w:t>
      </w:r>
    </w:p>
    <w:p>
      <w:pPr>
        <w:pStyle w:val="Dash"/>
        <w:numPr>
          <w:ilvl w:val="0"/>
          <w:numId w:val="0"/>
        </w:numPr>
        <w:ind w:hanging="0" w:start="0"/>
        <w:rPr/>
      </w:pPr>
      <w:r>
        <w:rPr/>
        <w:t>The SEC has recommended stating the legend at the beginning of an initial live presentation of a speech or conference call about the merger, although it is not required.  However, if the presentation is subsequently made available, the legend must be inserted in the material.</w:t>
      </w:r>
    </w:p>
    <w:p>
      <w:pPr>
        <w:pStyle w:val="Dash"/>
        <w:numPr>
          <w:ilvl w:val="0"/>
          <w:numId w:val="0"/>
        </w:numPr>
        <w:ind w:hanging="0" w:start="0"/>
        <w:rPr/>
      </w:pPr>
      <w:r>
        <w:rPr/>
        <w:t>Audio or video presentations should only be made available via telephone, internet or otherwise when a transcript has been prepared, so that the transcript (with the legend) may be filed with the SEC on the same day that the presentation is made available.</w:t>
      </w:r>
    </w:p>
    <w:p>
      <w:pPr>
        <w:pStyle w:val="Bullet"/>
        <w:keepNext w:val="true"/>
        <w:numPr>
          <w:ilvl w:val="0"/>
          <w:numId w:val="0"/>
        </w:numPr>
        <w:ind w:hanging="0" w:start="0"/>
        <w:rPr>
          <w:b/>
          <w:bCs/>
          <w:iCs/>
          <w:u w:val="single"/>
        </w:rPr>
      </w:pPr>
      <w:r>
        <w:rPr>
          <w:b/>
          <w:bCs/>
          <w:iCs/>
          <w:u w:val="single"/>
        </w:rPr>
        <w:t>Exceptions</w:t>
      </w:r>
    </w:p>
    <w:p>
      <w:pPr>
        <w:pStyle w:val="Bullet"/>
        <w:numPr>
          <w:ilvl w:val="0"/>
          <w:numId w:val="0"/>
        </w:numPr>
        <w:ind w:hanging="0" w:start="0"/>
        <w:rPr>
          <w:iCs/>
        </w:rPr>
      </w:pPr>
      <w:r>
        <w:rPr>
          <w:iCs/>
        </w:rPr>
        <w:t>There is no need to file a written communication that:</w:t>
      </w:r>
    </w:p>
    <w:p>
      <w:pPr>
        <w:pStyle w:val="Bullet"/>
        <w:numPr>
          <w:ilvl w:val="0"/>
          <w:numId w:val="13"/>
        </w:numPr>
        <w:rPr>
          <w:iCs/>
        </w:rPr>
      </w:pPr>
      <w:r>
        <w:rPr>
          <w:iCs/>
        </w:rPr>
        <w:t>was previously filed and is subsequently redisseminated or contains only minimal changes (e.g., correction of minor typographical errors, an update regarding a contact person, or stylistic changes including a change in format, type-size, letterhead, addressee, etc.);</w:t>
      </w:r>
    </w:p>
    <w:p>
      <w:pPr>
        <w:pStyle w:val="Bullet"/>
        <w:numPr>
          <w:ilvl w:val="0"/>
          <w:numId w:val="13"/>
        </w:numPr>
        <w:rPr>
          <w:iCs/>
        </w:rPr>
      </w:pPr>
      <w:r>
        <w:rPr>
          <w:iCs/>
        </w:rPr>
        <w:t>is an ordinary or routine business communication (e.g., an earnings release) that refers to the transaction, if at all, only in a non-substantive way;</w:t>
      </w:r>
    </w:p>
    <w:p>
      <w:pPr>
        <w:pStyle w:val="Bullet"/>
        <w:numPr>
          <w:ilvl w:val="0"/>
          <w:numId w:val="13"/>
        </w:numPr>
        <w:rPr>
          <w:iCs/>
        </w:rPr>
      </w:pPr>
      <w:r>
        <w:rPr>
          <w:iCs/>
        </w:rPr>
        <w:t>is provided in response to a specific unsolicited inquiry if the response does not include material information not then publicly available and is not disseminated to anyone other than the inquiring person;</w:t>
      </w:r>
    </w:p>
    <w:p>
      <w:pPr>
        <w:pStyle w:val="Bullet"/>
        <w:numPr>
          <w:ilvl w:val="0"/>
          <w:numId w:val="13"/>
        </w:numPr>
        <w:rPr>
          <w:iCs/>
        </w:rPr>
      </w:pPr>
      <w:r>
        <w:rPr>
          <w:iCs/>
        </w:rPr>
        <w:t>is made only to employees and could not be viewed as offering or proxy soliciting material (e.g., an email to all employees regarding conduct of business prior to the merger); these communications should be reviewed by legal counsel in advance to determine whether filing is required;</w:t>
      </w:r>
    </w:p>
    <w:p>
      <w:pPr>
        <w:pStyle w:val="Bullet"/>
        <w:numPr>
          <w:ilvl w:val="0"/>
          <w:numId w:val="13"/>
        </w:numPr>
        <w:rPr>
          <w:iCs/>
        </w:rPr>
      </w:pPr>
      <w:r>
        <w:rPr>
          <w:iCs/>
        </w:rPr>
        <w:t>is provided solely to legal counsel, financial advisors and similar persons authorized to act on behalf of Enron;</w:t>
      </w:r>
    </w:p>
    <w:p>
      <w:pPr>
        <w:pStyle w:val="Bullet"/>
        <w:numPr>
          <w:ilvl w:val="0"/>
          <w:numId w:val="13"/>
        </w:numPr>
        <w:rPr>
          <w:iCs/>
        </w:rPr>
      </w:pPr>
      <w:r>
        <w:rPr>
          <w:iCs/>
        </w:rPr>
        <w:t xml:space="preserve">is made to banks or other lending institutions in connection with financing arrangements or in presentations to credit rating agencies for the purpose of obtaining a credit rating for Enron’s debt securities; </w:t>
      </w:r>
    </w:p>
    <w:p>
      <w:pPr>
        <w:pStyle w:val="Bullet"/>
        <w:numPr>
          <w:ilvl w:val="0"/>
          <w:numId w:val="13"/>
        </w:numPr>
        <w:rPr>
          <w:iCs/>
        </w:rPr>
      </w:pPr>
      <w:r>
        <w:rPr>
          <w:iCs/>
        </w:rPr>
        <w:t>is an article that merely quotes an Enron official discussing the merger (however, if Enron controls or arranges for an article to be published, pays for the article to be published or disseminates that article (on the Enron website or otherwise) the article would need to be filed); or</w:t>
      </w:r>
    </w:p>
    <w:p>
      <w:pPr>
        <w:pStyle w:val="Bullet"/>
        <w:numPr>
          <w:ilvl w:val="0"/>
          <w:numId w:val="13"/>
        </w:numPr>
        <w:rPr>
          <w:iCs/>
        </w:rPr>
      </w:pPr>
      <w:r>
        <w:rPr>
          <w:iCs/>
        </w:rPr>
        <w:t>is distributed after the Enron shareholder meeting to approve the merger.</w:t>
      </w:r>
    </w:p>
    <w:p>
      <w:pPr>
        <w:pStyle w:val="Bullet"/>
        <w:keepNext w:val="true"/>
        <w:numPr>
          <w:ilvl w:val="0"/>
          <w:numId w:val="0"/>
        </w:numPr>
        <w:ind w:hanging="0" w:start="0"/>
        <w:rPr>
          <w:b/>
          <w:bCs/>
          <w:iCs/>
          <w:u w:val="single"/>
        </w:rPr>
      </w:pPr>
      <w:r>
        <w:rPr>
          <w:b/>
          <w:bCs/>
          <w:iCs/>
          <w:u w:val="single"/>
        </w:rPr>
        <w:t>Legend</w:t>
      </w:r>
    </w:p>
    <w:p>
      <w:pPr>
        <w:pStyle w:val="Bullet"/>
        <w:keepNext w:val="true"/>
        <w:numPr>
          <w:ilvl w:val="0"/>
          <w:numId w:val="0"/>
        </w:numPr>
        <w:ind w:hanging="0" w:start="0"/>
        <w:rPr>
          <w:bCs/>
          <w:iCs/>
          <w:u w:val="single"/>
        </w:rPr>
      </w:pPr>
      <w:r>
        <w:rPr>
          <w:bCs/>
        </w:rPr>
        <w:t>All written communications must contain a prominent legend advising investors to read the joint proxy statement/prospectus when filed:</w:t>
      </w:r>
    </w:p>
    <w:p>
      <w:pPr>
        <w:pStyle w:val="Dash"/>
        <w:numPr>
          <w:ilvl w:val="0"/>
          <w:numId w:val="0"/>
        </w:numPr>
        <w:ind w:hanging="0" w:start="720" w:end="720"/>
        <w:rPr/>
      </w:pPr>
      <w:r>
        <w:rPr/>
        <w:t xml:space="preserve">In connection with the proposed transactions, Dynegy and Enron will file a joint proxy statement/prospectus with the Securities and Exchange Commission.  </w:t>
      </w:r>
      <w:r>
        <w:rPr>
          <w:b/>
          <w:bCs/>
        </w:rPr>
        <w:t>Investors and security holders are urged to carefully read the joint proxy statement/prospectus regarding the proposed transactions when it becomes available, because it will contain important information.</w:t>
      </w:r>
      <w:r>
        <w:rPr/>
        <w:t xml:space="preserve">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507-6466, Fax:  (713) 767-6652; or Investor Relations, Enron Corp., Enron Building, 1400 Smith Street, Houston, TX 77002, Phone:  (713) 853-3956, Fax:  (713) 646-3302.</w:t>
      </w:r>
    </w:p>
    <w:p>
      <w:pPr>
        <w:pStyle w:val="Dash"/>
        <w:numPr>
          <w:ilvl w:val="0"/>
          <w:numId w:val="0"/>
        </w:numPr>
        <w:ind w:hanging="0" w:start="720" w:end="720"/>
        <w:rPr/>
      </w:pPr>
      <w:r>
        <w:rPr/>
        <w:t xml:space="preserve">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 </w:t>
      </w:r>
    </w:p>
    <w:p>
      <w:pPr>
        <w:pStyle w:val="Dash"/>
        <w:numPr>
          <w:ilvl w:val="0"/>
          <w:numId w:val="0"/>
        </w:numPr>
        <w:spacing w:before="0" w:after="240"/>
        <w:ind w:hanging="0" w:start="0"/>
        <w:rPr/>
      </w:pPr>
      <w:r>
        <w:rPr/>
        <w:t>Written communications made after the merger registration statement on Form S-4 is filed or the joint merger proxy statement/prospectus is mailed must continue to contain a similar legend modified to reflect that such documents have been filed.</w:t>
      </w:r>
    </w:p>
    <w:sectPr>
      <w:footerReference w:type="default" r:id="rId2"/>
      <w:footerReference w:type="first" r:id="rId3"/>
      <w:type w:val="nextPage"/>
      <w:pgSz w:w="12240" w:h="15840"/>
      <w:pgMar w:left="1800" w:right="1800" w:gutter="0" w:header="0" w:top="1800" w:footer="36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fldChar w:fldCharType="begin"/>
    </w:r>
    <w:r>
      <w:rPr/>
      <w:instrText xml:space="preserve"> PAGE </w:instrText>
    </w:r>
    <w:r>
      <w:rPr/>
      <w:fldChar w:fldCharType="separate"/>
    </w:r>
    <w:r>
      <w:rPr/>
      <w:t>3</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114300" distR="114300" simplePos="0" locked="0" layoutInCell="0" allowOverlap="1" relativeHeight="2">
              <wp:simplePos x="0" y="0"/>
              <wp:positionH relativeFrom="page">
                <wp:align>center</wp:align>
              </wp:positionH>
              <wp:positionV relativeFrom="page">
                <wp:align>bottom</wp:align>
              </wp:positionV>
              <wp:extent cx="6858000" cy="116840"/>
              <wp:effectExtent l="0" t="0" r="0" b="0"/>
              <wp:wrapTopAndBottom/>
              <wp:docPr id="1" name="Frame1"/>
              <a:graphic xmlns:a="http://schemas.openxmlformats.org/drawingml/2006/main">
                <a:graphicData uri="http://schemas.microsoft.com/office/word/2010/wordprocessingShape">
                  <wps:wsp>
                    <wps:cNvSpPr txBox="1"/>
                    <wps:spPr>
                      <a:xfrm>
                        <a:off x="0" y="0"/>
                        <a:ext cx="6858000" cy="116840"/>
                      </a:xfrm>
                      <a:prstGeom prst="rect"/>
                      <a:solidFill>
                        <a:srgbClr val="FFFFFF">
                          <a:alpha val="0"/>
                        </a:srgbClr>
                      </a:solidFill>
                    </wps:spPr>
                    <wps:txbx>
                      <w:txbxContent>
                        <w:p>
                          <w:pPr>
                            <w:pStyle w:val="Normal"/>
                            <w:tabs>
                              <w:tab w:val="clear" w:pos="720"/>
                              <w:tab w:val="right" w:pos="10800" w:leader="none"/>
                            </w:tabs>
                            <w:spacing w:before="0" w:after="360"/>
                            <w:rPr>
                              <w:rFonts w:ascii="Arial" w:hAnsi="Arial" w:cs="Arial"/>
                              <w:sz w:val="16"/>
                            </w:rPr>
                          </w:pPr>
                          <w:bookmarkStart w:id="0" w:name="_DocIDStamp"/>
                          <w:bookmarkEnd w:id="0"/>
                          <w:r>
                            <w:rPr>
                              <w:rFonts w:cs="Arial" w:ascii="Arial" w:hAnsi="Arial"/>
                              <w:sz w:val="16"/>
                            </w:rPr>
                            <w:tab/>
                          </w:r>
                        </w:p>
                      </w:txbxContent>
                    </wps:txbx>
                    <wps:bodyPr anchor="t" lIns="0" tIns="0" rIns="0" bIns="0">
                      <a:noAutofit/>
                    </wps:bodyPr>
                  </wps:wsp>
                </a:graphicData>
              </a:graphic>
            </wp:anchor>
          </w:drawing>
        </mc:Choice>
        <mc:Fallback>
          <w:pict>
            <v:rect fillcolor="#FFFFFF" style="position:absolute;rotation:-0;width:540pt;height:9.2pt;mso-wrap-distance-left:9pt;mso-wrap-distance-right:9pt;mso-wrap-distance-top:0pt;mso-wrap-distance-bottom:0pt;margin-top:782.8pt;mso-position-vertical:bottom;mso-position-vertical-relative:page;margin-left:36pt;mso-position-horizontal:center;mso-position-horizontal-relative:page">
              <v:fill opacity="0f"/>
              <v:textbox inset="0in,0in,0in,0in">
                <w:txbxContent>
                  <w:p>
                    <w:pPr>
                      <w:pStyle w:val="Normal"/>
                      <w:tabs>
                        <w:tab w:val="clear" w:pos="720"/>
                        <w:tab w:val="right" w:pos="10800" w:leader="none"/>
                      </w:tabs>
                      <w:spacing w:before="0" w:after="360"/>
                      <w:rPr>
                        <w:rFonts w:ascii="Arial" w:hAnsi="Arial" w:cs="Arial"/>
                        <w:sz w:val="16"/>
                      </w:rPr>
                    </w:pPr>
                    <w:bookmarkStart w:id="1" w:name="_DocIDStamp"/>
                    <w:bookmarkEnd w:id="1"/>
                    <w:r>
                      <w:rPr>
                        <w:rFonts w:cs="Arial" w:ascii="Arial" w:hAnsi="Arial"/>
                        <w:sz w:val="16"/>
                      </w:rPr>
                      <w:tab/>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0"/>
        </w:tabs>
        <w:ind w:start="0" w:hanging="0"/>
      </w:pPr>
    </w:lvl>
    <w:lvl w:ilvl="1">
      <w:start w:val="1"/>
      <w:pStyle w:val="Heading2"/>
      <w:numFmt w:val="decimal"/>
      <w:lvlText w:val="Section %2."/>
      <w:lvlJc w:val="start"/>
      <w:pPr>
        <w:tabs>
          <w:tab w:val="num" w:pos="2160"/>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upperLetter"/>
      <w:lvlText w:val="(%5)"/>
      <w:lvlJc w:val="start"/>
      <w:pPr>
        <w:tabs>
          <w:tab w:val="num" w:pos="720"/>
        </w:tabs>
        <w:ind w:start="0" w:hanging="0"/>
      </w:pPr>
    </w:lvl>
    <w:lvl w:ilvl="5">
      <w:start w:val="1"/>
      <w:pStyle w:val="Heading6"/>
      <w:numFmt w:val="decimal"/>
      <w:lvlText w:val="(%6)"/>
      <w:lvlJc w:val="start"/>
      <w:pPr>
        <w:tabs>
          <w:tab w:val="num" w:pos="720"/>
        </w:tabs>
        <w:ind w:start="0" w:hanging="0"/>
      </w:pPr>
    </w:lvl>
    <w:lvl w:ilvl="6">
      <w:start w:val="1"/>
      <w:pStyle w:val="Heading7"/>
      <w:numFmt w:val="ordinalText"/>
      <w:lvlText w:val="%7:"/>
      <w:lvlJc w:val="start"/>
      <w:pPr>
        <w:tabs>
          <w:tab w:val="num" w:pos="1296"/>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872"/>
        </w:tabs>
        <w:ind w:start="1872" w:hanging="432"/>
      </w:pPr>
      <w:rPr>
        <w:rFonts w:ascii="Symbol" w:hAnsi="Symbol" w:cs="Symbol" w:hint="default"/>
        <w:color w:val="auto"/>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decimal"/>
      <w:lvlText w:val="%1."/>
      <w:lvlJc w:val="start"/>
      <w:pPr>
        <w:tabs>
          <w:tab w:val="num" w:pos="432"/>
        </w:tabs>
        <w:ind w:start="432" w:hanging="432"/>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720"/>
        </w:tabs>
        <w:ind w:start="720" w:hanging="72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30"/>
  <w:defaultTabStop w:val="720"/>
  <w:autoHyphenation w:val="true"/>
  <w:hyphenationZone w:val="0"/>
  <w:compat>
    <w:compatSetting w:name="compatibilityMode" w:uri="http://schemas.microsoft.com/office/word" w:val="11"/>
  </w:compat>
  <w:docVars>
    <w:docVar w:name="DoubleSpace" w:val="0"/>
    <w:docVar w:name="DraftDate" w:val="1/12/00"/>
    <w:docVar w:name="DraftStamp" w:val="True"/>
    <w:docVar w:name="FirstLineIndent" w:val="0"/>
    <w:docVar w:name="FontName" w:val="Times New Roman"/>
    <w:docVar w:name="FooterStamp" w:val="True"/>
    <w:docVar w:name="FooterStampDateTimePosition" w:val="None"/>
    <w:docVar w:name="FooterStampIncludeDocNum" w:val="1"/>
    <w:docVar w:name="FooterStampWhichPages" w:val="First"/>
    <w:docVar w:name="HeaderStampsWhichPages" w:val="First"/>
    <w:docVar w:name="IncludeCoverPage" w:val="0"/>
    <w:docVar w:name="IncludeSchedule" w:val="0"/>
    <w:docVar w:name="IncludeTOC" w:val="0"/>
    <w:docVar w:name="PrivilegeCount" w:val="1"/>
    <w:docVar w:name="PrivilegeStamp" w:val="False"/>
    <w:docVar w:name="PrivilegeStampText1" w:val="STRICTLY CONFIDENTIAL"/>
    <w:docVar w:name="WLRKWord Version" w:val="4.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CenteredHeading"/>
    <w:qFormat/>
    <w:pPr>
      <w:keepNext w:val="true"/>
      <w:numPr>
        <w:ilvl w:val="0"/>
        <w:numId w:val="1"/>
      </w:numPr>
      <w:spacing w:before="0" w:after="240"/>
      <w:jc w:val="center"/>
      <w:outlineLvl w:val="0"/>
    </w:pPr>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BodyText"/>
    <w:qFormat/>
    <w:pPr>
      <w:numPr>
        <w:ilvl w:val="2"/>
        <w:numId w:val="1"/>
      </w:numPr>
      <w:spacing w:before="0" w:after="240"/>
      <w:ind w:firstLine="1440" w:start="0" w:end="0"/>
      <w:outlineLvl w:val="2"/>
    </w:pPr>
    <w:rPr/>
  </w:style>
  <w:style w:type="paragraph" w:styleId="Heading4">
    <w:name w:val="heading 4"/>
    <w:basedOn w:val="Normal"/>
    <w:next w:val="BodyText"/>
    <w:qFormat/>
    <w:pPr>
      <w:numPr>
        <w:ilvl w:val="3"/>
        <w:numId w:val="1"/>
      </w:numPr>
      <w:spacing w:before="0" w:after="240"/>
      <w:ind w:firstLine="720" w:start="720" w:end="0"/>
      <w:outlineLvl w:val="3"/>
    </w:pPr>
    <w:rPr/>
  </w:style>
  <w:style w:type="paragraph" w:styleId="Heading5">
    <w:name w:val="heading 5"/>
    <w:basedOn w:val="Normal"/>
    <w:next w:val="BodyText"/>
    <w:qFormat/>
    <w:pPr>
      <w:numPr>
        <w:ilvl w:val="4"/>
        <w:numId w:val="1"/>
      </w:numPr>
      <w:spacing w:before="0" w:after="240"/>
      <w:ind w:firstLine="720" w:start="720" w:end="0"/>
      <w:outlineLvl w:val="4"/>
    </w:pPr>
    <w:rPr/>
  </w:style>
  <w:style w:type="paragraph" w:styleId="Heading6">
    <w:name w:val="heading 6"/>
    <w:basedOn w:val="Normal"/>
    <w:next w:val="BodyText"/>
    <w:qFormat/>
    <w:pPr>
      <w:numPr>
        <w:ilvl w:val="5"/>
        <w:numId w:val="1"/>
      </w:numPr>
      <w:spacing w:before="0" w:after="240"/>
      <w:ind w:firstLine="720" w:start="720" w:end="0"/>
      <w:outlineLvl w:val="5"/>
    </w:pPr>
    <w:rPr/>
  </w:style>
  <w:style w:type="paragraph" w:styleId="Heading7">
    <w:name w:val="heading 7"/>
    <w:basedOn w:val="Normal"/>
    <w:next w:val="BodyText"/>
    <w:qFormat/>
    <w:pPr>
      <w:numPr>
        <w:ilvl w:val="6"/>
        <w:numId w:val="1"/>
      </w:numPr>
      <w:spacing w:before="0" w:after="240"/>
      <w:ind w:hanging="1296" w:start="2736" w:end="0"/>
      <w:outlineLvl w:val="6"/>
    </w:pPr>
    <w:rPr/>
  </w:style>
  <w:style w:type="paragraph" w:styleId="Heading8">
    <w:name w:val="heading 8"/>
    <w:basedOn w:val="Normal"/>
    <w:next w:val="BodyText"/>
    <w:qFormat/>
    <w:pPr>
      <w:numPr>
        <w:ilvl w:val="7"/>
        <w:numId w:val="1"/>
      </w:numPr>
      <w:outlineLvl w:val="7"/>
    </w:pPr>
    <w:rPr/>
  </w:style>
  <w:style w:type="paragraph" w:styleId="Heading9">
    <w:name w:val="heading 9"/>
    <w:basedOn w:val="Normal"/>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rFonts w:ascii="Courier New" w:hAnsi="Courier New" w:cs="Courier New"/>
      <w:sz w:val="16"/>
    </w:rPr>
  </w:style>
  <w:style w:type="character" w:styleId="Emphasis">
    <w:name w:val="Emphasis"/>
    <w:basedOn w:val="DefaultParagraphFont"/>
    <w:qFormat/>
    <w:rPr>
      <w:rFonts w:ascii="Courier New" w:hAnsi="Courier New" w:cs="Courier New"/>
      <w:i/>
    </w:rPr>
  </w:style>
  <w:style w:type="character" w:styleId="EndnoteCharacters">
    <w:name w:val="Endnote Characters"/>
    <w:basedOn w:val="DefaultParagraphFont"/>
    <w:qFormat/>
    <w:rPr>
      <w:rFonts w:ascii="Courier New" w:hAnsi="Courier New" w:cs="Courier New"/>
      <w:vertAlign w:val="superscript"/>
    </w:rPr>
  </w:style>
  <w:style w:type="character" w:styleId="FollowedHyperlink">
    <w:name w:val="FollowedHyperlink"/>
    <w:basedOn w:val="DefaultParagraphFont"/>
    <w:rPr>
      <w:rFonts w:ascii="Courier New" w:hAnsi="Courier New" w:cs="Courier New"/>
      <w:color w:val="800080"/>
      <w:u w:val="single"/>
    </w:rPr>
  </w:style>
  <w:style w:type="character" w:styleId="FootnoteCharacters">
    <w:name w:val="Footnote Characters"/>
    <w:basedOn w:val="DefaultParagraphFont"/>
    <w:qFormat/>
    <w:rPr>
      <w:rFonts w:ascii="Courier New" w:hAnsi="Courier New" w:cs="Courier New"/>
      <w:vertAlign w:val="superscript"/>
    </w:rPr>
  </w:style>
  <w:style w:type="character" w:styleId="Hyperlink">
    <w:name w:val="Hyperlink"/>
    <w:basedOn w:val="DefaultParagraphFont"/>
    <w:rPr>
      <w:rFonts w:ascii="Courier New" w:hAnsi="Courier New" w:cs="Courier New"/>
      <w:color w:val="0000FF"/>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LeftHeading">
    <w:name w:val="Left Heading"/>
    <w:basedOn w:val="Normal"/>
    <w:next w:val="Normal"/>
    <w:qFormat/>
    <w:pPr>
      <w:keepNext w:val="true"/>
      <w:spacing w:before="0" w:after="240"/>
      <w:ind w:hanging="0" w:start="0" w:end="4320"/>
    </w:pPr>
    <w:rPr/>
  </w:style>
  <w:style w:type="paragraph" w:styleId="NumberedList">
    <w:name w:val="Numbered List"/>
    <w:basedOn w:val="BodyText"/>
    <w:qFormat/>
    <w:pPr>
      <w:numPr>
        <w:ilvl w:val="0"/>
        <w:numId w:val="14"/>
      </w:numPr>
      <w:tabs>
        <w:tab w:val="clear" w:pos="720"/>
      </w:tabs>
      <w:ind w:firstLine="1440" w:start="0" w:end="0"/>
    </w:pPr>
    <w:rPr/>
  </w:style>
  <w:style w:type="paragraph" w:styleId="CenteredHeading">
    <w:name w:val="Centered Heading"/>
    <w:basedOn w:val="Normal"/>
    <w:next w:val="BodyText"/>
    <w:qFormat/>
    <w:pPr>
      <w:keepNext w:val="true"/>
      <w:spacing w:before="0" w:after="240"/>
      <w:jc w:val="center"/>
    </w:pPr>
    <w:rPr>
      <w:b/>
      <w:i/>
    </w:rPr>
  </w:style>
  <w:style w:type="paragraph" w:styleId="CoverText">
    <w:name w:val="Cover Text"/>
    <w:basedOn w:val="Normal"/>
    <w:qFormat/>
    <w:pPr>
      <w:ind w:hanging="0" w:start="1440" w:end="14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aragraphDivider">
    <w:name w:val="Paragraph Divider"/>
    <w:basedOn w:val="Normal"/>
    <w:qFormat/>
    <w:pPr>
      <w:tabs>
        <w:tab w:val="clear" w:pos="720"/>
        <w:tab w:val="left" w:pos="576" w:leader="none"/>
        <w:tab w:val="left" w:pos="1152" w:leader="none"/>
        <w:tab w:val="left" w:pos="1728" w:leader="none"/>
        <w:tab w:val="left" w:pos="2304" w:leader="none"/>
        <w:tab w:val="left" w:pos="2880" w:leader="none"/>
        <w:tab w:val="left" w:pos="3456" w:leader="none"/>
        <w:tab w:val="left" w:pos="4032" w:leader="none"/>
        <w:tab w:val="left" w:pos="4608" w:leader="none"/>
      </w:tabs>
      <w:spacing w:before="0" w:after="240"/>
      <w:jc w:val="center"/>
    </w:pPr>
    <w:rPr/>
  </w:style>
  <w:style w:type="paragraph" w:styleId="Index1">
    <w:name w:val="index 1"/>
    <w:basedOn w:val="Normal"/>
    <w:next w:val="Normal"/>
    <w:pPr>
      <w:tabs>
        <w:tab w:val="clear" w:pos="720"/>
        <w:tab w:val="right" w:pos="3960" w:leader="dot"/>
      </w:tabs>
      <w:ind w:hanging="240" w:start="240" w:end="0"/>
    </w:pPr>
    <w:rPr/>
  </w:style>
  <w:style w:type="paragraph" w:styleId="Index2">
    <w:name w:val="index 2"/>
    <w:basedOn w:val="Normal"/>
    <w:next w:val="Normal"/>
    <w:pPr>
      <w:tabs>
        <w:tab w:val="clear" w:pos="720"/>
        <w:tab w:val="right" w:pos="3960" w:leader="dot"/>
      </w:tabs>
      <w:ind w:hanging="240" w:start="480" w:end="0"/>
    </w:pPr>
    <w:rPr/>
  </w:style>
  <w:style w:type="paragraph" w:styleId="IndexHeading">
    <w:name w:val="index heading"/>
    <w:basedOn w:val="Normal"/>
    <w:next w:val="Index1"/>
    <w:pPr/>
    <w:rPr/>
  </w:style>
  <w:style w:type="paragraph" w:styleId="ScheduleAndExhibits">
    <w:name w:val="Schedule And Exhibits"/>
    <w:basedOn w:val="Normal"/>
    <w:qFormat/>
    <w:pPr>
      <w:tabs>
        <w:tab w:val="clear" w:pos="720"/>
        <w:tab w:val="left" w:pos="2880" w:leader="none"/>
      </w:tabs>
      <w:spacing w:before="0" w:after="240"/>
      <w:ind w:hanging="2880" w:start="2880" w:end="0"/>
    </w:pPr>
    <w:rPr/>
  </w:style>
  <w:style w:type="paragraph" w:styleId="Quote">
    <w:name w:val="Quote"/>
    <w:basedOn w:val="Normal"/>
    <w:qFormat/>
    <w:pPr>
      <w:spacing w:before="0" w:after="240"/>
      <w:ind w:hanging="0" w:start="720" w:end="0"/>
    </w:pPr>
    <w:rPr/>
  </w:style>
  <w:style w:type="paragraph" w:styleId="TOC1">
    <w:name w:val="toc 1"/>
    <w:basedOn w:val="Normal"/>
    <w:pPr>
      <w:tabs>
        <w:tab w:val="clear" w:pos="720"/>
        <w:tab w:val="left" w:pos="1440" w:leader="none"/>
        <w:tab w:val="left" w:pos="7920" w:leader="dot"/>
        <w:tab w:val="right" w:pos="8640" w:leader="none"/>
      </w:tabs>
      <w:spacing w:before="0" w:after="240"/>
    </w:pPr>
    <w:rPr>
      <w:lang w:val="en-CA" w:eastAsia="en-CA"/>
    </w:rPr>
  </w:style>
  <w:style w:type="paragraph" w:styleId="TOC2">
    <w:name w:val="toc 2"/>
    <w:basedOn w:val="TOC1"/>
    <w:pPr/>
    <w:rPr/>
  </w:style>
  <w:style w:type="paragraph" w:styleId="TOC3">
    <w:name w:val="toc 3"/>
    <w:basedOn w:val="TOC1"/>
    <w:pPr/>
    <w:rPr/>
  </w:style>
  <w:style w:type="paragraph" w:styleId="TOC4">
    <w:name w:val="toc 4"/>
    <w:basedOn w:val="TOC1"/>
    <w:pPr/>
    <w:rPr/>
  </w:style>
  <w:style w:type="paragraph" w:styleId="TOC5">
    <w:name w:val="toc 5"/>
    <w:basedOn w:val="TOC1"/>
    <w:pPr/>
    <w:rPr/>
  </w:style>
  <w:style w:type="paragraph" w:styleId="TOC6">
    <w:name w:val="toc 6"/>
    <w:basedOn w:val="TOC1"/>
    <w:pPr/>
    <w:rPr/>
  </w:style>
  <w:style w:type="paragraph" w:styleId="TOC7">
    <w:name w:val="toc 7"/>
    <w:basedOn w:val="TOC1"/>
    <w:pPr/>
    <w:rPr/>
  </w:style>
  <w:style w:type="paragraph" w:styleId="TOC8">
    <w:name w:val="toc 8"/>
    <w:basedOn w:val="TOC1"/>
    <w:pPr/>
    <w:rPr/>
  </w:style>
  <w:style w:type="paragraph" w:styleId="TOC9">
    <w:name w:val="toc 9"/>
    <w:basedOn w:val="TOC1"/>
    <w:pPr/>
    <w:rPr/>
  </w:style>
  <w:style w:type="paragraph" w:styleId="BlockText">
    <w:name w:val="Block Text"/>
    <w:basedOn w:val="Normal"/>
    <w:qFormat/>
    <w:pPr>
      <w:spacing w:before="0" w:after="120"/>
      <w:ind w:hanging="0" w:start="1440" w:end="1440"/>
    </w:pPr>
    <w:rPr/>
  </w:style>
  <w:style w:type="paragraph" w:styleId="RedHerring">
    <w:name w:val="Red Herring"/>
    <w:basedOn w:val="Normal"/>
    <w:qFormat/>
    <w:pPr/>
    <w:rPr>
      <w:rFonts w:ascii="Arial Narrow" w:hAnsi="Arial Narrow" w:cs="Arial Narrow"/>
      <w:sz w:val="16"/>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Bullet">
    <w:name w:val="Bullet"/>
    <w:basedOn w:val="BodyText"/>
    <w:qFormat/>
    <w:pPr>
      <w:numPr>
        <w:ilvl w:val="0"/>
        <w:numId w:val="12"/>
      </w:numPr>
      <w:tabs>
        <w:tab w:val="clear" w:pos="720"/>
        <w:tab w:val="left" w:pos="1152" w:leader="none"/>
      </w:tabs>
      <w:ind w:hanging="0" w:start="1152" w:end="0"/>
    </w:pPr>
    <w:rPr/>
  </w:style>
  <w:style w:type="paragraph" w:styleId="Dash">
    <w:name w:val="Dash"/>
    <w:basedOn w:val="Bullet"/>
    <w:qFormat/>
    <w:pPr>
      <w:numPr>
        <w:ilvl w:val="0"/>
        <w:numId w:val="16"/>
      </w:numPr>
      <w:tabs>
        <w:tab w:val="left" w:pos="1152" w:leader="none"/>
        <w:tab w:val="left" w:pos="1620"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Corporate Agreement.dot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2001-11-20T12:59:00Z</dcterms:created>
  <dc:creator>Frankenstein, Karen</dc:creator>
  <dc:description/>
  <dc:language>en-CA</dc:language>
  <cp:lastModifiedBy>akoehle</cp:lastModifiedBy>
  <cp:lastPrinted>2001-11-19T11:31:00Z</cp:lastPrinted>
  <dcterms:modified xsi:type="dcterms:W3CDTF">2001-11-20T12:59:00Z</dcterms:modified>
  <cp:revision>2</cp:revision>
  <dc:subject/>
  <dc:title>Guidelines For External Communications Regarding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W/419661v3</vt:lpwstr>
  </property>
</Properties>
</file>