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>
          <w:sz w:val="22"/>
        </w:rPr>
      </w:pPr>
      <w:r>
        <w:rPr>
          <w:sz w:val="22"/>
        </w:rPr>
        <w:t>As of August 30, 2001</w:t>
      </w:r>
    </w:p>
    <w:p>
      <w:pPr>
        <w:pStyle w:val="Heading3"/>
        <w:ind w:hanging="0" w:start="0"/>
        <w:rPr/>
      </w:pPr>
      <w:r>
        <w:rPr/>
        <w:t>Draft; Subject to Change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Western Refund Cases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Fact Sheet</w:t>
      </w:r>
    </w:p>
    <w:p>
      <w:pPr>
        <w:pStyle w:val="Normal"/>
        <w:spacing w:lineRule="auto" w:line="192"/>
        <w:rPr>
          <w:sz w:val="22"/>
        </w:rPr>
      </w:pPr>
      <w:r>
        <w:rPr>
          <w:sz w:val="22"/>
        </w:rPr>
        <w:t xml:space="preserve">Events in the past are </w:t>
      </w:r>
      <w:r>
        <w:rPr>
          <w:sz w:val="22"/>
          <w:highlight w:val="lightGray"/>
        </w:rPr>
        <w:t>shaded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2520"/>
        <w:gridCol w:w="4248"/>
      </w:tblGrid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192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PNW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California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Judge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Carmen Cintron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Bruce Birchman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Refund Period (subject to dispute)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December 25, 2000 through June 20, 2001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 xml:space="preserve">October 2, 2000 through June 20, 2001 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Proponent Filings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>August __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lineRule="auto" w:line="192"/>
              <w:rPr>
                <w:sz w:val="22"/>
              </w:rPr>
            </w:pPr>
            <w:r>
              <w:rPr>
                <w:sz w:val="22"/>
                <w:highlight w:val="lightGray"/>
              </w:rPr>
              <w:t>August 9, 13, 15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192"/>
              <w:rPr>
                <w:sz w:val="22"/>
              </w:rPr>
            </w:pPr>
            <w:r>
              <w:rPr>
                <w:sz w:val="22"/>
              </w:rPr>
              <w:t>September 7: “final” ISO data due [note PX is saying that its calculation of revised MCPs and resulting refunds will be delayed]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Data filings on sales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>August 16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192"/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Responsive Testimony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>August 27</w:t>
            </w:r>
            <w:r>
              <w:rPr>
                <w:rStyle w:val="FootnoteCharacters"/>
                <w:rStyle w:val="FootnoteReference"/>
                <w:sz w:val="22"/>
                <w:highlight w:val="lightGray"/>
              </w:rPr>
              <w:footnoteReference w:id="2"/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192"/>
              <w:rPr>
                <w:sz w:val="22"/>
              </w:rPr>
            </w:pPr>
            <w:r>
              <w:rPr>
                <w:sz w:val="22"/>
              </w:rPr>
              <w:t>September 14: testimony on MCP or mitigated price and the resulting refunds due from suppliers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192"/>
              <w:rPr>
                <w:sz w:val="22"/>
              </w:rPr>
            </w:pPr>
            <w:r>
              <w:rPr>
                <w:sz w:val="22"/>
              </w:rPr>
              <w:t xml:space="preserve">September 28: supplier receivable claims; i.e., testimony on amounts owed by CAISO, IOUs, [PX], and State of CA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192"/>
              <w:rPr>
                <w:sz w:val="22"/>
              </w:rPr>
            </w:pPr>
            <w:r>
              <w:rPr>
                <w:sz w:val="22"/>
              </w:rPr>
              <w:t>October 5: rebuttal on all issues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192"/>
              <w:rPr>
                <w:sz w:val="22"/>
              </w:rPr>
            </w:pPr>
            <w:r>
              <w:rPr>
                <w:sz w:val="22"/>
              </w:rPr>
              <w:t>October 9: Joint stipulation of issues, joint exhibits (including jointly sponsored witnesses), other procedural items;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Prehearing Conference(s)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192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lineRule="auto" w:line="192"/>
              <w:rPr>
                <w:sz w:val="22"/>
              </w:rPr>
            </w:pPr>
            <w:r>
              <w:rPr>
                <w:sz w:val="22"/>
                <w:highlight w:val="lightGray"/>
              </w:rPr>
              <w:t>August 13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192"/>
              <w:rPr>
                <w:sz w:val="22"/>
              </w:rPr>
            </w:pPr>
            <w:r>
              <w:rPr>
                <w:sz w:val="22"/>
              </w:rPr>
              <w:t>September 5: hear potential for delays by PX, groupings issues, and the protective order.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Hearings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September 4-7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October 10-16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Briefing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Mid September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spacing w:lineRule="auto" w:line="192"/>
              <w:rPr>
                <w:sz w:val="22"/>
              </w:rPr>
            </w:pPr>
            <w:r>
              <w:rPr>
                <w:sz w:val="22"/>
              </w:rPr>
              <w:t>October 19: initial briefs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192"/>
              <w:rPr>
                <w:sz w:val="22"/>
              </w:rPr>
            </w:pPr>
            <w:r>
              <w:rPr>
                <w:sz w:val="22"/>
              </w:rPr>
              <w:t>October 22: reply briefs</w:t>
            </w:r>
          </w:p>
        </w:tc>
      </w:tr>
      <w:tr>
        <w:trPr>
          <w:trHeight w:val="1241" w:hRule="atLeast"/>
        </w:trPr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Assigned ALJ to submit findings and recommendations to FERC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September 17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November 5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footnotePr>
        <w:numFmt w:val="decimal"/>
      </w:footnote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rPr/>
      </w:pPr>
      <w:r>
        <w:rPr>
          <w:rStyle w:val="FootnoteCharacters"/>
        </w:rPr>
        <w:footnoteRef/>
      </w:r>
      <w:r>
        <w:rPr>
          <w:sz w:val="20"/>
        </w:rPr>
        <w:t xml:space="preserve"> </w:t>
      </w:r>
      <w:r>
        <w:rPr>
          <w:sz w:val="20"/>
        </w:rPr>
        <w:t xml:space="preserve">Filings by Enron  and/or the Transaction Finality Group (TFG) included: 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Statement of ripple claims sponsored by Sean Crandall and Kim Theriot  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Expert testimony on behalf of Enron by </w:t>
      </w:r>
    </w:p>
    <w:p>
      <w:pPr>
        <w:pStyle w:val="Normal"/>
        <w:numPr>
          <w:ilvl w:val="1"/>
          <w:numId w:val="2"/>
        </w:numPr>
        <w:rPr>
          <w:sz w:val="20"/>
        </w:rPr>
      </w:pPr>
      <w:r>
        <w:rPr>
          <w:sz w:val="20"/>
        </w:rPr>
        <w:t xml:space="preserve">Seabron Adamson (definition of spot market and specific rebuttal on the claims of Seattle, Tacoma, and EWEB), </w:t>
      </w:r>
    </w:p>
    <w:p>
      <w:pPr>
        <w:pStyle w:val="Normal"/>
        <w:numPr>
          <w:ilvl w:val="1"/>
          <w:numId w:val="2"/>
        </w:numPr>
        <w:rPr>
          <w:sz w:val="20"/>
        </w:rPr>
      </w:pPr>
      <w:r>
        <w:rPr>
          <w:sz w:val="20"/>
        </w:rPr>
        <w:t>Sam Van Vactor (on differences between the PNW “spot” market and spot markets in California and the awareness of impending scarcity as of early 2000)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Other expert testimony sponsored by members of the Transaction Finality Group (TFG) include:</w:t>
      </w:r>
    </w:p>
    <w:p>
      <w:pPr>
        <w:pStyle w:val="Normal"/>
        <w:numPr>
          <w:ilvl w:val="1"/>
          <w:numId w:val="2"/>
        </w:numPr>
        <w:rPr>
          <w:sz w:val="20"/>
        </w:rPr>
      </w:pPr>
      <w:r>
        <w:rPr>
          <w:sz w:val="20"/>
        </w:rPr>
        <w:t>Scott Jones (PPL Montana and PPL Energy Plus)</w:t>
      </w:r>
    </w:p>
    <w:p>
      <w:pPr>
        <w:pStyle w:val="Normal"/>
        <w:numPr>
          <w:ilvl w:val="1"/>
          <w:numId w:val="2"/>
        </w:numPr>
        <w:rPr>
          <w:sz w:val="20"/>
        </w:rPr>
      </w:pPr>
      <w:r>
        <w:rPr>
          <w:sz w:val="20"/>
        </w:rPr>
        <w:t>Richard Tabors (PowerEx)</w:t>
      </w:r>
    </w:p>
    <w:p>
      <w:pPr>
        <w:pStyle w:val="Normal"/>
        <w:numPr>
          <w:ilvl w:val="1"/>
          <w:numId w:val="2"/>
        </w:numPr>
        <w:rPr/>
      </w:pPr>
      <w:r>
        <w:rPr>
          <w:sz w:val="20"/>
        </w:rPr>
        <w:t>Chris Stelzer (Avista)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2001-08-30T22:37:00Z</dcterms:created>
  <dc:creator>acomnes</dc:creator>
  <dc:description/>
  <dc:language>en-CA</dc:language>
  <cp:lastModifiedBy>jsteffe</cp:lastModifiedBy>
  <cp:lastPrinted>2001-08-30T09:41:00Z</cp:lastPrinted>
  <dcterms:modified xsi:type="dcterms:W3CDTF">2001-08-30T22:37:00Z</dcterms:modified>
  <cp:revision>2</cp:revision>
  <dc:subject/>
  <dc:title>Current Schedules</dc:title>
</cp:coreProperties>
</file>