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DIRECT TESTIMONY OF WILLIAM L. REED</w:t>
      </w:r>
    </w:p>
    <w:p>
      <w:pPr>
        <w:pStyle w:val="Normal"/>
        <w:rPr>
          <w:b/>
        </w:rPr>
      </w:pPr>
      <w:r>
        <w:rPr>
          <w:b/>
        </w:rPr>
      </w:r>
    </w:p>
    <w:p>
      <w:pPr>
        <w:pStyle w:val="BodyTextIndent2"/>
        <w:rPr/>
      </w:pPr>
      <w:r>
        <w:rPr/>
        <w:t xml:space="preserve">I am Vice President and Chief Regulatory Officer of Sempra Energy (Sempra), the parent corporation of San Diego Gas &amp; Electric Company (SDG&amp;E).  I have held this position since June 1998.  I am the Sempra officer responsible for regulatory policy for SDG&amp;E.  From August 1997 to May 1998 I was Vice President of Regulatory and Governmental Affairs for Enova Corporation (SDG&amp;E’s former parent company) and SDG&amp;E.  My responsibilities in that position included regulatory policy, compliance and management as well as electric industry restructuring.  From January 1996 to July 1997 I held the position of Vice President of Regulatory Affairs for SDG&amp;E.  My responsibilities included regulatory policy, compliance and management and industry restructuring.  </w:t>
      </w:r>
    </w:p>
    <w:p>
      <w:pPr>
        <w:pStyle w:val="Normal"/>
        <w:spacing w:lineRule="auto" w:line="480"/>
        <w:ind w:firstLine="720" w:end="0"/>
        <w:rPr/>
      </w:pPr>
      <w:r>
        <w:rPr/>
        <w:t xml:space="preserve">The purpose of my testimony is to describe SDG&amp;E’s current and forecast electric procurement undercollection, to explain why SDG&amp;E is entitled to full recovery of its reasonably incurred procurement costs, to summarize the efforts that SDG&amp;E has taken to reduce the high wholesale prices to which we have been subjected, and to explain the policy considerations underlying SDG&amp;E’s application.  </w:t>
      </w:r>
    </w:p>
    <w:p>
      <w:pPr>
        <w:pStyle w:val="Normal"/>
        <w:spacing w:lineRule="auto" w:line="480"/>
        <w:rPr/>
      </w:pPr>
      <w:r>
        <w:rPr>
          <w:b/>
        </w:rPr>
        <w:t>A.</w:t>
        <w:tab/>
      </w:r>
      <w:r>
        <w:rPr>
          <w:b/>
          <w:u w:val="single"/>
        </w:rPr>
        <w:t>The Growing Undercollection</w:t>
      </w:r>
    </w:p>
    <w:p>
      <w:pPr>
        <w:pStyle w:val="Normal"/>
        <w:spacing w:lineRule="auto" w:line="480"/>
        <w:ind w:firstLine="720" w:end="0"/>
        <w:rPr/>
      </w:pPr>
      <w:r>
        <w:rPr/>
        <w:t xml:space="preserve">Despite the end of summer, wholesale electric prices remain out of control.  At about $225 per MWh, December’s average PX price was the highest of 2000 – far surpassing August’s then-record average $170 per MWh.  </w:t>
      </w:r>
    </w:p>
    <w:p>
      <w:pPr>
        <w:pStyle w:val="Normal"/>
        <w:spacing w:lineRule="auto" w:line="480"/>
        <w:ind w:firstLine="720" w:end="0"/>
        <w:rPr/>
      </w:pPr>
      <w:r>
        <w:rPr/>
        <w:t xml:space="preserve">SDG&amp;E’s customers are shielded from paying these high prices on a current basis because of the AB 265 rate ceiling.  AB 265 became law in early September 2000.  Finding that SDG&amp;E’s customers were the only ones in the State “subject to severe economic hardship because of unprecedented bill volatility and extraordinarily high rate levels,” the Legislature enacted a 6.5 cents/kWh ceiling on the electricity rate component for specified SDG&amp;E customer classes, primarily residential, small commercial, and lighting customers, retroactive to June 1, 2000.  In so doing, the Legislature declared its intent “to protect against a simple deferral of payment by future customers.”  AB 265, § 1(b).  </w:t>
      </w:r>
    </w:p>
    <w:p>
      <w:pPr>
        <w:pStyle w:val="Normal"/>
        <w:spacing w:lineRule="auto" w:line="480"/>
        <w:ind w:firstLine="720" w:end="0"/>
        <w:rPr/>
      </w:pPr>
      <w:r>
        <w:rPr/>
        <w:t>In enacting the rate ceiling, AB 265 expressly recognized SDG&amp;E’s legal right to recover its prudently incurred procurement costs.  Nearly two years ago, the Commission found that SDG&amp;E had collected its uneconomic transition costs and that SDG&amp;E’s rate freeze ended as of June 30, 1999 (D.99-05-051).  After a transitional summer in 1999, SDG&amp;E’s customers began to pay the actual wholesale cost of energy along with their distribution and transmission rates.  Until May 2000, SDG&amp;E’s customers saw the promised benefits of deregulation, as their total electric rate was lower than the prior frozen rate.  Then, in late May, the wholesale market started to go out of control, with prices rising to outrageously high levels.</w:t>
      </w:r>
    </w:p>
    <w:p>
      <w:pPr>
        <w:pStyle w:val="Normal"/>
        <w:spacing w:lineRule="auto" w:line="480"/>
        <w:ind w:firstLine="720" w:end="0"/>
        <w:rPr/>
      </w:pPr>
      <w:r>
        <w:rPr/>
        <w:t>Despite the high prices, SDG&amp;E was “stuck in the middle” between power wholesalers and SDG&amp;E’s customers.  SDG&amp;E continued to be under a duty to serve the energy demands of its retail customers.  This meant procuring energy from the wholesale market.  In buying from the wholesale market, SDG&amp;E had no choice – it had to pay the market-clearing price, a price established in a FERC-approved market pursuant to market-based tariffs filed with and accepted by FERC.  Although FERC has recently found (in a proceeding initiated by SDG&amp;E) that California’s broken wholesale market has produced and may continue to produce rates that are “excessive relative to the benchmarks of producer costs or competitive prices,” FERC has not yet ordered refunds.</w:t>
      </w:r>
      <w:r>
        <w:rPr>
          <w:rStyle w:val="FootnoteCharacters"/>
          <w:rStyle w:val="FootnoteReference"/>
        </w:rPr>
        <w:footnoteReference w:id="2"/>
      </w:r>
      <w:r>
        <w:rPr/>
        <w:t xml:space="preserve">  93 FERC ¶ 61,294 (December 15, 2000).  </w:t>
      </w:r>
      <w:r>
        <w:rPr>
          <w:i/>
        </w:rPr>
        <w:t>See also,</w:t>
      </w:r>
      <w:r>
        <w:rPr/>
        <w:t xml:space="preserve"> 93 FERC ¶ 61,121 (November 1, 2000), </w:t>
      </w:r>
      <w:r>
        <w:rPr>
          <w:i/>
        </w:rPr>
        <w:t>reh’g pending</w:t>
      </w:r>
      <w:r>
        <w:rPr/>
        <w:t xml:space="preserve">.  Unless and until FERC does, SDG&amp;E must pay the wholesale market rates.  </w:t>
      </w:r>
    </w:p>
    <w:p>
      <w:pPr>
        <w:pStyle w:val="Normal"/>
        <w:spacing w:lineRule="auto" w:line="480"/>
        <w:ind w:firstLine="720" w:end="0"/>
        <w:rPr/>
      </w:pPr>
      <w:r>
        <w:rPr/>
        <w:t>As AB 265 recognized, federal law protects a utility like SDG&amp;E that buys wholesale power at FERC-authorized rates against having any part of the rates it must pay “trapped” between the wholesale seller and the retail buyer.  By federal law, recently reaffirmed on January 8, 2001 by U.S. District Judge Lew in the Central District of California, SDG&amp;E is entitled to recover the costs it has necessarily incurred to serve its retail customers.</w:t>
      </w:r>
    </w:p>
    <w:p>
      <w:pPr>
        <w:pStyle w:val="Normal"/>
        <w:spacing w:lineRule="auto" w:line="480"/>
        <w:ind w:firstLine="720" w:end="0"/>
        <w:rPr/>
      </w:pPr>
      <w:r>
        <w:rPr/>
        <w:t xml:space="preserve">Not only is this result consistent with that long-settled legal principle called the filed tariff doctrine, it comports with fundamental fairness.  The wholesale market is broken.  It is producing outrageous prices.  SDG&amp;E, however, is not buying power for its own needs, where it could decide whether or not to pay the high prices.  Rather, SDG&amp;E is buying power under a Commission-imposed duty to serve the demands of its retail customers.  SDG&amp;E cannot choose on its customers’ behalf </w:t>
      </w:r>
      <w:r>
        <w:rPr>
          <w:i/>
        </w:rPr>
        <w:t>not</w:t>
      </w:r>
      <w:r>
        <w:rPr/>
        <w:t xml:space="preserve"> to buy power.  When it buys power, SDG&amp;E must pay the wholesale market price as allowed by FERC.  </w:t>
      </w:r>
    </w:p>
    <w:p>
      <w:pPr>
        <w:pStyle w:val="Normal"/>
        <w:spacing w:lineRule="auto" w:line="480"/>
        <w:ind w:firstLine="720" w:end="0"/>
        <w:rPr/>
      </w:pPr>
      <w:r>
        <w:rPr/>
        <w:t xml:space="preserve">The Commission issued D.00-09-040 on September 7, 2000, one day after Governor Davis signed AB 265.  In D.00-09-040, the Commission implemented AB 265 by capping the electric rate component of the covered customer classes at 6.5 cents/kWh, and by authorizing SDG&amp;E to establish an account to record the difference between the statutory cap and actual rate.  That account is the Energy Rate Ceiling Revenue Shortfall </w:t>
      </w:r>
      <w:r>
        <w:br w:type="page"/>
      </w:r>
    </w:p>
    <w:p>
      <w:pPr>
        <w:pStyle w:val="Normal"/>
        <w:spacing w:lineRule="auto" w:line="480"/>
        <w:rPr/>
      </w:pPr>
      <w:r>
        <w:rPr/>
        <w:t>Account (ERCRSA), a sub-account of the Transition Cost Balancing Account (TCBA).</w:t>
      </w:r>
    </w:p>
    <w:p>
      <w:pPr>
        <w:pStyle w:val="Normal"/>
        <w:spacing w:lineRule="auto" w:line="480"/>
        <w:ind w:firstLine="720" w:end="0"/>
        <w:rPr/>
      </w:pPr>
      <w:r>
        <w:rPr/>
        <w:t>Despite the continuing efforts of SDG&amp;E through regulatory filings and other means to reduce wholesale electricity prices, the undercollection is growing far beyond anyone’s expectation at the time AB 265 was enacted.  As of December 31, 2000, SDG&amp;E’s total undercollection was $447.3 million (the undercollection of $139.8 million in the Purchased Energy Commodity Account (PECA) applicable to customers subject to the rate ceiling plus the undercollection in the ERCRSA of $307.5 million</w:t>
      </w:r>
      <w:r>
        <w:rPr>
          <w:rStyle w:val="FootnoteCharacters"/>
          <w:rStyle w:val="FootnoteReference"/>
        </w:rPr>
        <w:footnoteReference w:id="3"/>
      </w:r>
      <w:r>
        <w:rPr/>
        <w:t>).  Our customers face a growing mountain of debt.  The following table sets forth our current forecast (based on SDG&amp;E’s current price forecast, purchasing policies and typical customer demand) of the accumulated net undercollection over the next three years:</w:t>
      </w:r>
    </w:p>
    <w:tbl>
      <w:tblPr>
        <w:tblW w:w="6384" w:type="dxa"/>
        <w:jc w:val="start"/>
        <w:tblInd w:w="441" w:type="dxa"/>
        <w:tblLayout w:type="fixed"/>
        <w:tblCellMar>
          <w:top w:w="0" w:type="dxa"/>
          <w:start w:w="108" w:type="dxa"/>
          <w:bottom w:w="0" w:type="dxa"/>
          <w:end w:w="108" w:type="dxa"/>
        </w:tblCellMar>
      </w:tblPr>
      <w:tblGrid>
        <w:gridCol w:w="3192"/>
        <w:gridCol w:w="3192"/>
      </w:tblGrid>
      <w:tr>
        <w:trPr/>
        <w:tc>
          <w:tcPr>
            <w:tcW w:w="3192" w:type="dxa"/>
            <w:tcBorders/>
          </w:tcPr>
          <w:p>
            <w:pPr>
              <w:pStyle w:val="Normal"/>
              <w:widowControl w:val="false"/>
              <w:snapToGrid w:val="false"/>
              <w:jc w:val="center"/>
              <w:rPr>
                <w:b/>
                <w:sz w:val="22"/>
              </w:rPr>
            </w:pPr>
            <w:r>
              <w:rPr>
                <w:b/>
                <w:sz w:val="22"/>
              </w:rPr>
            </w:r>
          </w:p>
          <w:p>
            <w:pPr>
              <w:pStyle w:val="Normal"/>
              <w:widowControl w:val="false"/>
              <w:jc w:val="center"/>
              <w:rPr>
                <w:b/>
                <w:sz w:val="22"/>
                <w:u w:val="single"/>
              </w:rPr>
            </w:pPr>
            <w:r>
              <w:rPr>
                <w:b/>
                <w:sz w:val="22"/>
                <w:u w:val="single"/>
              </w:rPr>
              <w:t>As Of</w:t>
            </w:r>
          </w:p>
        </w:tc>
        <w:tc>
          <w:tcPr>
            <w:tcW w:w="3192" w:type="dxa"/>
            <w:tcBorders/>
          </w:tcPr>
          <w:p>
            <w:pPr>
              <w:pStyle w:val="Normal"/>
              <w:widowControl w:val="false"/>
              <w:jc w:val="center"/>
              <w:rPr>
                <w:b/>
                <w:sz w:val="22"/>
                <w:u w:val="single"/>
              </w:rPr>
            </w:pPr>
            <w:r>
              <w:rPr>
                <w:b/>
                <w:sz w:val="22"/>
                <w:u w:val="single"/>
              </w:rPr>
              <w:t>Forecast Net Undercollection Excluding PECA</w:t>
            </w:r>
          </w:p>
        </w:tc>
      </w:tr>
      <w:tr>
        <w:trPr/>
        <w:tc>
          <w:tcPr>
            <w:tcW w:w="3192" w:type="dxa"/>
            <w:tcBorders/>
          </w:tcPr>
          <w:p>
            <w:pPr>
              <w:pStyle w:val="Normal"/>
              <w:keepNext w:val="true"/>
              <w:jc w:val="center"/>
              <w:rPr/>
            </w:pPr>
            <w:r>
              <w:rPr/>
              <w:t>December 31, 2001</w:t>
            </w:r>
          </w:p>
        </w:tc>
        <w:tc>
          <w:tcPr>
            <w:tcW w:w="3192" w:type="dxa"/>
            <w:tcBorders/>
          </w:tcPr>
          <w:p>
            <w:pPr>
              <w:pStyle w:val="Normal"/>
              <w:keepNext w:val="true"/>
              <w:ind w:end="288"/>
              <w:jc w:val="center"/>
              <w:rPr/>
            </w:pPr>
            <w:r>
              <w:rPr/>
              <w:t>$1,070 billion</w:t>
            </w:r>
          </w:p>
        </w:tc>
      </w:tr>
      <w:tr>
        <w:trPr/>
        <w:tc>
          <w:tcPr>
            <w:tcW w:w="3192" w:type="dxa"/>
            <w:tcBorders/>
          </w:tcPr>
          <w:p>
            <w:pPr>
              <w:pStyle w:val="Normal"/>
              <w:keepNext w:val="true"/>
              <w:jc w:val="center"/>
              <w:rPr/>
            </w:pPr>
            <w:r>
              <w:rPr/>
              <w:t>December 31, 2002</w:t>
            </w:r>
          </w:p>
        </w:tc>
        <w:tc>
          <w:tcPr>
            <w:tcW w:w="3192" w:type="dxa"/>
            <w:tcBorders/>
          </w:tcPr>
          <w:p>
            <w:pPr>
              <w:pStyle w:val="Normal"/>
              <w:keepNext w:val="true"/>
              <w:ind w:end="288"/>
              <w:jc w:val="center"/>
              <w:rPr/>
            </w:pPr>
            <w:r>
              <w:rPr/>
              <w:t>$1.332 billion</w:t>
            </w:r>
          </w:p>
        </w:tc>
      </w:tr>
      <w:tr>
        <w:trPr/>
        <w:tc>
          <w:tcPr>
            <w:tcW w:w="3192" w:type="dxa"/>
            <w:tcBorders/>
          </w:tcPr>
          <w:p>
            <w:pPr>
              <w:pStyle w:val="Normal"/>
              <w:keepNext w:val="true"/>
              <w:jc w:val="center"/>
              <w:rPr/>
            </w:pPr>
            <w:r>
              <w:rPr/>
              <w:t>December 31, 2003</w:t>
            </w:r>
            <w:r>
              <w:rPr>
                <w:rStyle w:val="FootnoteCharacters"/>
                <w:rStyle w:val="FootnoteReference"/>
              </w:rPr>
              <w:footnoteReference w:id="4"/>
            </w:r>
          </w:p>
        </w:tc>
        <w:tc>
          <w:tcPr>
            <w:tcW w:w="3192" w:type="dxa"/>
            <w:tcBorders/>
          </w:tcPr>
          <w:p>
            <w:pPr>
              <w:pStyle w:val="Normal"/>
              <w:keepNext w:val="true"/>
              <w:ind w:end="288"/>
              <w:jc w:val="center"/>
              <w:rPr/>
            </w:pPr>
            <w:r>
              <w:rPr/>
              <w:t>$1.448 billion</w:t>
            </w:r>
          </w:p>
        </w:tc>
      </w:tr>
    </w:tbl>
    <w:p>
      <w:pPr>
        <w:pStyle w:val="Normal"/>
        <w:spacing w:lineRule="auto" w:line="480"/>
        <w:ind w:start="360" w:end="0"/>
        <w:rPr/>
      </w:pPr>
      <w:r>
        <w:rPr/>
      </w:r>
    </w:p>
    <w:p>
      <w:pPr>
        <w:pStyle w:val="Normal"/>
        <w:spacing w:lineRule="auto" w:line="480"/>
        <w:ind w:firstLine="720" w:end="0"/>
        <w:rPr/>
      </w:pPr>
      <w:r>
        <w:rPr/>
        <w:t>The current forecast net undercollection at the end of the rate ceiling is about double that in late October 2000 when SDG&amp;E filed A.00-10-045 (October 24, 2000).</w:t>
      </w:r>
      <w:r>
        <w:rPr>
          <w:b/>
        </w:rPr>
        <w:t xml:space="preserve">  </w:t>
      </w:r>
      <w:r>
        <w:rPr/>
        <w:t>A $1.45 billion undercollection would translate into about an $800 debt for the typical residential customer and about a $2,700 debt for the typical small commercial customer.</w:t>
      </w:r>
      <w:r>
        <w:rPr>
          <w:rStyle w:val="FootnoteCharacters"/>
          <w:rStyle w:val="FootnoteReference"/>
        </w:rPr>
        <w:footnoteReference w:id="5"/>
      </w:r>
      <w:r>
        <w:rPr/>
        <w:t xml:space="preserve">  Amortized over two years, this debt would result in an electric rate surcharge of about </w:t>
      </w:r>
      <w:r>
        <w:br w:type="page"/>
      </w:r>
    </w:p>
    <w:p>
      <w:pPr>
        <w:pStyle w:val="Normal"/>
        <w:spacing w:lineRule="auto" w:line="480"/>
        <w:rPr/>
      </w:pPr>
      <w:r>
        <w:rPr/>
        <w:t xml:space="preserve">$31 per month for the average residential customer and $112 per month for the average small commercial customer – increasing their current average total electric bills by more than 40 percent.  </w:t>
      </w:r>
    </w:p>
    <w:p>
      <w:pPr>
        <w:pStyle w:val="FootnoteText"/>
        <w:spacing w:lineRule="auto" w:line="480"/>
        <w:ind w:firstLine="720" w:end="0"/>
        <w:rPr/>
      </w:pPr>
      <w:r>
        <w:rPr>
          <w:sz w:val="24"/>
        </w:rPr>
        <w:t xml:space="preserve">The unchecked growth of the ERCRSA balance, together with the dire financial problems currently experienced by Southern California Edison Company (“Edison”) and Pacific Gas &amp; Electric company (“PG&amp;E”) and the statewide energy emergency declared by Governor Davis, have combined to jeopardize the financial stability of SDG&amp;E in the eyes of generators.  Some generators now refuse to sell power to SDG&amp;E except for cash.  Others are requiring compliance with onerous, and expensive, credit provisions.  In his testimony, Mr. McMonagle, Vice President and Treasurer of Sempra Energy, SDG&amp;E’s parent company, provides specific examples of these and other problems SDG&amp;E is experiencing with generators. </w:t>
      </w:r>
      <w:r>
        <w:rPr>
          <w:color w:val="000000"/>
          <w:sz w:val="24"/>
        </w:rPr>
        <w:t>These problems have occurred, and continue to occur, despite the fact that SDG&amp;E maintains an “A” credit rating.</w:t>
      </w:r>
      <w:r>
        <w:rPr>
          <w:color w:val="000000"/>
        </w:rPr>
        <w:t xml:space="preserve"> </w:t>
      </w:r>
    </w:p>
    <w:p>
      <w:pPr>
        <w:pStyle w:val="FootnoteText"/>
        <w:spacing w:lineRule="auto" w:line="480"/>
        <w:ind w:firstLine="720" w:end="0"/>
        <w:rPr/>
      </w:pPr>
      <w:r>
        <w:rPr>
          <w:sz w:val="24"/>
        </w:rPr>
        <w:t>As the undercollection in the ERCRSA continues to grow, SDG&amp;E’s need to access the financial markets is more urgent.  If SDG&amp;E is unable to borrow money, it will be unable to finance the growing undercollection.  SDG&amp;E’s ability to access additional funds to finance the undercollection and to sustain its energy procurement obligation is wholly dependent upon this Commission acting expeditiously on this Application to establish a definitive plan for managing and recovering the balancing account undercollection in a timely and non-disruptive manner.  As detailed in the testimony of Mr. McMonagle, the Commission’s adoption of a rate surcharge amortizing the undercollection by the end of 2005 is necessary to sustain SDG&amp;E’s ability to borrow to finance the ERCRSA undercollection and to enter into long term contracts.  If the growing undercollection is left unaddressed by the Commission, SDG&amp;E will lose its ability to continue to borrow money.  Without access to the capital markets, SDG&amp;E will run out of cash, and will no longer be able to procure electric supplies for all its customers.</w:t>
      </w:r>
    </w:p>
    <w:p>
      <w:pPr>
        <w:pStyle w:val="Normal"/>
        <w:widowControl w:val="false"/>
        <w:spacing w:lineRule="auto" w:line="480"/>
        <w:ind w:firstLine="720" w:end="0"/>
        <w:rPr/>
      </w:pPr>
      <w:r>
        <w:rPr/>
        <w:t>I</w:t>
      </w:r>
      <w:r>
        <w:rPr>
          <w:color w:val="000000"/>
        </w:rPr>
        <w:t xml:space="preserve">n light of its growing financial liquidity concerns, SDG&amp;E is taking aggressive action to conserve  cash.  By this effort SDG&amp;E intends to reduce its cash outlays by as much as $100 million over the course of a year.  Efforts underway include deferral of customer service enhancement and lower priority reliability improvement projects, deferral of information system projects, selling of non-essential company property, and instituting a hiring containment plan in which only essential positions (e.g., linemen, electricians, planners and selected engineering positions) will be filled. The focus of this cash conservation effort is to defer projects with the least amount of near term impact to SDG&amp;E’s customers, however, these measures will have to be reversed in the future if SDG&amp;E is to avoid reductions in the quality of service to customers. </w:t>
      </w:r>
    </w:p>
    <w:p>
      <w:pPr>
        <w:pStyle w:val="FootnoteText"/>
        <w:widowControl w:val="false"/>
        <w:spacing w:lineRule="auto" w:line="480"/>
        <w:ind w:firstLine="720" w:end="0"/>
        <w:jc w:val="both"/>
        <w:rPr>
          <w:color w:val="000000"/>
          <w:sz w:val="24"/>
        </w:rPr>
      </w:pPr>
      <w:r>
        <w:rPr>
          <w:color w:val="000000"/>
          <w:sz w:val="24"/>
        </w:rPr>
      </w:r>
    </w:p>
    <w:p>
      <w:pPr>
        <w:pStyle w:val="FootnoteText"/>
        <w:widowControl w:val="false"/>
        <w:spacing w:lineRule="auto" w:line="480"/>
        <w:rPr>
          <w:sz w:val="24"/>
        </w:rPr>
      </w:pPr>
      <w:r>
        <w:rPr>
          <w:b/>
          <w:sz w:val="24"/>
        </w:rPr>
        <w:t>B.</w:t>
        <w:tab/>
      </w:r>
      <w:r>
        <w:rPr>
          <w:b/>
          <w:sz w:val="24"/>
          <w:u w:val="single"/>
        </w:rPr>
        <w:t>SDG&amp;E’s Regulatory Efforts</w:t>
      </w:r>
    </w:p>
    <w:p>
      <w:pPr>
        <w:pStyle w:val="FootnoteText"/>
        <w:widowControl w:val="false"/>
        <w:spacing w:lineRule="auto" w:line="480"/>
        <w:ind w:firstLine="720" w:end="0"/>
        <w:rPr>
          <w:sz w:val="24"/>
        </w:rPr>
      </w:pPr>
      <w:r>
        <w:rPr>
          <w:sz w:val="24"/>
        </w:rPr>
        <w:t xml:space="preserve">SDG&amp;E has been aggressive in its efforts to persuade appropriate regulatory agencies to mitigate and remedy the extraordinarily high and volatile wholesale energy prices experienced in California since the Spring of 2000.  Attachment 1 to my testimony outlines the various regulatory actions SDG&amp;E had undertaken in the last several years to reduce the wholesale cost of energy.  In the following discussion I highlight some of those actions.  </w:t>
      </w:r>
    </w:p>
    <w:p>
      <w:pPr>
        <w:pStyle w:val="FootnoteText"/>
        <w:spacing w:lineRule="auto" w:line="480"/>
        <w:ind w:firstLine="720" w:end="0"/>
        <w:rPr/>
      </w:pPr>
      <w:r>
        <w:rPr>
          <w:sz w:val="24"/>
        </w:rPr>
        <w:t>Demonstrating its leadership among energy utilities in forcing the Federal Energy Regulatory Commission (FERC) to take action to mitigate the skyrocketing wholesale electric prices in California, on August 2, 2000, SDG&amp;E filed a complaint with FERC under section 206 of the Federal Power Act.  This complaint alleged that wholesale prices in California were no longer just and reasonable and requested FERC to institute a cap on the amount that could be charged by sellers into the Power Exchange (PX) and Independent System Operator (ISO) markets.</w:t>
      </w:r>
      <w:r>
        <w:rPr>
          <w:rStyle w:val="FootnoteCharacters"/>
          <w:rStyle w:val="FootnoteReference"/>
          <w:sz w:val="24"/>
        </w:rPr>
        <w:footnoteReference w:id="6"/>
      </w:r>
      <w:r>
        <w:rPr>
          <w:sz w:val="24"/>
        </w:rPr>
        <w:t xml:space="preserve">  Although FERC denied SDG&amp;E’s request for imposition of a bid cap, in response to SDG&amp;E’s allegations FERC opened a broad investigation of the causes of the high wholesale prices in the California markets.  During the course of this investigation, SDG&amp;E made several detailed proposals which, </w:t>
      </w:r>
      <w:r>
        <w:rPr>
          <w:i/>
          <w:sz w:val="24"/>
        </w:rPr>
        <w:t>inter alia</w:t>
      </w:r>
      <w:r>
        <w:rPr>
          <w:sz w:val="24"/>
        </w:rPr>
        <w:t>, described how the ISO/PX markets should be re-designed to work better and offered methods for the FERC to restrain and control wholesale energy prices.  On December 15, 2000, the FERC issued an order in this docket directing certain remedies intended to improve the performance of the California markets.  Although finding the markets to be “seriously flawed” and not sufficiently competitive to keep prices at reasonable levels, it rejected calls by SDG&amp;E and others to return to cost-based rates until adequate reforms could be implemented to create workable competition.  On January 6, 2001, SDG&amp;E applied to FERC for rehearing of this decision.</w:t>
      </w:r>
    </w:p>
    <w:p>
      <w:pPr>
        <w:pStyle w:val="FootnoteText"/>
        <w:spacing w:lineRule="auto" w:line="480"/>
        <w:ind w:firstLine="720" w:end="0"/>
        <w:rPr/>
      </w:pPr>
      <w:r>
        <w:rPr>
          <w:sz w:val="24"/>
        </w:rPr>
        <w:t xml:space="preserve">On January 2, 2001, SDG&amp;E filed in the U.S. Court of Appeals for the District of Columbia Circuit a motion for leave to intervene in the Emergency Motion and Petition for Writ of Mandamus filed by Southern California Edison Company challenging FERC’s December 15, 2000 order.  This motion requested the Court of Appeals to direct FERC to determine and fix just and reasonable cost-based rates for sales in the markets operated by the ISO and the PX.   Unfortunately, the court denied the motion on </w:t>
        <w:br/>
        <w:t>January 5</w:t>
      </w:r>
      <w:r>
        <w:rPr>
          <w:sz w:val="24"/>
          <w:vertAlign w:val="superscript"/>
        </w:rPr>
        <w:t>th</w:t>
      </w:r>
      <w:r>
        <w:rPr>
          <w:sz w:val="24"/>
        </w:rPr>
        <w:t>.</w:t>
      </w:r>
    </w:p>
    <w:p>
      <w:pPr>
        <w:pStyle w:val="FootnoteText"/>
        <w:spacing w:lineRule="auto" w:line="480"/>
        <w:ind w:firstLine="720" w:end="0"/>
        <w:rPr/>
      </w:pPr>
      <w:r>
        <w:rPr>
          <w:sz w:val="24"/>
        </w:rPr>
        <w:t>Recognizing the relationship between California natural gas and wholesale electric prices, SDG&amp;E also sought FERC action to cap rates for transportation of natural gas to California markets.  On December 7, 2000, SDG&amp;E filed at FERC a Request for Emergency Relief (“Request”)</w:t>
      </w:r>
      <w:r>
        <w:rPr>
          <w:rStyle w:val="FootnoteCharacters"/>
          <w:rStyle w:val="FootnoteReference"/>
          <w:sz w:val="24"/>
        </w:rPr>
        <w:footnoteReference w:id="7"/>
      </w:r>
      <w:r>
        <w:rPr>
          <w:sz w:val="24"/>
        </w:rPr>
        <w:t xml:space="preserve"> to avoid substantial and potentially irreparable harm to gas and electric consumers in California.  At that time, the market for interstate pipeline capacity in California was showing significant distortions.  The California-Arizona border spot price for natural gas commodity had risen from less than $6 per MMBtu in November 2000 to over $50 per MMBtu, yet spot gas prices in the Southwestern U.S. basins remained less than $10 per MMBtu.  It was clear that the natural gas transportation and sales market to California was not workably competitive as the real cost of interstate pipeline capacity serving California had risen to many multiples of the pipelines’ as-billed rates.  </w:t>
      </w:r>
    </w:p>
    <w:p>
      <w:pPr>
        <w:pStyle w:val="FootnoteText"/>
        <w:spacing w:lineRule="auto" w:line="480"/>
        <w:ind w:firstLine="720" w:end="0"/>
        <w:rPr/>
      </w:pPr>
      <w:r>
        <w:rPr>
          <w:sz w:val="24"/>
        </w:rPr>
        <w:t xml:space="preserve">In its Request, SDG&amp;E petitioned FERC to order (i) that price caps for short-term releases of capacity for service to the California border and to points of interconnection between interstate pipelines and California local distribution companies be reimposed effective immediately until March 31, 2001, and (ii) that sellers be required to state separately the transportation and commodity components of the bundled rate for bundled sales at these points so that the cap can be enforced on these transactions.  This requested relief was intended to improve the electric market in two ways: (1) it would likely increase the volume of electric supplies available in the wholesale market (at prices over $20 per MMBtu it can be more profitable to sell natural gas than to generate electricity); and (2) it would also reduce the input fuel price for generators (with current natural gas prices in California, the concept of a “soft” cap applied by FERC to wholesale markets is meaningless).  To date, FERC has not acted on the Request, although it has issued discovery requests to numerous intervenors.  In the meantime, the California-Arizona border spot price for gas has moderated somewhat, probably at least partially as a result of these regulatory efforts. </w:t>
      </w:r>
    </w:p>
    <w:p>
      <w:pPr>
        <w:pStyle w:val="FootnoteText"/>
        <w:spacing w:lineRule="auto" w:line="480"/>
        <w:ind w:firstLine="720" w:end="0"/>
        <w:rPr/>
      </w:pPr>
      <w:r>
        <w:rPr>
          <w:sz w:val="24"/>
        </w:rPr>
        <w:t>SDG&amp;E has also been aggressive in its regulatory initiatives to provide immediate benefits to customers whenever it finds overcollections in regulatory balancing accounts.  For example, as early as July 14, 2000, SDG&amp;E filed Emergency Advice Letter 1237-E with the CPUC requesting authority to amortize a $100 million overcollection in the TCBA over an expedited two month period to provide customers with immediate relief from their pre-AB 265 high electric rates.  The CPUC granted that request.  SDG&amp;E has pending two requests that, if granted, will allow it to offset up to $50 million in the ERCRSA with overcollections in other regulatory balancing accounts.  SDG&amp;E filed Advice Letter 1262-E with the CPUC to transfer approximately $24 million in overcollections in the Tree Trimming and Rewards and Penalties Balancing Account.  In FERC Docket No. ER01-322-000, SDG&amp;E requested permission to transfer an RMR refund of approximately $19 million to offset the undercollection in ERCRSA.  FERC granted this request, and SDG&amp;E has filed Advice Letter AL 1284-E with this Commission to implement this offset.</w:t>
      </w:r>
      <w:r>
        <w:br w:type="page"/>
      </w:r>
    </w:p>
    <w:p>
      <w:pPr>
        <w:pStyle w:val="FootnoteText"/>
        <w:spacing w:lineRule="auto" w:line="480"/>
        <w:rPr>
          <w:sz w:val="24"/>
        </w:rPr>
      </w:pPr>
      <w:r>
        <w:rPr>
          <w:b/>
          <w:sz w:val="24"/>
        </w:rPr>
        <w:t>C.</w:t>
        <w:tab/>
      </w:r>
      <w:r>
        <w:rPr>
          <w:b/>
          <w:sz w:val="24"/>
          <w:u w:val="single"/>
        </w:rPr>
        <w:t>The Policy Considerations For This Application</w:t>
      </w:r>
    </w:p>
    <w:p>
      <w:pPr>
        <w:pStyle w:val="FootnoteText"/>
        <w:spacing w:lineRule="auto" w:line="480"/>
        <w:ind w:firstLine="720" w:end="0"/>
        <w:rPr/>
      </w:pPr>
      <w:r>
        <w:rPr>
          <w:sz w:val="24"/>
        </w:rPr>
        <w:t xml:space="preserve">SDG&amp;E has withheld filing this request for a surcharge until now in the hope that the state Legislature might take forceful action in its special session to resolve the statewide energy crisis and provide a plan for the appropriate management and eventual recovery of  SDG&amp;E’s growing ERCRSA undercollection.  However, the action taken by the Legislature and the Governor to date has fallen far short of these objectives, and SDG&amp;E cannot sit by idly while its financial condition continues to deteriorate.  The Commission must act now to prevent SDG&amp;E’s crisis situation from totally disabling it from procuring adequate energy for its customers and to mitigate the growth of a huge future liability for customers.  The Commission has ample constitutional and statutory authority to manage the ERCRSA undercollection to protect customers.  The Commission must freeze the electric commodity component of SDG&amp;E’s rates and authorize SDG&amp;E to implement an electric rate surcharge, as described in the Application and the testimony of Michael Schneider, to manage the amount of the ERCRSA balance at a level that will allow SDG&amp;E to maintain a strong financial position and that will not cause rate shock to SDG&amp;E’s customers.  </w:t>
      </w:r>
    </w:p>
    <w:p>
      <w:pPr>
        <w:pStyle w:val="FootnoteText"/>
        <w:spacing w:lineRule="auto" w:line="480"/>
        <w:ind w:firstLine="720" w:end="0"/>
        <w:rPr/>
      </w:pPr>
      <w:r>
        <w:rPr>
          <w:sz w:val="24"/>
        </w:rPr>
        <w:t>SDG&amp;E’s bank lines of credit come up for renewal in June and July 2001.  However, SDG&amp;E cannot wait until then to provide generators and the financial markets with unequivacable assurance that its financial stability will not further deteriorate.  It is of paramount importance that the Commission implement the requested interim surcharge effective March 1, 2001.  This interim surcharge would be subject to refund should the Commission finally determine that it has been set at too high a level.  Having the surcharge in place, even on an interim basis, will have two salutary effects.  First, it will give the financial markets the confidence that this Commission will not let SDG&amp;E slip into further financial distress.  Second, the surcharge will start to manage the undercollection at an early time, allowing a relatively modest surcharge compared to what would be necessary to amortize the undercollection at the end of the rate ceiling.  Such a result is good for our customers.</w:t>
      </w:r>
      <w:r>
        <w:rPr>
          <w:rStyle w:val="FootnoteCharacters"/>
          <w:rStyle w:val="FootnoteReference"/>
          <w:sz w:val="24"/>
        </w:rPr>
        <w:footnoteReference w:id="8"/>
      </w:r>
    </w:p>
    <w:sectPr>
      <w:footerReference w:type="default" r:id="rId2"/>
      <w:footnotePr>
        <w:numFmt w:val="decimal"/>
      </w:footnotePr>
      <w:type w:val="nextPage"/>
      <w:pgSz w:w="12240" w:h="15840"/>
      <w:pgMar w:left="1800" w:right="1800" w:gutter="0" w:header="0" w:top="1440" w:footer="720" w:bottom="1440"/>
      <w:lnNumType w:countBy="1" w:restart="newPage" w:distance="28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WLR-</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spacing w:before="0" w:after="120"/>
        <w:rPr/>
      </w:pPr>
      <w:r>
        <w:rPr>
          <w:rStyle w:val="FootnoteCharacters"/>
        </w:rPr>
        <w:footnoteRef/>
      </w:r>
      <w:r>
        <w:rPr>
          <w:sz w:val="22"/>
        </w:rPr>
        <w:t xml:space="preserve"> </w:t>
      </w:r>
      <w:r>
        <w:rPr>
          <w:sz w:val="22"/>
        </w:rPr>
        <w:t>If, as SDG&amp;E urges, FERC eventually does order refunds, SDG&amp;E will promptly pass them</w:t>
      </w:r>
      <w:r>
        <w:rPr>
          <w:rFonts w:cs="Garamond" w:ascii="Garamond" w:hAnsi="Garamond"/>
          <w:sz w:val="22"/>
        </w:rPr>
        <w:t xml:space="preserve"> </w:t>
      </w:r>
      <w:r>
        <w:rPr>
          <w:sz w:val="22"/>
        </w:rPr>
        <w:t>through to its customers.</w:t>
      </w:r>
    </w:p>
  </w:footnote>
  <w:footnote w:id="3">
    <w:p>
      <w:pPr>
        <w:pStyle w:val="FootnoteText"/>
        <w:spacing w:before="0" w:after="120"/>
        <w:rPr/>
      </w:pPr>
      <w:r>
        <w:rPr>
          <w:rStyle w:val="FootnoteCharacters"/>
        </w:rPr>
        <w:footnoteRef/>
      </w:r>
      <w:r>
        <w:rPr>
          <w:sz w:val="22"/>
        </w:rPr>
        <w:t xml:space="preserve"> </w:t>
      </w:r>
      <w:r>
        <w:rPr>
          <w:sz w:val="22"/>
        </w:rPr>
        <w:t xml:space="preserve">This balance is the ERCRSA net of retained generation revenues and TCBA overcollections.  </w:t>
      </w:r>
    </w:p>
  </w:footnote>
  <w:footnote w:id="4">
    <w:p>
      <w:pPr>
        <w:pStyle w:val="FootnoteText"/>
        <w:spacing w:before="0" w:after="120"/>
        <w:rPr/>
      </w:pPr>
      <w:r>
        <w:rPr>
          <w:rStyle w:val="FootnoteCharacters"/>
        </w:rPr>
        <w:footnoteRef/>
      </w:r>
      <w:r>
        <w:rPr>
          <w:sz w:val="22"/>
        </w:rPr>
        <w:t xml:space="preserve"> </w:t>
      </w:r>
      <w:r>
        <w:rPr>
          <w:sz w:val="22"/>
        </w:rPr>
        <w:t>The December 31, 2003 balance is only relevant if the Commission chooses to exercise its discretion to extend the rate ceiling.  § 332.1(b).</w:t>
      </w:r>
    </w:p>
  </w:footnote>
  <w:footnote w:id="5">
    <w:p>
      <w:pPr>
        <w:pStyle w:val="FootnoteText"/>
        <w:spacing w:before="0" w:after="120"/>
        <w:rPr/>
      </w:pPr>
      <w:r>
        <w:rPr>
          <w:rStyle w:val="FootnoteCharacters"/>
        </w:rPr>
        <w:footnoteRef/>
      </w:r>
      <w:r>
        <w:rPr>
          <w:sz w:val="22"/>
        </w:rPr>
        <w:t xml:space="preserve"> </w:t>
      </w:r>
      <w:r>
        <w:rPr>
          <w:sz w:val="22"/>
        </w:rPr>
        <w:t>The typical small commercial customer is one who consumes 1,500 kWh per month.</w:t>
      </w:r>
    </w:p>
  </w:footnote>
  <w:footnote w:id="6">
    <w:p>
      <w:pPr>
        <w:pStyle w:val="FootnoteText"/>
        <w:spacing w:before="0" w:after="120"/>
        <w:rPr/>
      </w:pPr>
      <w:r>
        <w:rPr>
          <w:rStyle w:val="FootnoteCharacters"/>
        </w:rPr>
        <w:footnoteRef/>
      </w:r>
      <w:r>
        <w:rPr>
          <w:sz w:val="22"/>
        </w:rPr>
        <w:t xml:space="preserve"> </w:t>
      </w:r>
      <w:r>
        <w:rPr>
          <w:sz w:val="22"/>
        </w:rPr>
        <w:t xml:space="preserve">The complaint was docketed as </w:t>
      </w:r>
      <w:r>
        <w:rPr>
          <w:i/>
          <w:sz w:val="22"/>
        </w:rPr>
        <w:t xml:space="preserve">San Diego Gas &amp; Electric Co. v. Sellers of Energy and Ancillary Services Into Markets Operated by the California Independent System Operator and the California Power Exchange, </w:t>
      </w:r>
      <w:r>
        <w:rPr>
          <w:sz w:val="22"/>
        </w:rPr>
        <w:t xml:space="preserve">Docket No. EL00-95-000. </w:t>
      </w:r>
    </w:p>
  </w:footnote>
  <w:footnote w:id="7">
    <w:p>
      <w:pPr>
        <w:pStyle w:val="FootnoteText"/>
        <w:rPr/>
      </w:pPr>
      <w:r>
        <w:rPr>
          <w:rStyle w:val="FootnoteCharacters"/>
        </w:rPr>
        <w:footnoteRef/>
      </w:r>
      <w:r>
        <w:rPr>
          <w:sz w:val="22"/>
        </w:rPr>
        <w:t xml:space="preserve"> </w:t>
      </w:r>
      <w:r>
        <w:rPr>
          <w:sz w:val="22"/>
        </w:rPr>
        <w:t>Docket No. RP01-180-000.</w:t>
      </w:r>
    </w:p>
  </w:footnote>
  <w:footnote w:id="8">
    <w:p>
      <w:pPr>
        <w:pStyle w:val="FootnoteText"/>
        <w:spacing w:before="0" w:after="120"/>
        <w:rPr/>
      </w:pPr>
      <w:r>
        <w:rPr>
          <w:rStyle w:val="FootnoteCharacters"/>
        </w:rPr>
        <w:footnoteRef/>
      </w:r>
      <w:r>
        <w:rPr>
          <w:sz w:val="22"/>
        </w:rPr>
        <w:t xml:space="preserve"> </w:t>
      </w:r>
      <w:r>
        <w:rPr>
          <w:sz w:val="22"/>
        </w:rPr>
        <w:t>SDG&amp;E’s request, when granted, is also likely to benefit electric consumers and California in an important additional way – demand reductions.  Our experience over the past summer (when customers were exposed to actual market prices) is that demand reductions will result from the requested surcharge because it will provide customers with greater awareness of and immediate exposure to the actual cost of their electricity consumption.  To the extent that demand reductions result from adoption of this surcharge, it can be expected that downward pressure on wholesale prices and some environmental benefits will result, all to the benefit of California electric consumers.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usePrinterMetrics/>
    <w:compatSetting w:name="compatibilityMode" w:uri="http://schemas.microsoft.com/office/word" w:val="11"/>
  </w:compat>
  <w:docVars>
    <w:docVar w:name="iTrailerType" w:val="0"/>
    <w:docVar w:name="MarkCheckBox" w:val="FALSE"/>
    <w:docVar w:name="OMPTrailerStyle" w:val="001100"/>
    <w:docVar w:name="ShowPrintedCheckBox" w:val="FALSE"/>
    <w:docVar w:name="ShowScreenCheckBox" w:val="FALSE"/>
    <w:docVar w:name="zzmpFixedDOC_ID" w:val="DOCSSF1:502537.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spacing w:lineRule="auto" w:line="36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LineNumber">
    <w:name w:val="line number"/>
    <w:basedOn w:val="DefaultParagraphFon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Garamond" w:hAnsi="Garamond" w:cs="Garamond"/>
      <w:b w:val="false"/>
      <w:i w:val="false"/>
      <w:smallCaps/>
      <w:color w:val="800000"/>
      <w:spacing w:val="0"/>
      <w:sz w:val="16"/>
      <w:u w:val="non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lineRule="auto" w:line="240"/>
    </w:pPr>
    <w:rPr>
      <w:sz w:val="20"/>
    </w:rPr>
  </w:style>
  <w:style w:type="paragraph" w:styleId="BodyTextIndent2">
    <w:name w:val="Body Text Indent 2"/>
    <w:basedOn w:val="Normal"/>
    <w:qFormat/>
    <w:pPr>
      <w:spacing w:lineRule="auto" w:line="480"/>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2001-01-24T21:47:00Z</dcterms:created>
  <dc:creator>Keith W. Melville</dc:creator>
  <dc:description/>
  <dc:language>en-CA</dc:language>
  <cp:lastModifiedBy>SEMPRA</cp:lastModifiedBy>
  <cp:lastPrinted>2001-01-24T09:18:00Z</cp:lastPrinted>
  <dcterms:modified xsi:type="dcterms:W3CDTF">2001-01-24T21:47:00Z</dcterms:modified>
  <cp:revision>2</cp:revision>
  <dc:subject/>
  <dc:title>DRAFT ALTERNATIVE TESTIMONY REGARDING PROCUREMENT POLICY</dc:title>
</cp:coreProperties>
</file>