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REDUCING THE WHOLESALE COST OF ENERGY</w:t>
      </w:r>
    </w:p>
    <w:p>
      <w:pPr>
        <w:pStyle w:val="Normal"/>
        <w:jc w:val="center"/>
        <w:rPr>
          <w:sz w:val="10"/>
        </w:rPr>
      </w:pPr>
      <w:r>
        <w:rPr>
          <w:sz w:val="10"/>
        </w:rPr>
      </w:r>
    </w:p>
    <w:p>
      <w:pPr>
        <w:pStyle w:val="TITLEbox"/>
        <w:spacing w:before="0" w:after="80"/>
        <w:ind w:start="3874" w:end="3787"/>
        <w:rPr/>
      </w:pPr>
      <w:r>
        <w:rPr/>
        <w:t>SDG&amp;E Specific Actions</w:t>
      </w:r>
    </w:p>
    <w:p>
      <w:pPr>
        <w:pStyle w:val="TITLEdate"/>
        <w:rPr>
          <w:sz w:val="24"/>
        </w:rPr>
      </w:pPr>
      <w:r>
        <w:rPr>
          <w:sz w:val="24"/>
        </w:rPr>
        <w:t>1/1/96 – Present</w:t>
      </w:r>
    </w:p>
    <w:p>
      <w:pPr>
        <w:pStyle w:val="Normal"/>
        <w:rPr>
          <w:sz w:val="24"/>
        </w:rPr>
      </w:pPr>
      <w:r>
        <w:rPr>
          <w:sz w:val="24"/>
        </w:rPr>
      </w:r>
    </w:p>
    <w:tbl>
      <w:tblPr>
        <w:tblW w:w="10998" w:type="dxa"/>
        <w:jc w:val="start"/>
        <w:tblInd w:w="0" w:type="dxa"/>
        <w:tblLayout w:type="fixed"/>
        <w:tblCellMar>
          <w:top w:w="0" w:type="dxa"/>
          <w:start w:w="108" w:type="dxa"/>
          <w:bottom w:w="0" w:type="dxa"/>
          <w:end w:w="108" w:type="dxa"/>
        </w:tblCellMar>
      </w:tblPr>
      <w:tblGrid>
        <w:gridCol w:w="468"/>
        <w:gridCol w:w="4050"/>
        <w:gridCol w:w="2160"/>
        <w:gridCol w:w="1260"/>
        <w:gridCol w:w="1350"/>
        <w:gridCol w:w="1710"/>
      </w:tblGrid>
      <w:tr>
        <w:trPr/>
        <w:tc>
          <w:tcPr>
            <w:tcW w:w="468" w:type="dxa"/>
            <w:tcBorders>
              <w:top w:val="single" w:sz="4" w:space="0" w:color="000000"/>
              <w:start w:val="single" w:sz="4" w:space="0" w:color="000000"/>
              <w:bottom w:val="single" w:sz="4" w:space="0" w:color="000000"/>
              <w:end w:val="single" w:sz="4" w:space="0" w:color="000000"/>
            </w:tcBorders>
            <w:shd w:fill="AAAAAA" w:val="clear"/>
          </w:tcPr>
          <w:p>
            <w:pPr>
              <w:pStyle w:val="Normal"/>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Description</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Proceeding/Adv. Ltr</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Date Filed</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b/>
              </w:rPr>
            </w:pPr>
            <w:r>
              <w:rPr>
                <w:b/>
              </w:rPr>
              <w:t>Outcome</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Decision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SDG&amp;E requested CPUC authorization to purchase power in the bilateral market and bid into the PX day ahead market in order to hedge commodity price risk</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Comments/Replies on Coordinating Commissioner Ruling</w:t>
            </w:r>
          </w:p>
          <w:p>
            <w:pPr>
              <w:pStyle w:val="Normal"/>
              <w:tabs>
                <w:tab w:val="clear" w:pos="720"/>
                <w:tab w:val="left" w:pos="7200" w:leader="none"/>
                <w:tab w:val="left" w:pos="9360" w:leader="none"/>
              </w:tabs>
              <w:rPr/>
            </w:pPr>
            <w:r>
              <w:rPr/>
              <w:t>R.94-04-031</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10/21/96</w:t>
            </w:r>
          </w:p>
          <w:p>
            <w:pPr>
              <w:pStyle w:val="Normal"/>
              <w:tabs>
                <w:tab w:val="clear" w:pos="720"/>
                <w:tab w:val="left" w:pos="7200" w:leader="none"/>
                <w:tab w:val="left" w:pos="9360" w:leader="none"/>
              </w:tabs>
              <w:rPr/>
            </w:pPr>
            <w:r>
              <w:rPr/>
              <w:t>10/28/96</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 xml:space="preserve">CPUC Denied SDG&amp;E’s Request </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D.96-12-088</w:t>
            </w:r>
          </w:p>
          <w:p>
            <w:pPr>
              <w:pStyle w:val="Normal"/>
              <w:tabs>
                <w:tab w:val="clear" w:pos="720"/>
                <w:tab w:val="left" w:pos="7200" w:leader="none"/>
                <w:tab w:val="left" w:pos="9360" w:leader="none"/>
              </w:tabs>
              <w:rPr/>
            </w:pPr>
            <w:r>
              <w:rPr/>
              <w:t>(12/20/96)</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SDG&amp;E applied for permission to use financial energy commodity derivatives to hedge electric commodity price risks.</w:t>
            </w:r>
          </w:p>
          <w:p>
            <w:pPr>
              <w:pStyle w:val="Normal"/>
              <w:tabs>
                <w:tab w:val="clear" w:pos="720"/>
                <w:tab w:val="left" w:pos="7200" w:leader="none"/>
                <w:tab w:val="left" w:pos="9360" w:leader="none"/>
              </w:tabs>
              <w:jc w:val="both"/>
              <w:rPr/>
            </w:pPr>
            <w:r>
              <w:rPr/>
            </w:r>
          </w:p>
          <w:p>
            <w:pPr>
              <w:pStyle w:val="Normal"/>
              <w:rPr>
                <w:i/>
                <w:i/>
                <w:sz w:val="18"/>
              </w:rPr>
            </w:pPr>
            <w:r>
              <w:rPr>
                <w:i/>
                <w:sz w:val="18"/>
                <w:u w:val="single"/>
              </w:rPr>
              <w:t>Note:</w:t>
            </w:r>
            <w:r>
              <w:rPr>
                <w:i/>
                <w:sz w:val="18"/>
              </w:rPr>
              <w:t xml:space="preserve">  In </w:t>
            </w:r>
            <w:r>
              <w:rPr>
                <w:i/>
                <w:sz w:val="18"/>
                <w:lang w:eastAsia="en-US"/>
              </w:rPr>
              <w:t>D.98-03-068 the CPUC granted conditional authority to PG&amp;E to use natural gas-based financial instruments to manage price volatility of gas purchased for its utility electric generation portfolio.</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A.97-04-039</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4/14/97</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 xml:space="preserve">The CPUC denied a similar request by PG&amp;E in </w:t>
            </w:r>
            <w:r>
              <w:rPr>
                <w:sz w:val="18"/>
              </w:rPr>
              <w:t>D.97-08-058.</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(SDG&amp;E’s request is still pending)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SDG&amp;E filed an application with the CPUC for authority to establish an Electric Commodity PBR to be implemented when SDG&amp;E had satisfied all of the statutory obligations to end its rate freeze.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A.99-01-019</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01/15/99</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CPUC Deferred Action to PTR Phase 2</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(See Item 4. Below)</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SDG&amp;E filed an application to end its rate freeze (effective July 1, 1999).  In this application SDG&amp;E expanded its request for authority to implement a Electric Commodity PBR and requested expedited approval.  The request included supporting testimony describing the proposed PBR mechanism in detail.  The application requested (1) limited authority to purchase power outside of the PX, (2) ability to engage in hedging type transactions outside of the PX, including financial mechanisms that could be used to comprehensively manage costs.  The PBR provided for SDG&amp;E’s sharing in both gains and losses from this trading.</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A.99-02-029</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02/19/99</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CPUC Denied SDG&amp;E’s Request</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D.00-06-034</w:t>
            </w:r>
          </w:p>
          <w:p>
            <w:pPr>
              <w:pStyle w:val="Normal"/>
              <w:tabs>
                <w:tab w:val="clear" w:pos="720"/>
                <w:tab w:val="left" w:pos="7200" w:leader="none"/>
                <w:tab w:val="left" w:pos="9360" w:leader="none"/>
              </w:tabs>
              <w:rPr/>
            </w:pPr>
            <w:r>
              <w:rPr/>
              <w:t>(06/08/00)</w:t>
            </w:r>
          </w:p>
          <w:p>
            <w:pPr>
              <w:pStyle w:val="Normal"/>
              <w:tabs>
                <w:tab w:val="clear" w:pos="720"/>
                <w:tab w:val="left" w:pos="7200" w:leader="none"/>
                <w:tab w:val="left" w:pos="9360" w:leader="none"/>
              </w:tabs>
              <w:rPr/>
            </w:pPr>
            <w:r>
              <w:rPr/>
            </w:r>
          </w:p>
          <w:p>
            <w:pPr>
              <w:pStyle w:val="Normal"/>
              <w:tabs>
                <w:tab w:val="clear" w:pos="720"/>
                <w:tab w:val="left" w:pos="7200" w:leader="none"/>
                <w:tab w:val="left" w:pos="9360" w:leader="none"/>
              </w:tabs>
              <w:rPr/>
            </w:pPr>
            <w:r>
              <w:rPr/>
              <w:t>[PTR Phase 2]</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jc w:val="both"/>
              <w:rPr>
                <w:sz w:val="20"/>
              </w:rPr>
            </w:pPr>
            <w:r>
              <w:rPr>
                <w:sz w:val="20"/>
              </w:rPr>
              <w:t>3.</w:t>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SDG&amp;E requested authority to participate in the Block Forward Market (BFM).</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 xml:space="preserve">AL 1167-E </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05/20/99</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CPUC</w:t>
            </w:r>
          </w:p>
          <w:p>
            <w:pPr>
              <w:pStyle w:val="Normal"/>
              <w:tabs>
                <w:tab w:val="clear" w:pos="720"/>
                <w:tab w:val="left" w:pos="7200" w:leader="none"/>
                <w:tab w:val="left" w:pos="9360" w:leader="none"/>
              </w:tabs>
              <w:rPr>
                <w:sz w:val="20"/>
              </w:rPr>
            </w:pPr>
            <w:r>
              <w:rPr>
                <w:sz w:val="20"/>
              </w:rPr>
              <w:t xml:space="preserve">Granted the Request, but limited the capacity and the duration </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Res. E-3620</w:t>
            </w:r>
          </w:p>
          <w:p>
            <w:pPr>
              <w:pStyle w:val="Normal"/>
              <w:tabs>
                <w:tab w:val="clear" w:pos="720"/>
                <w:tab w:val="left" w:pos="7200" w:leader="none"/>
                <w:tab w:val="left" w:pos="9360" w:leader="none"/>
              </w:tabs>
              <w:rPr>
                <w:sz w:val="20"/>
              </w:rPr>
            </w:pPr>
            <w:r>
              <w:rPr>
                <w:color w:val="000000"/>
              </w:rPr>
              <w:t>(07/22/99)</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Sempra Energy protested CAISO Amendment No. 19 (New Generation Interconnection Policy).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FERC Docket No. ER99-3339-000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07/02/99</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sz w:val="20"/>
              </w:rPr>
              <w:t xml:space="preserve">FERC denied the ISO Amendment No. 19 and found that the ISO-adopted procedures undermine competition </w:t>
            </w:r>
            <w:r>
              <w:rPr>
                <w:sz w:val="16"/>
              </w:rPr>
              <w:t>&amp;</w:t>
            </w:r>
            <w:r>
              <w:rPr>
                <w:sz w:val="20"/>
              </w:rPr>
              <w:t xml:space="preserve"> discriminate against new entrants generators</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88 FERC ¶ 61,221; reh.den. 90 FERC¶ 61,086</w:t>
            </w:r>
          </w:p>
        </w:tc>
      </w:tr>
    </w:tbl>
    <w:p>
      <w:pPr>
        <w:pStyle w:val="Normal"/>
        <w:rPr/>
      </w:pPr>
      <w:r>
        <w:rPr/>
      </w:r>
    </w:p>
    <w:tbl>
      <w:tblPr>
        <w:tblW w:w="10998" w:type="dxa"/>
        <w:jc w:val="start"/>
        <w:tblInd w:w="0" w:type="dxa"/>
        <w:tblLayout w:type="fixed"/>
        <w:tblCellMar>
          <w:top w:w="0" w:type="dxa"/>
          <w:start w:w="108" w:type="dxa"/>
          <w:bottom w:w="0" w:type="dxa"/>
          <w:end w:w="108" w:type="dxa"/>
        </w:tblCellMar>
      </w:tblPr>
      <w:tblGrid>
        <w:gridCol w:w="468"/>
        <w:gridCol w:w="4050"/>
        <w:gridCol w:w="2160"/>
        <w:gridCol w:w="1260"/>
        <w:gridCol w:w="1350"/>
        <w:gridCol w:w="1710"/>
      </w:tblGrid>
      <w:tr>
        <w:trPr/>
        <w:tc>
          <w:tcPr>
            <w:tcW w:w="468" w:type="dxa"/>
            <w:tcBorders>
              <w:top w:val="single" w:sz="4" w:space="0" w:color="000000"/>
              <w:start w:val="single" w:sz="4" w:space="0" w:color="000000"/>
              <w:bottom w:val="single" w:sz="4" w:space="0" w:color="000000"/>
              <w:end w:val="single" w:sz="4" w:space="0" w:color="000000"/>
            </w:tcBorders>
            <w:shd w:fill="AAAAAA" w:val="clear"/>
          </w:tcPr>
          <w:p>
            <w:pPr>
              <w:pStyle w:val="Normal"/>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Description</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Proceeding/Adv. Ltr</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Date Filed</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b/>
              </w:rPr>
            </w:pPr>
            <w:r>
              <w:rPr>
                <w:b/>
              </w:rPr>
              <w:t>Outcome</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Decision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Sempra Energy protested CAISO Amendment No. 23 (Expansion of Ability to Purchase Energy Out of Market)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FERC Docket No. ER00-555-000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12/03/99</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FERC denied the ISO Amendment No. 23 and found that Congestion management system was determined</w:t>
              <w:br/>
              <w:t>to be fundamentally flawed and in need of overhaul</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90 FERC ¶ 61,086; reh. den. 91 FERC ¶ 61,026</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Sempra Energy protested CAISO Amendment No. 24 (Long Term Transmission Planning Policy)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FERC Docket No. ER00-866-000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01/20/00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 xml:space="preserve">FERC Issued a Letter Order Accepting ISO’s withdrawal of Amd. 24 </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90 FERC ¶ 61,337</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 xml:space="preserve">SDG&amp;E requested expanded authority from the CPUC to participate in the BFM beyond the limitations specified in </w:t>
            </w:r>
            <w:r>
              <w:rPr>
                <w:color w:val="000000"/>
              </w:rPr>
              <w:t>Res. E-3620</w:t>
            </w:r>
            <w:r>
              <w:rPr/>
              <w:t>.  With this authority SDG&amp;E would have  increased ability to manage San Diego consumer commodity price risks.  An emergency supplement to Advice Letter 1234-E was filed on 7/19/00 to include levelized price purchases to benefit small residential &amp; commercial customers and thereby help reduce the volatility in commodity rates for a limited term.</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Advice Ltr 1234-E</w:t>
            </w:r>
          </w:p>
          <w:p>
            <w:pPr>
              <w:pStyle w:val="Normal"/>
              <w:tabs>
                <w:tab w:val="clear" w:pos="720"/>
                <w:tab w:val="left" w:pos="7200" w:leader="none"/>
                <w:tab w:val="left" w:pos="9360" w:leader="none"/>
              </w:tabs>
              <w:rPr/>
            </w:pPr>
            <w:r>
              <w:rPr/>
              <w:t>Advice Ltr 1234-E-A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07/10/00</w:t>
            </w:r>
          </w:p>
          <w:p>
            <w:pPr>
              <w:pStyle w:val="Normal"/>
              <w:tabs>
                <w:tab w:val="clear" w:pos="720"/>
                <w:tab w:val="left" w:pos="7200" w:leader="none"/>
                <w:tab w:val="left" w:pos="9360" w:leader="none"/>
              </w:tabs>
              <w:rPr/>
            </w:pPr>
            <w:r>
              <w:rPr/>
              <w:t>07/19/00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 xml:space="preserve">CPUC Granted SDG&amp;E’s Request </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D.00-08-021</w:t>
            </w:r>
          </w:p>
          <w:p>
            <w:pPr>
              <w:pStyle w:val="Normal"/>
              <w:tabs>
                <w:tab w:val="clear" w:pos="720"/>
                <w:tab w:val="left" w:pos="7200" w:leader="none"/>
                <w:tab w:val="left" w:pos="9360" w:leader="none"/>
              </w:tabs>
              <w:rPr>
                <w:color w:val="000000"/>
              </w:rPr>
            </w:pPr>
            <w:r>
              <w:rPr>
                <w:color w:val="000000"/>
              </w:rPr>
              <w:t>(08/03/00)</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SDG&amp;E filed an emergency advice letter to amortize a $100 million overcollection in the TCBA over a two-month period. The amortization provided immediate relief to customers as a credit to their Competition Transition Charge (CTC) rates during the months of August-September 2000.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Emergency Advice Letter 1237-E</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07/14/00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CPUC granted SDG&amp;E’s request</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D.00-08-031</w:t>
            </w:r>
          </w:p>
          <w:p>
            <w:pPr>
              <w:pStyle w:val="Normal"/>
              <w:tabs>
                <w:tab w:val="clear" w:pos="720"/>
                <w:tab w:val="left" w:pos="7200" w:leader="none"/>
                <w:tab w:val="left" w:pos="9360" w:leader="none"/>
              </w:tabs>
              <w:rPr/>
            </w:pPr>
            <w:r>
              <w:rPr/>
              <w:t>(08/03/00)</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SDG&amp;E requested an order from the CPUC pre-approving standard Qualifying Facility (QF) Contract amendments to encourage increased energy production during high demand periods (see SDG&amp;E’s response to SCE’s Emergency Motion dated July 10, 2000).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R.94-04-031</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07/21/00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 xml:space="preserve">CPUC Granted SDG&amp;E’s Request </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D.00-08-022</w:t>
            </w:r>
          </w:p>
          <w:p>
            <w:pPr>
              <w:pStyle w:val="Normal"/>
              <w:tabs>
                <w:tab w:val="clear" w:pos="720"/>
                <w:tab w:val="left" w:pos="7200" w:leader="none"/>
                <w:tab w:val="left" w:pos="9360" w:leader="none"/>
              </w:tabs>
              <w:rPr/>
            </w:pPr>
            <w:r>
              <w:rPr/>
              <w:t>(08/03/00)</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SDG&amp;E requested authority to implement an experimental "Customer Choice Facilitation Program” (CCFP) where SDG&amp;E would work to bring customers and Energy Service Providers (ESPs) together by getting offers from ESPs and communicating those offers to customers on specific commodity procurement alternatives offered by the ESPs.</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Emergency Advice Letter 1242-E</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07/27/00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CPUC granted SDG&amp;E’s request, with minor modifications</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Res. E-3702 (09/21/00)</w:t>
            </w:r>
          </w:p>
        </w:tc>
      </w:tr>
    </w:tbl>
    <w:p>
      <w:pPr>
        <w:sectPr>
          <w:footerReference w:type="default" r:id="rId2"/>
          <w:type w:val="nextPage"/>
          <w:pgSz w:w="12240" w:h="15840"/>
          <w:pgMar w:left="720" w:right="720" w:gutter="0" w:header="0" w:top="576" w:footer="432" w:bottom="720"/>
          <w:pgNumType w:start="1" w:fmt="decimal"/>
          <w:formProt w:val="false"/>
          <w:textDirection w:val="lrTb"/>
          <w:docGrid w:type="default" w:linePitch="360" w:charSpace="0"/>
        </w:sectPr>
      </w:pPr>
    </w:p>
    <w:p>
      <w:pPr>
        <w:pStyle w:val="Normal"/>
        <w:rPr/>
      </w:pPr>
      <w:r>
        <w:rPr/>
      </w:r>
    </w:p>
    <w:tbl>
      <w:tblPr>
        <w:tblW w:w="10998" w:type="dxa"/>
        <w:jc w:val="start"/>
        <w:tblInd w:w="0" w:type="dxa"/>
        <w:tblLayout w:type="fixed"/>
        <w:tblCellMar>
          <w:top w:w="0" w:type="dxa"/>
          <w:start w:w="108" w:type="dxa"/>
          <w:bottom w:w="0" w:type="dxa"/>
          <w:end w:w="108" w:type="dxa"/>
        </w:tblCellMar>
      </w:tblPr>
      <w:tblGrid>
        <w:gridCol w:w="468"/>
        <w:gridCol w:w="4050"/>
        <w:gridCol w:w="2160"/>
        <w:gridCol w:w="1260"/>
        <w:gridCol w:w="1350"/>
        <w:gridCol w:w="1710"/>
      </w:tblGrid>
      <w:tr>
        <w:trPr/>
        <w:tc>
          <w:tcPr>
            <w:tcW w:w="468" w:type="dxa"/>
            <w:tcBorders>
              <w:top w:val="single" w:sz="4" w:space="0" w:color="000000"/>
              <w:start w:val="single" w:sz="4" w:space="0" w:color="000000"/>
              <w:bottom w:val="single" w:sz="4" w:space="0" w:color="000000"/>
              <w:end w:val="single" w:sz="4" w:space="0" w:color="000000"/>
            </w:tcBorders>
            <w:shd w:fill="AAAAAA" w:val="clear"/>
          </w:tcPr>
          <w:p>
            <w:pPr>
              <w:pStyle w:val="Normal"/>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Description</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Proceeding/Adv. Ltr</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Date Filed</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b/>
              </w:rPr>
            </w:pPr>
            <w:r>
              <w:rPr>
                <w:b/>
              </w:rPr>
              <w:t>Outcome</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Decision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SDG&amp;E filed a complaint at FERC requesting that FERC impose price caps on seller’s market-based rate authorizations to keep ISO/PX prices below $250/MWh.</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FERC Docket No. EL00-95-000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08/02/00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FERC denied SDG&amp;E’s request to  cap seller prices, but opened a broad investigation into the CA wholesale market and established a date for possible refunds.</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92 FERC ¶</w:t>
            </w:r>
          </w:p>
          <w:p>
            <w:pPr>
              <w:pStyle w:val="Normal"/>
              <w:tabs>
                <w:tab w:val="clear" w:pos="720"/>
                <w:tab w:val="left" w:pos="7200" w:leader="none"/>
                <w:tab w:val="left" w:pos="9360" w:leader="none"/>
              </w:tabs>
              <w:rPr/>
            </w:pPr>
            <w:r>
              <w:rPr/>
              <w:t>61,172</w:t>
            </w:r>
          </w:p>
          <w:p>
            <w:pPr>
              <w:pStyle w:val="Normal"/>
              <w:tabs>
                <w:tab w:val="clear" w:pos="720"/>
                <w:tab w:val="left" w:pos="7200" w:leader="none"/>
                <w:tab w:val="left" w:pos="9360" w:leader="none"/>
              </w:tabs>
              <w:rPr/>
            </w:pPr>
            <w:r>
              <w:rPr/>
              <w:t>(</w:t>
            </w:r>
            <w:r>
              <w:rPr>
                <w:color w:val="000000"/>
              </w:rPr>
              <w:t>08/23/00)</w:t>
            </w:r>
          </w:p>
        </w:tc>
      </w:tr>
    </w:tbl>
    <w:p>
      <w:pPr>
        <w:sectPr>
          <w:type w:val="continuous"/>
          <w:pgSz w:w="12240" w:h="15840"/>
          <w:pgMar w:left="720" w:right="720" w:gutter="0" w:header="0" w:top="576" w:footer="432" w:bottom="720"/>
          <w:formProt w:val="false"/>
          <w:textDirection w:val="lrTb"/>
          <w:docGrid w:type="default" w:linePitch="360" w:charSpace="0"/>
        </w:sectPr>
      </w:pPr>
    </w:p>
    <w:tbl>
      <w:tblPr>
        <w:tblW w:w="10998" w:type="dxa"/>
        <w:jc w:val="start"/>
        <w:tblInd w:w="0" w:type="dxa"/>
        <w:tblLayout w:type="fixed"/>
        <w:tblCellMar>
          <w:top w:w="0" w:type="dxa"/>
          <w:start w:w="108" w:type="dxa"/>
          <w:bottom w:w="0" w:type="dxa"/>
          <w:end w:w="108" w:type="dxa"/>
        </w:tblCellMar>
      </w:tblPr>
      <w:tblGrid>
        <w:gridCol w:w="468"/>
        <w:gridCol w:w="4050"/>
        <w:gridCol w:w="2160"/>
        <w:gridCol w:w="1260"/>
        <w:gridCol w:w="1350"/>
        <w:gridCol w:w="1710"/>
      </w:tblGrid>
      <w:tr>
        <w:trPr/>
        <w:tc>
          <w:tcPr>
            <w:tcW w:w="468" w:type="dxa"/>
            <w:tcBorders>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color w:val="000000"/>
              </w:rPr>
              <w:t>SDG&amp;E filed an emergency motion with the CPUC for authority to enter into bilateral contracts through 2005, similar to the approval granted SCE and PG&amp;E in D. 00-08-023.</w:t>
            </w:r>
          </w:p>
        </w:tc>
        <w:tc>
          <w:tcPr>
            <w:tcW w:w="2160" w:type="dxa"/>
            <w:tcBorders>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R.94-04-031</w:t>
            </w:r>
          </w:p>
        </w:tc>
        <w:tc>
          <w:tcPr>
            <w:tcW w:w="1260" w:type="dxa"/>
            <w:tcBorders>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08/09/00</w:t>
            </w:r>
          </w:p>
        </w:tc>
        <w:tc>
          <w:tcPr>
            <w:tcW w:w="1350" w:type="dxa"/>
            <w:tcBorders>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sz w:val="20"/>
              </w:rPr>
              <w:t>CPUC granted SDG&amp;E’s request, with reasonableness reviews in SDG&amp;E’s ATCP.</w:t>
            </w:r>
          </w:p>
          <w:p>
            <w:pPr>
              <w:pStyle w:val="Normal"/>
              <w:tabs>
                <w:tab w:val="clear" w:pos="720"/>
                <w:tab w:val="left" w:pos="7200" w:leader="none"/>
                <w:tab w:val="left" w:pos="9360" w:leader="none"/>
              </w:tabs>
              <w:rPr>
                <w:sz w:val="20"/>
              </w:rPr>
            </w:pPr>
            <w:r>
              <w:rPr>
                <w:sz w:val="20"/>
              </w:rPr>
            </w:r>
          </w:p>
        </w:tc>
        <w:tc>
          <w:tcPr>
            <w:tcW w:w="1710" w:type="dxa"/>
            <w:tcBorders>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D.00-09-075</w:t>
            </w:r>
          </w:p>
          <w:p>
            <w:pPr>
              <w:pStyle w:val="Normal"/>
              <w:tabs>
                <w:tab w:val="clear" w:pos="720"/>
                <w:tab w:val="left" w:pos="7200" w:leader="none"/>
                <w:tab w:val="left" w:pos="9360" w:leader="none"/>
              </w:tabs>
              <w:rPr/>
            </w:pPr>
            <w:r>
              <w:rPr/>
              <w:t>(09/21/00)</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SDG&amp;E filed an advice letter to transfer approximately $24 million in Tree Trimming and Rewards and Penalties Balancing Account overcollections to the TCBA to reduce the AB 265 revenue shortfall.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Advice Letter 1262-E</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10/06/00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rPr/>
            </w:pPr>
            <w:r>
              <w:rPr/>
              <w:t>SDG&amp;E filed an application with the Commission requesting further guidance with respect to the implementation of AB 265 consistent with the legislative intent to shield customers from large future TCBA shortfalls and potential surcharges.  In particular SDG&amp;E requested the CPUC to take the following action:</w:t>
            </w:r>
          </w:p>
          <w:p>
            <w:pPr>
              <w:pStyle w:val="Normal"/>
              <w:numPr>
                <w:ilvl w:val="0"/>
                <w:numId w:val="2"/>
              </w:numPr>
              <w:rPr>
                <w:sz w:val="20"/>
              </w:rPr>
            </w:pPr>
            <w:r>
              <w:rPr>
                <w:sz w:val="20"/>
              </w:rPr>
              <w:t>freeze SDG&amp;E’s energy component rate at 6.5 cents per kilowatt hour (kWh);</w:t>
            </w:r>
          </w:p>
          <w:p>
            <w:pPr>
              <w:pStyle w:val="Normal"/>
              <w:numPr>
                <w:ilvl w:val="0"/>
                <w:numId w:val="2"/>
              </w:numPr>
              <w:rPr>
                <w:color w:val="000000"/>
                <w:sz w:val="20"/>
              </w:rPr>
            </w:pPr>
            <w:r>
              <w:rPr>
                <w:sz w:val="20"/>
              </w:rPr>
              <w:t>authorize SDG&amp;E to use the full range of financial and physical transactions to manage energy procurement for its bundled service customers;</w:t>
            </w:r>
          </w:p>
          <w:p>
            <w:pPr>
              <w:pStyle w:val="Normal"/>
              <w:numPr>
                <w:ilvl w:val="0"/>
                <w:numId w:val="2"/>
              </w:numPr>
              <w:rPr>
                <w:color w:val="000000"/>
                <w:sz w:val="20"/>
              </w:rPr>
            </w:pPr>
            <w:r>
              <w:rPr>
                <w:sz w:val="20"/>
              </w:rPr>
              <w:t>provide guidance for SDG&amp;E’s exercise of its procurement function;</w:t>
            </w:r>
          </w:p>
          <w:p>
            <w:pPr>
              <w:pStyle w:val="FootnoteText"/>
              <w:numPr>
                <w:ilvl w:val="0"/>
                <w:numId w:val="2"/>
              </w:numPr>
              <w:rPr>
                <w:lang w:eastAsia="en-US"/>
              </w:rPr>
            </w:pPr>
            <w:r>
              <w:rPr/>
              <w:t xml:space="preserve">interpret § 332.1(c)’s direction to “utilize </w:t>
            </w:r>
            <w:r>
              <w:rPr>
                <w:lang w:eastAsia="en-US"/>
              </w:rPr>
              <w:t>revenues associated with sales of energy from utility-owned or managed generation assets to offset an undercollection, if undercollection occurs”;</w:t>
            </w:r>
          </w:p>
          <w:p>
            <w:pPr>
              <w:pStyle w:val="FootnoteText"/>
              <w:numPr>
                <w:ilvl w:val="0"/>
                <w:numId w:val="2"/>
              </w:numPr>
              <w:rPr/>
            </w:pPr>
            <w:r>
              <w:rPr>
                <w:lang w:eastAsia="en-US"/>
              </w:rPr>
              <w:t>determine an undercollection “trigger” amount that, when reached, will cause the Commission to reevaluate the balancing account;</w:t>
            </w:r>
            <w:r>
              <w:rPr/>
              <w:t xml:space="preserve"> and</w:t>
            </w:r>
          </w:p>
          <w:p>
            <w:pPr>
              <w:pStyle w:val="FootnoteText"/>
              <w:numPr>
                <w:ilvl w:val="0"/>
                <w:numId w:val="2"/>
              </w:numPr>
              <w:rPr>
                <w:color w:val="000000"/>
              </w:rPr>
            </w:pPr>
            <w:r>
              <w:rPr/>
              <w:t xml:space="preserve">establish a timetable for amortization of any undercollection that will ensure that SDG&amp;E will be made whole at the end of the rate freeze or rate ceiling period. </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sz w:val="20"/>
              </w:rPr>
              <w:t>A.00-10-045</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10/24/00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r>
    </w:tbl>
    <w:p>
      <w:pPr>
        <w:pStyle w:val="Normal"/>
        <w:tabs>
          <w:tab w:val="clear" w:pos="720"/>
          <w:tab w:val="left" w:pos="7200" w:leader="none"/>
          <w:tab w:val="left" w:pos="9360" w:leader="none"/>
        </w:tabs>
        <w:rPr/>
      </w:pPr>
      <w:r>
        <w:rPr/>
      </w:r>
    </w:p>
    <w:tbl>
      <w:tblPr>
        <w:tblW w:w="10998" w:type="dxa"/>
        <w:jc w:val="start"/>
        <w:tblInd w:w="0" w:type="dxa"/>
        <w:tblLayout w:type="fixed"/>
        <w:tblCellMar>
          <w:top w:w="0" w:type="dxa"/>
          <w:start w:w="108" w:type="dxa"/>
          <w:bottom w:w="0" w:type="dxa"/>
          <w:end w:w="108" w:type="dxa"/>
        </w:tblCellMar>
      </w:tblPr>
      <w:tblGrid>
        <w:gridCol w:w="468"/>
        <w:gridCol w:w="4050"/>
        <w:gridCol w:w="2160"/>
        <w:gridCol w:w="1260"/>
        <w:gridCol w:w="1350"/>
        <w:gridCol w:w="1710"/>
      </w:tblGrid>
      <w:tr>
        <w:trPr/>
        <w:tc>
          <w:tcPr>
            <w:tcW w:w="468" w:type="dxa"/>
            <w:tcBorders>
              <w:top w:val="single" w:sz="4" w:space="0" w:color="000000"/>
              <w:start w:val="single" w:sz="4" w:space="0" w:color="000000"/>
              <w:end w:val="single" w:sz="4" w:space="0" w:color="000000"/>
            </w:tcBorders>
            <w:shd w:fill="AAAAAA" w:val="clear"/>
          </w:tcPr>
          <w:p>
            <w:pPr>
              <w:pStyle w:val="Normal"/>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Description</w:t>
            </w:r>
          </w:p>
        </w:tc>
        <w:tc>
          <w:tcPr>
            <w:tcW w:w="216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Proceeding/Adv. Ltr</w:t>
            </w:r>
          </w:p>
        </w:tc>
        <w:tc>
          <w:tcPr>
            <w:tcW w:w="126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Date Filed</w:t>
            </w:r>
          </w:p>
        </w:tc>
        <w:tc>
          <w:tcPr>
            <w:tcW w:w="135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b/>
              </w:rPr>
            </w:pPr>
            <w:r>
              <w:rPr>
                <w:b/>
              </w:rPr>
              <w:t>Outcome</w:t>
            </w:r>
          </w:p>
        </w:tc>
        <w:tc>
          <w:tcPr>
            <w:tcW w:w="171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Decision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SDG&amp;E filed an advice letter to establish the accounting procedures for bilateral contracts in compliance with D.00-09-075, which granted SDG&amp;E authority to enter into contracts for energy, ancillary services, and capacity products in the bilateral market through December 31, 2005.</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sz w:val="20"/>
              </w:rPr>
              <w:t>Advice Ltr. 1256-E-A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10/26/00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CPUC approved SDG&amp;E’s request effective 10/26/00.</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Res. E-3725 (12/21/00)</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In its Annual Reliability Must Run (RMR) rate filing with the FERC, SDG&amp;E requested to transfer an approximate $19 million RMR refund to the TCBA to reduce the AB 265 revenue shortfall.</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FERC Docket No. ER01-322-000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10/31/00</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7200" w:leader="none"/>
                <w:tab w:val="left" w:pos="9360" w:leader="none"/>
              </w:tabs>
              <w:rPr/>
            </w:pPr>
            <w:r>
              <w:rPr/>
              <w:t>FERC ruled that SDG&amp;E should return the refund to distribution customers with 10 days of the order.</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 xml:space="preserve">93 FERC </w:t>
            </w:r>
          </w:p>
          <w:p>
            <w:pPr>
              <w:pStyle w:val="Normal"/>
              <w:tabs>
                <w:tab w:val="clear" w:pos="720"/>
                <w:tab w:val="left" w:pos="7200" w:leader="none"/>
                <w:tab w:val="left" w:pos="9360" w:leader="none"/>
              </w:tabs>
              <w:rPr/>
            </w:pPr>
            <w:r>
              <w:rPr/>
              <w:t>61,333 (12/29/00)</w:t>
            </w:r>
          </w:p>
        </w:tc>
      </w:tr>
      <w:tr>
        <w:trPr/>
        <w:tc>
          <w:tcPr>
            <w:tcW w:w="468" w:type="dxa"/>
            <w:tcBorders>
              <w:top w:val="single" w:sz="4" w:space="0" w:color="000000"/>
              <w:start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Under its Commission-approved bilateral contracting authority, SDG&amp;E issued Requests for Proposals (RFPs) for targeted amounts of energy and ancillary services capacity over a range of time periods.</w:t>
            </w:r>
          </w:p>
        </w:tc>
        <w:tc>
          <w:tcPr>
            <w:tcW w:w="216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pPr>
            <w:r>
              <w:rPr/>
              <w:t>R.94-04-031</w:t>
            </w:r>
          </w:p>
        </w:tc>
        <w:tc>
          <w:tcPr>
            <w:tcW w:w="126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Oct 2000</w:t>
            </w:r>
          </w:p>
          <w:p>
            <w:pPr>
              <w:pStyle w:val="Normal"/>
              <w:tabs>
                <w:tab w:val="clear" w:pos="720"/>
                <w:tab w:val="left" w:pos="7200" w:leader="none"/>
                <w:tab w:val="left" w:pos="9360" w:leader="none"/>
              </w:tabs>
              <w:rPr>
                <w:color w:val="000000"/>
              </w:rPr>
            </w:pPr>
            <w:r>
              <w:rPr>
                <w:color w:val="000000"/>
              </w:rPr>
              <w:t>Nov 2000</w:t>
            </w:r>
          </w:p>
          <w:p>
            <w:pPr>
              <w:pStyle w:val="Normal"/>
              <w:tabs>
                <w:tab w:val="clear" w:pos="720"/>
                <w:tab w:val="left" w:pos="7200" w:leader="none"/>
                <w:tab w:val="left" w:pos="9360" w:leader="none"/>
              </w:tabs>
              <w:rPr>
                <w:color w:val="000000"/>
              </w:rPr>
            </w:pPr>
            <w:r>
              <w:rPr>
                <w:color w:val="000000"/>
              </w:rPr>
              <w:t>Dec 2000</w:t>
            </w:r>
          </w:p>
          <w:p>
            <w:pPr>
              <w:pStyle w:val="Normal"/>
              <w:tabs>
                <w:tab w:val="clear" w:pos="720"/>
                <w:tab w:val="left" w:pos="7200" w:leader="none"/>
                <w:tab w:val="left" w:pos="9360" w:leader="none"/>
              </w:tabs>
              <w:rPr>
                <w:color w:val="000000"/>
              </w:rPr>
            </w:pPr>
            <w:r>
              <w:rPr>
                <w:color w:val="000000"/>
              </w:rPr>
              <w:t>Jan 2001</w:t>
            </w:r>
          </w:p>
        </w:tc>
        <w:tc>
          <w:tcPr>
            <w:tcW w:w="135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SDG&amp;E entered into contracts w/ selective suppliers.</w:t>
            </w:r>
          </w:p>
        </w:tc>
        <w:tc>
          <w:tcPr>
            <w:tcW w:w="171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D.00-09-075</w:t>
            </w:r>
          </w:p>
          <w:p>
            <w:pPr>
              <w:pStyle w:val="Normal"/>
              <w:tabs>
                <w:tab w:val="clear" w:pos="720"/>
                <w:tab w:val="left" w:pos="7200" w:leader="none"/>
                <w:tab w:val="left" w:pos="9360" w:leader="none"/>
              </w:tabs>
              <w:rPr>
                <w:color w:val="000000"/>
              </w:rPr>
            </w:pPr>
            <w:r>
              <w:rPr>
                <w:color w:val="000000"/>
              </w:rPr>
              <w:t>(09/21/00</w:t>
            </w:r>
          </w:p>
        </w:tc>
      </w:tr>
    </w:tbl>
    <w:p>
      <w:pPr>
        <w:sectPr>
          <w:type w:val="continuous"/>
          <w:pgSz w:w="12240" w:h="15840"/>
          <w:pgMar w:left="720" w:right="720" w:gutter="0" w:header="0" w:top="576" w:footer="432" w:bottom="720"/>
          <w:formProt w:val="false"/>
          <w:textDirection w:val="lrTb"/>
          <w:docGrid w:type="default" w:linePitch="360" w:charSpace="0"/>
        </w:sectPr>
      </w:pPr>
    </w:p>
    <w:tbl>
      <w:tblPr>
        <w:tblW w:w="10998" w:type="dxa"/>
        <w:jc w:val="start"/>
        <w:tblInd w:w="0" w:type="dxa"/>
        <w:tblLayout w:type="fixed"/>
        <w:tblCellMar>
          <w:top w:w="0" w:type="dxa"/>
          <w:start w:w="108" w:type="dxa"/>
          <w:bottom w:w="0" w:type="dxa"/>
          <w:end w:w="108" w:type="dxa"/>
        </w:tblCellMar>
      </w:tblPr>
      <w:tblGrid>
        <w:gridCol w:w="468"/>
        <w:gridCol w:w="4050"/>
        <w:gridCol w:w="2160"/>
        <w:gridCol w:w="1260"/>
        <w:gridCol w:w="1350"/>
        <w:gridCol w:w="1710"/>
      </w:tblGrid>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SDG&amp;E filed an advice letter to implement the AB 265 rate cap (retroactively) for Direct Access (DA) customers. The application of the rate cap to DA customers provides a more effective means for SDG&amp;E to manage the undercollection by providing DA customers relief comparable to bundled service customers.</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sz w:val="20"/>
              </w:rPr>
            </w:pPr>
            <w:r>
              <w:rPr>
                <w:sz w:val="20"/>
              </w:rPr>
              <w:t>Advice Ltr. 1264-E-A</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12/06/00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rPr>
                <w:lang w:eastAsia="en-US"/>
              </w:rPr>
            </w:pPr>
            <w:r>
              <w:rPr>
                <w:lang w:eastAsia="en-US"/>
              </w:rPr>
              <w:t xml:space="preserve">SDG&amp;E filed an emergency request with FERC to reinstate the as-billed rate cap on natural gas capacity transactions of under one year in duration.  SDG&amp;E also requests that FERC assert jurisdiction to impose this cap on bundled sales at the border.  This relief, if granted, would improve the electric market in two ways: </w:t>
            </w:r>
          </w:p>
          <w:p>
            <w:pPr>
              <w:pStyle w:val="Normal"/>
              <w:tabs>
                <w:tab w:val="clear" w:pos="720"/>
                <w:tab w:val="left" w:pos="7200" w:leader="none"/>
                <w:tab w:val="left" w:pos="9360" w:leader="none"/>
              </w:tabs>
              <w:jc w:val="both"/>
              <w:rPr>
                <w:sz w:val="12"/>
                <w:lang w:eastAsia="en-US"/>
              </w:rPr>
            </w:pPr>
            <w:r>
              <w:rPr>
                <w:sz w:val="12"/>
                <w:lang w:eastAsia="en-US"/>
              </w:rPr>
            </w:r>
          </w:p>
          <w:p>
            <w:pPr>
              <w:pStyle w:val="Normal"/>
              <w:tabs>
                <w:tab w:val="clear" w:pos="720"/>
                <w:tab w:val="left" w:pos="7200" w:leader="none"/>
                <w:tab w:val="left" w:pos="9360" w:leader="none"/>
              </w:tabs>
              <w:jc w:val="both"/>
              <w:rPr/>
            </w:pPr>
            <w:r>
              <w:rPr/>
              <w:t xml:space="preserve">1. </w:t>
            </w:r>
            <w:r>
              <w:rPr>
                <w:lang w:eastAsia="en-US"/>
              </w:rPr>
              <w:t>Increase the volume of electric supplies available in the wholesale market --- at natural gas prices of  $20/mmBTU to $36/mmBTU, it can be more profitable to sell natural gas than to generate electricity.</w:t>
            </w:r>
          </w:p>
          <w:p>
            <w:pPr>
              <w:pStyle w:val="Normal"/>
              <w:tabs>
                <w:tab w:val="clear" w:pos="720"/>
                <w:tab w:val="left" w:pos="7200" w:leader="none"/>
                <w:tab w:val="left" w:pos="9360" w:leader="none"/>
              </w:tabs>
              <w:jc w:val="both"/>
              <w:rPr>
                <w:lang w:eastAsia="en-US"/>
              </w:rPr>
            </w:pPr>
            <w:r>
              <w:rPr>
                <w:lang w:eastAsia="en-US"/>
              </w:rPr>
            </w:r>
          </w:p>
          <w:p>
            <w:pPr>
              <w:pStyle w:val="Normal"/>
              <w:tabs>
                <w:tab w:val="clear" w:pos="720"/>
                <w:tab w:val="left" w:pos="7200" w:leader="none"/>
                <w:tab w:val="left" w:pos="9360" w:leader="none"/>
              </w:tabs>
              <w:jc w:val="both"/>
              <w:rPr>
                <w:color w:val="000000"/>
              </w:rPr>
            </w:pPr>
            <w:r>
              <w:rPr>
                <w:lang w:eastAsia="en-US"/>
              </w:rPr>
              <w:t>2. Drastically reduce the input fuel price for generators, who with a border price above the $20/mmBTU to $36/mmBTU price range would have a cost of service basis to charge over $250/MWh for energy.</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FERC Docket No.</w:t>
            </w:r>
          </w:p>
          <w:p>
            <w:pPr>
              <w:pStyle w:val="Normal"/>
              <w:tabs>
                <w:tab w:val="clear" w:pos="720"/>
                <w:tab w:val="left" w:pos="7200" w:leader="none"/>
                <w:tab w:val="left" w:pos="9360" w:leader="none"/>
              </w:tabs>
              <w:jc w:val="both"/>
              <w:rPr/>
            </w:pPr>
            <w:r>
              <w:rPr/>
              <w:t>RP01-180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12/07/00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color w:val="000000"/>
              </w:rPr>
              <w:t xml:space="preserve">Debra L. Reed, SDG&amp;E President, sent a letter to </w:t>
            </w:r>
            <w:r>
              <w:rPr>
                <w:color w:val="000000"/>
                <w:lang w:eastAsia="en-US"/>
              </w:rPr>
              <w:t>the CPUC Commissioners</w:t>
            </w:r>
            <w:r>
              <w:rPr>
                <w:rFonts w:cs="Arial" w:ascii="Arial" w:hAnsi="Arial"/>
                <w:color w:val="000000"/>
                <w:lang w:eastAsia="en-US"/>
              </w:rPr>
              <w:t xml:space="preserve"> </w:t>
            </w:r>
            <w:r>
              <w:rPr>
                <w:color w:val="000000"/>
              </w:rPr>
              <w:t>proposing energy procurement prudence standards for California utilities in three specific areas (1) structuring their portfolio mix, (2) entering into bilateral/forward contracts and (3) making spot market purchases.</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R.94-04-031</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12/13/00</w:t>
            </w:r>
          </w:p>
        </w:tc>
        <w:tc>
          <w:tcPr>
            <w:tcW w:w="135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7200" w:leader="none"/>
                <w:tab w:val="left" w:pos="9360" w:leader="none"/>
              </w:tabs>
              <w:rPr/>
            </w:pPr>
            <w:r>
              <w:rPr/>
              <w:t>CPUC issued an order requesting comments on applying prudency standards for forward electricity contracts</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D.00-12-065</w:t>
            </w:r>
          </w:p>
          <w:p>
            <w:pPr>
              <w:pStyle w:val="Normal"/>
              <w:tabs>
                <w:tab w:val="clear" w:pos="720"/>
                <w:tab w:val="left" w:pos="7200" w:leader="none"/>
                <w:tab w:val="left" w:pos="9360" w:leader="none"/>
              </w:tabs>
              <w:rPr/>
            </w:pPr>
            <w:r>
              <w:rPr/>
              <w:t>(12/21/00)</w:t>
            </w:r>
          </w:p>
        </w:tc>
      </w:tr>
    </w:tbl>
    <w:p>
      <w:pPr>
        <w:sectPr>
          <w:type w:val="continuous"/>
          <w:pgSz w:w="12240" w:h="15840"/>
          <w:pgMar w:left="720" w:right="720" w:gutter="0" w:header="0" w:top="576" w:footer="432" w:bottom="720"/>
          <w:formProt w:val="false"/>
          <w:textDirection w:val="lrTb"/>
          <w:docGrid w:type="default" w:linePitch="360" w:charSpace="0"/>
        </w:sectPr>
      </w:pPr>
    </w:p>
    <w:p>
      <w:pPr>
        <w:pStyle w:val="Normal"/>
        <w:numPr>
          <w:ilvl w:val="0"/>
          <w:numId w:val="0"/>
        </w:numPr>
        <w:rPr/>
      </w:pPr>
      <w:r>
        <w:rPr/>
      </w:r>
    </w:p>
    <w:p>
      <w:pPr>
        <w:sectPr>
          <w:type w:val="continuous"/>
          <w:pgSz w:w="12240" w:h="15840"/>
          <w:pgMar w:left="720" w:right="720" w:gutter="0" w:header="0" w:top="576" w:footer="432" w:bottom="720"/>
          <w:formProt w:val="false"/>
          <w:textDirection w:val="lrTb"/>
          <w:docGrid w:type="default" w:linePitch="360" w:charSpace="0"/>
        </w:sectPr>
      </w:pPr>
    </w:p>
    <w:tbl>
      <w:tblPr>
        <w:tblW w:w="10998" w:type="dxa"/>
        <w:jc w:val="start"/>
        <w:tblInd w:w="0" w:type="dxa"/>
        <w:tblLayout w:type="fixed"/>
        <w:tblCellMar>
          <w:top w:w="0" w:type="dxa"/>
          <w:start w:w="108" w:type="dxa"/>
          <w:bottom w:w="0" w:type="dxa"/>
          <w:end w:w="108" w:type="dxa"/>
        </w:tblCellMar>
      </w:tblPr>
      <w:tblGrid>
        <w:gridCol w:w="468"/>
        <w:gridCol w:w="4050"/>
        <w:gridCol w:w="2160"/>
        <w:gridCol w:w="1260"/>
        <w:gridCol w:w="1350"/>
        <w:gridCol w:w="1710"/>
      </w:tblGrid>
      <w:tr>
        <w:trPr/>
        <w:tc>
          <w:tcPr>
            <w:tcW w:w="468" w:type="dxa"/>
            <w:tcBorders>
              <w:top w:val="single" w:sz="4" w:space="0" w:color="000000"/>
              <w:start w:val="single" w:sz="4" w:space="0" w:color="000000"/>
              <w:end w:val="single" w:sz="4" w:space="0" w:color="000000"/>
            </w:tcBorders>
            <w:shd w:fill="AAAAAA" w:val="clear"/>
          </w:tcPr>
          <w:p>
            <w:pPr>
              <w:pStyle w:val="Normal"/>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Description</w:t>
            </w:r>
          </w:p>
        </w:tc>
        <w:tc>
          <w:tcPr>
            <w:tcW w:w="216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Proceeding/Adv. Ltr</w:t>
            </w:r>
          </w:p>
        </w:tc>
        <w:tc>
          <w:tcPr>
            <w:tcW w:w="126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Date Filed</w:t>
            </w:r>
          </w:p>
        </w:tc>
        <w:tc>
          <w:tcPr>
            <w:tcW w:w="135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b/>
              </w:rPr>
            </w:pPr>
            <w:r>
              <w:rPr>
                <w:b/>
              </w:rPr>
              <w:t>Outcome</w:t>
            </w:r>
          </w:p>
        </w:tc>
        <w:tc>
          <w:tcPr>
            <w:tcW w:w="1710" w:type="dxa"/>
            <w:tcBorders>
              <w:top w:val="single" w:sz="4" w:space="0" w:color="000000"/>
              <w:start w:val="single" w:sz="4" w:space="0" w:color="000000"/>
              <w:end w:val="single" w:sz="4" w:space="0" w:color="000000"/>
            </w:tcBorders>
          </w:tcPr>
          <w:p>
            <w:pPr>
              <w:pStyle w:val="Normal"/>
              <w:tabs>
                <w:tab w:val="clear" w:pos="720"/>
                <w:tab w:val="left" w:pos="7200" w:leader="none"/>
                <w:tab w:val="left" w:pos="9360" w:leader="none"/>
              </w:tabs>
              <w:jc w:val="both"/>
              <w:rPr>
                <w:sz w:val="20"/>
              </w:rPr>
            </w:pPr>
            <w:r>
              <w:rPr>
                <w:b/>
              </w:rPr>
              <w:t>Decision</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SDG&amp;E filed comments on FERC’s. draft order of November 1, 2000 proposing measures to remedy the problems identified by its investigation of the California market</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FERC Docket No. ER00-95-000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11/22/00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FERC issued its order directing remedies for California wholesale markets</w:t>
            </w:r>
            <w:r>
              <w:rPr>
                <w:sz w:val="20"/>
              </w:rPr>
              <w:t>.</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93 FERC ¶ 61,294</w:t>
            </w:r>
          </w:p>
          <w:p>
            <w:pPr>
              <w:pStyle w:val="Normal"/>
              <w:tabs>
                <w:tab w:val="clear" w:pos="720"/>
                <w:tab w:val="left" w:pos="7200" w:leader="none"/>
                <w:tab w:val="left" w:pos="9360" w:leader="none"/>
              </w:tabs>
              <w:rPr/>
            </w:pPr>
            <w:r>
              <w:rPr/>
              <w:t>(</w:t>
            </w:r>
            <w:r>
              <w:rPr>
                <w:color w:val="000000"/>
              </w:rPr>
              <w:t>12/15/00)</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 xml:space="preserve">SDG&amp;E intervened in the DC Circuit Court of Appeals to support Edison’s petition for a writ of mandamus against the FERC for failure to implement immediately cost-based regulation of the wholesale market. </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FERC Docket No. ER00-95-000</w:t>
            </w:r>
          </w:p>
          <w:p>
            <w:pPr>
              <w:pStyle w:val="Normal"/>
              <w:tabs>
                <w:tab w:val="clear" w:pos="720"/>
                <w:tab w:val="left" w:pos="7200" w:leader="none"/>
                <w:tab w:val="left" w:pos="9360" w:leader="none"/>
              </w:tabs>
              <w:rPr>
                <w:sz w:val="20"/>
              </w:rPr>
            </w:pPr>
            <w:r>
              <w:rPr/>
              <w:t>D.C Circuit Court Case No. 00-1543</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01/02/01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Mandamus denied.</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Decision issued 01/05/01</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color w:val="000000"/>
              </w:rPr>
              <w:t xml:space="preserve">SDG&amp;E made a filing with FERC in compliance with </w:t>
            </w:r>
            <w:r>
              <w:rPr/>
              <w:t xml:space="preserve">93 FERC ¶ 61,294 </w:t>
            </w:r>
            <w:r>
              <w:rPr>
                <w:color w:val="000000"/>
              </w:rPr>
              <w:t>showing how SONGS, QFs, PNM, PGE and bilateral contracts will be scheduled to serve load directly rather than selling those resources into the PX or ISO.  This will reduce the amount of energy purchases from the PX to serve load as of 12/29/00.</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FERC Docket No. EL00-95-000.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12/29/00</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color w:val="000000"/>
              </w:rPr>
              <w:t xml:space="preserve">Sempra Energy joined with the CPUC and Governor Davis in supporting SCE’s rehearing of the FERC Order </w:t>
            </w:r>
            <w:r>
              <w:rPr/>
              <w:t>93 FERC ¶ 61,294 dated 12/15/00</w:t>
            </w:r>
            <w:r>
              <w:rPr>
                <w:color w:val="000000"/>
              </w:rPr>
              <w:t>, as well as, the appeal filed with the D.C. Circuit Court of Appeals to force FERC to apply cost-based rates.</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FERC Docket No. ER00-95-000</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01/02/01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Appeals Court denied the SCE, CPUC and SDG&amp;E request for cost-based rates.</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Court of Appeals Decision dated</w:t>
            </w:r>
          </w:p>
          <w:p>
            <w:pPr>
              <w:pStyle w:val="Normal"/>
              <w:tabs>
                <w:tab w:val="clear" w:pos="720"/>
                <w:tab w:val="left" w:pos="7200" w:leader="none"/>
                <w:tab w:val="left" w:pos="9360" w:leader="none"/>
              </w:tabs>
              <w:rPr/>
            </w:pPr>
            <w:r>
              <w:rPr/>
              <w:t>01/05/01</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SDG&amp;E filed comments in response to D.</w:t>
            </w:r>
            <w:r>
              <w:rPr/>
              <w:t>00-12-065 proposing prudency standards for forward electricity contracts to mitigate the high cost of energy from the CA Power Exchange.</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sz w:val="20"/>
              </w:rPr>
            </w:pPr>
            <w:r>
              <w:rPr/>
              <w:t>R.94-04-031</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01/08/01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pPr>
            <w:r>
              <w:rPr/>
              <w:t>(pending)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color w:val="000000"/>
              </w:rPr>
              <w:t xml:space="preserve">In compliance with FERC RMR Order 93 FERC </w:t>
            </w:r>
            <w:r>
              <w:rPr/>
              <w:t>¶</w:t>
            </w:r>
            <w:r>
              <w:rPr>
                <w:color w:val="000000"/>
              </w:rPr>
              <w:t xml:space="preserve"> 61,333, SDG&amp;E filed an advice letter with the CPUC to seek approval to transfer the $19 million RMR refund to the TCBA.  SDG&amp;E proposed that 60% of the refund would go to the Energy Rate Ceiling Revenue Shortfall Account and 40% would be applied to the portion of the TCBA allocated to customers above 100 kW not under the AB 265 rate cap.</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Advice Ltr. 1284-E</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01/09/01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(pending)</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(pending)</w:t>
            </w:r>
          </w:p>
        </w:tc>
      </w:tr>
      <w:tr>
        <w:trPr/>
        <w:tc>
          <w:tcPr>
            <w:tcW w:w="468" w:type="dxa"/>
            <w:tcBorders>
              <w:top w:val="single" w:sz="4" w:space="0" w:color="000000"/>
              <w:start w:val="single" w:sz="4" w:space="0" w:color="000000"/>
              <w:bottom w:val="single" w:sz="4" w:space="0" w:color="000000"/>
              <w:end w:val="single" w:sz="4" w:space="0" w:color="000000"/>
            </w:tcBorders>
          </w:tcPr>
          <w:p>
            <w:pPr>
              <w:pStyle w:val="Normal"/>
              <w:numPr>
                <w:ilvl w:val="0"/>
                <w:numId w:val="1"/>
              </w:numPr>
              <w:tabs>
                <w:tab w:val="clear" w:pos="720"/>
                <w:tab w:val="left" w:pos="7200" w:leader="none"/>
                <w:tab w:val="left" w:pos="9360" w:leader="none"/>
              </w:tabs>
              <w:snapToGrid w:val="false"/>
              <w:jc w:val="both"/>
              <w:rPr>
                <w:sz w:val="20"/>
              </w:rPr>
            </w:pPr>
            <w:r>
              <w:rPr>
                <w:color w:val="000000"/>
                <w:sz w:val="20"/>
              </w:rPr>
            </w:r>
          </w:p>
        </w:tc>
        <w:tc>
          <w:tcPr>
            <w:tcW w:w="40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color w:val="000000"/>
              </w:rPr>
            </w:pPr>
            <w:r>
              <w:rPr>
                <w:color w:val="000000"/>
              </w:rPr>
              <w:t>SDG&amp;E and Sempra Energy have pursued and are pursuing both state and federal legislative remedies to the California energy crisis.</w:t>
            </w:r>
          </w:p>
        </w:tc>
        <w:tc>
          <w:tcPr>
            <w:tcW w:w="21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jc w:val="both"/>
              <w:rPr/>
            </w:pPr>
            <w:r>
              <w:rPr/>
              <w:t>AB 1X</w:t>
            </w:r>
          </w:p>
          <w:p>
            <w:pPr>
              <w:pStyle w:val="Normal"/>
              <w:tabs>
                <w:tab w:val="clear" w:pos="720"/>
                <w:tab w:val="left" w:pos="7200" w:leader="none"/>
                <w:tab w:val="left" w:pos="9360" w:leader="none"/>
              </w:tabs>
              <w:jc w:val="both"/>
              <w:rPr/>
            </w:pPr>
            <w:r>
              <w:rPr/>
              <w:t>AB 2X</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01/04/01</w:t>
            </w:r>
          </w:p>
          <w:p>
            <w:pPr>
              <w:pStyle w:val="Normal"/>
              <w:tabs>
                <w:tab w:val="clear" w:pos="720"/>
                <w:tab w:val="left" w:pos="7200" w:leader="none"/>
                <w:tab w:val="left" w:pos="9360" w:leader="none"/>
              </w:tabs>
              <w:rPr>
                <w:color w:val="000000"/>
              </w:rPr>
            </w:pPr>
            <w:r>
              <w:rPr>
                <w:color w:val="000000"/>
              </w:rPr>
              <w:t>01/17/01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(pending)</w:t>
            </w:r>
          </w:p>
        </w:tc>
        <w:tc>
          <w:tcPr>
            <w:tcW w:w="171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0" w:leader="none"/>
                <w:tab w:val="left" w:pos="9360" w:leader="none"/>
              </w:tabs>
              <w:rPr>
                <w:color w:val="000000"/>
              </w:rPr>
            </w:pPr>
            <w:r>
              <w:rPr>
                <w:color w:val="000000"/>
              </w:rPr>
              <w:t>(pending)</w:t>
            </w:r>
          </w:p>
        </w:tc>
      </w:tr>
    </w:tbl>
    <w:p>
      <w:pPr>
        <w:pStyle w:val="Normal"/>
        <w:rPr/>
      </w:pPr>
      <w:r>
        <w:rPr/>
      </w:r>
    </w:p>
    <w:p>
      <w:pPr>
        <w:pStyle w:val="Normal"/>
        <w:rPr/>
      </w:pPr>
      <w:r>
        <w:rPr/>
      </w:r>
    </w:p>
    <w:p>
      <w:pPr>
        <w:pStyle w:val="Normal"/>
        <w:rPr/>
      </w:pPr>
      <w:r>
        <w:rPr/>
      </w:r>
    </w:p>
    <w:p>
      <w:pPr>
        <w:pStyle w:val="Normal"/>
        <w:rPr/>
      </w:pPr>
      <w:r>
        <w:rPr/>
      </w:r>
    </w:p>
    <w:sectPr>
      <w:type w:val="continuous"/>
      <w:pgSz w:w="12240" w:h="15840"/>
      <w:pgMar w:left="720" w:right="720" w:gutter="0" w:header="0" w:top="576" w:footer="432" w:bottom="72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10800" w:leader="none"/>
      </w:tabs>
      <w:rPr/>
    </w:pPr>
    <w:r>
      <w:rPr/>
      <w:tab/>
      <w:t>Revised 1/18/01</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67.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435"/>
        </w:tabs>
        <w:ind w:start="435" w:hanging="375"/>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style>
  <w:style w:type="character" w:styleId="WW8Num12z0">
    <w:name w:val="WW8Num12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FF"/>
      <w:sz w:val="24"/>
    </w:rPr>
  </w:style>
  <w:style w:type="paragraph" w:styleId="TITLE">
    <w:name w:val="TITLE"/>
    <w:basedOn w:val="Normal"/>
    <w:qFormat/>
    <w:pPr>
      <w:jc w:val="center"/>
    </w:pPr>
    <w:rPr>
      <w:b/>
      <w:sz w:val="28"/>
    </w:rPr>
  </w:style>
  <w:style w:type="paragraph" w:styleId="TITLEbox">
    <w:name w:val="TITLE box"/>
    <w:basedOn w:val="Normal"/>
    <w:qFormat/>
    <w:pPr>
      <w:pBdr>
        <w:top w:val="double" w:sz="4" w:space="1" w:color="000000"/>
        <w:left w:val="double" w:sz="4" w:space="2" w:color="000000"/>
        <w:bottom w:val="double" w:sz="4" w:space="1" w:color="000000"/>
        <w:right w:val="double" w:sz="4" w:space="2" w:color="000000"/>
      </w:pBdr>
      <w:shd w:fill="000000" w:val="clear"/>
      <w:spacing w:before="0" w:after="120"/>
      <w:ind w:hanging="0" w:start="3870" w:end="3780"/>
      <w:jc w:val="center"/>
    </w:pPr>
    <w:rPr>
      <w:b/>
      <w:sz w:val="28"/>
    </w:rPr>
  </w:style>
  <w:style w:type="paragraph" w:styleId="TITLEdate">
    <w:name w:val="TITLE date"/>
    <w:basedOn w:val="Normal"/>
    <w:qFormat/>
    <w:pPr>
      <w:jc w:val="center"/>
    </w:pPr>
    <w:rPr>
      <w:i/>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2001-01-24T21:50:00Z</dcterms:created>
  <dc:creator>SDGE</dc:creator>
  <dc:description/>
  <dc:language>en-CA</dc:language>
  <cp:lastModifiedBy>SEMPRA</cp:lastModifiedBy>
  <cp:lastPrinted>2001-01-23T16:33:00Z</cp:lastPrinted>
  <dcterms:modified xsi:type="dcterms:W3CDTF">2001-01-24T21:50:00Z</dcterms:modified>
  <cp:revision>2</cp:revision>
  <dc:subject/>
  <dc:title>REDUCING THE COST OF ENEGY IN SAN DIEGO</dc:title>
</cp:coreProperties>
</file>