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Reductions in Washington, DC 2001 Budget</w:t>
      </w:r>
    </w:p>
    <w:p>
      <w:pPr>
        <w:pStyle w:val="Normal"/>
        <w:rPr/>
      </w:pPr>
      <w:r>
        <w:rPr/>
      </w:r>
    </w:p>
    <w:p>
      <w:pPr>
        <w:pStyle w:val="Subtitle"/>
        <w:rPr/>
      </w:pPr>
      <w:r>
        <w:rPr/>
        <w:t>Memberships</w:t>
      </w:r>
    </w:p>
    <w:p>
      <w:pPr>
        <w:pStyle w:val="Normal"/>
        <w:rPr/>
      </w:pPr>
      <w:r>
        <w:rPr/>
      </w:r>
    </w:p>
    <w:tbl>
      <w:tblPr>
        <w:tblW w:w="8388" w:type="dxa"/>
        <w:jc w:val="start"/>
        <w:tblInd w:w="0" w:type="dxa"/>
        <w:tblLayout w:type="fixed"/>
        <w:tblCellMar>
          <w:top w:w="0" w:type="dxa"/>
          <w:start w:w="108" w:type="dxa"/>
          <w:bottom w:w="0" w:type="dxa"/>
          <w:end w:w="108" w:type="dxa"/>
        </w:tblCellMar>
      </w:tblPr>
      <w:tblGrid>
        <w:gridCol w:w="4428"/>
        <w:gridCol w:w="1440"/>
        <w:gridCol w:w="1260"/>
        <w:gridCol w:w="1260"/>
      </w:tblGrid>
      <w:tr>
        <w:trPr/>
        <w:tc>
          <w:tcPr>
            <w:tcW w:w="442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Organization</w:t>
            </w:r>
          </w:p>
        </w:tc>
        <w:tc>
          <w:tcPr>
            <w:tcW w:w="144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Budgeted</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jc w:val="center"/>
              <w:rPr/>
            </w:pPr>
            <w:r>
              <w:rPr/>
              <w:t>Actual</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Savings</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Independent Petroleum Association of America (IPAA)</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1,000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350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750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Internet Education Foundation</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10,000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5,000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5,000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Public Affairs Council (pd by Ken Lay)</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3,000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Asia Society</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1,500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1,500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European American Business Council</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5,000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5,000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InterAmerican Federation</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2,500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2,500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US Council for International Business</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4,800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4,800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American Enterprise Institute for Public Policy (pd by Ken Lay)</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30,000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30,000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snapToGrid w:val="false"/>
              <w:rPr>
                <w:b/>
                <w:bCs/>
              </w:rPr>
            </w:pPr>
            <w:r>
              <w:rPr>
                <w:b/>
                <w:bCs/>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b/>
                <w:bCs/>
              </w:rPr>
            </w:pPr>
            <w:r>
              <w:rPr>
                <w:b/>
                <w:bCs/>
              </w:rPr>
              <w:t>Savings in Membership</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52,550</w:t>
            </w:r>
          </w:p>
        </w:tc>
      </w:tr>
    </w:tbl>
    <w:p>
      <w:pPr>
        <w:pStyle w:val="Normal"/>
        <w:rPr/>
      </w:pPr>
      <w:r>
        <w:rPr/>
      </w:r>
    </w:p>
    <w:p>
      <w:pPr>
        <w:pStyle w:val="Heading3"/>
        <w:ind w:hanging="0" w:start="0"/>
        <w:rPr/>
      </w:pPr>
      <w:r>
        <w:rPr/>
        <w:t>Fixed Outside Services</w:t>
      </w:r>
    </w:p>
    <w:p>
      <w:pPr>
        <w:pStyle w:val="Normal"/>
        <w:rPr/>
      </w:pPr>
      <w:r>
        <w:rPr/>
      </w:r>
    </w:p>
    <w:tbl>
      <w:tblPr>
        <w:tblW w:w="8748" w:type="dxa"/>
        <w:jc w:val="start"/>
        <w:tblInd w:w="0" w:type="dxa"/>
        <w:tblLayout w:type="fixed"/>
        <w:tblCellMar>
          <w:top w:w="0" w:type="dxa"/>
          <w:start w:w="108" w:type="dxa"/>
          <w:bottom w:w="0" w:type="dxa"/>
          <w:end w:w="108" w:type="dxa"/>
        </w:tblCellMar>
      </w:tblPr>
      <w:tblGrid>
        <w:gridCol w:w="4428"/>
        <w:gridCol w:w="1440"/>
        <w:gridCol w:w="1620"/>
        <w:gridCol w:w="1260"/>
      </w:tblGrid>
      <w:tr>
        <w:trPr/>
        <w:tc>
          <w:tcPr>
            <w:tcW w:w="442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Outside Services</w:t>
            </w:r>
          </w:p>
        </w:tc>
        <w:tc>
          <w:tcPr>
            <w:tcW w:w="144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Budgeted</w:t>
            </w:r>
          </w:p>
        </w:tc>
        <w:tc>
          <w:tcPr>
            <w:tcW w:w="162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jc w:val="center"/>
              <w:rPr/>
            </w:pPr>
            <w:r>
              <w:rPr/>
              <w:t>Actual</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Savings</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Johnston Associates</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90,000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24,000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66,000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Bob Moss</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48,000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32,000</w:t>
            </w:r>
          </w:p>
          <w:p>
            <w:pPr>
              <w:pStyle w:val="Normal"/>
              <w:jc w:val="end"/>
              <w:rPr/>
            </w:pPr>
            <w:r>
              <w:rPr/>
              <w:t>(Jan – April)</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16,000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Philip Hughes</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48,000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16,000</w:t>
            </w:r>
          </w:p>
          <w:p>
            <w:pPr>
              <w:pStyle w:val="Normal"/>
              <w:jc w:val="end"/>
              <w:rPr/>
            </w:pPr>
            <w:r>
              <w:rPr/>
              <w:t>(Jan – April)</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32,000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Akin Gump (electricity)</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275,000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275,000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McLarty &amp; Associates</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24,000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24,000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snapToGrid w:val="false"/>
              <w:rPr>
                <w:b/>
                <w:bCs/>
              </w:rPr>
            </w:pPr>
            <w:r>
              <w:rPr>
                <w:b/>
                <w:bCs/>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62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b/>
                <w:bCs/>
              </w:rPr>
            </w:pPr>
            <w:r>
              <w:rPr>
                <w:b/>
                <w:bCs/>
              </w:rPr>
              <w:t>Savings in Fixed Outside Services</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62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413,000</w:t>
            </w:r>
          </w:p>
        </w:tc>
      </w:tr>
    </w:tbl>
    <w:p>
      <w:pPr>
        <w:pStyle w:val="Normal"/>
        <w:rPr/>
      </w:pPr>
      <w:r>
        <w:rPr/>
      </w:r>
      <w:r>
        <w:br w:type="page"/>
      </w:r>
    </w:p>
    <w:p>
      <w:pPr>
        <w:pStyle w:val="Normal"/>
        <w:rPr>
          <w:b/>
          <w:bCs/>
          <w:sz w:val="28"/>
        </w:rPr>
      </w:pPr>
      <w:r>
        <w:rPr>
          <w:b/>
          <w:bCs/>
          <w:sz w:val="28"/>
        </w:rPr>
        <w:t>Travel and Other Expenses</w:t>
      </w:r>
    </w:p>
    <w:p>
      <w:pPr>
        <w:pStyle w:val="Normal"/>
        <w:rPr>
          <w:b/>
          <w:bCs/>
          <w:sz w:val="28"/>
        </w:rPr>
      </w:pPr>
      <w:r>
        <w:rPr>
          <w:b/>
          <w:bCs/>
          <w:sz w:val="28"/>
        </w:rPr>
      </w:r>
    </w:p>
    <w:p>
      <w:pPr>
        <w:pStyle w:val="Normal"/>
        <w:rPr/>
      </w:pPr>
      <w:r>
        <w:rPr/>
        <w:t>Joe Hartsoe and Steve Walton’s travel will no longer be charged to your company/gl account.  Other reductions can be found in employee travel by using Travel Agency in the Park along with traveling out of BWI, purchasing advance fares, use group discounts when people are traveling together.</w:t>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4428"/>
        <w:gridCol w:w="1440"/>
        <w:gridCol w:w="1440"/>
        <w:gridCol w:w="1260"/>
      </w:tblGrid>
      <w:tr>
        <w:trPr/>
        <w:tc>
          <w:tcPr>
            <w:tcW w:w="442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Expense</w:t>
            </w:r>
          </w:p>
        </w:tc>
        <w:tc>
          <w:tcPr>
            <w:tcW w:w="144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Budgeted</w:t>
            </w:r>
          </w:p>
        </w:tc>
        <w:tc>
          <w:tcPr>
            <w:tcW w:w="144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jc w:val="center"/>
              <w:rPr/>
            </w:pPr>
            <w:r>
              <w:rPr/>
              <w:t>Actual</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Savings</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Client Meals &amp; Entertainment (Robertson)</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231,600</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191,6000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30,000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Travel &amp; Lodging (Robertson)</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658,200</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598,200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50,000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Client Meals &amp; Entertainment (Hardy)</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Travel &amp; Lodging (Hardy)</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15,000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Subscriptions</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snapToGrid w:val="false"/>
              <w:rPr>
                <w:b/>
                <w:bCs/>
              </w:rPr>
            </w:pPr>
            <w:r>
              <w:rPr>
                <w:b/>
                <w:bCs/>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b/>
                <w:bCs/>
              </w:rPr>
            </w:pPr>
            <w:r>
              <w:rPr>
                <w:b/>
                <w:bCs/>
              </w:rPr>
              <w:t>Savings in Travel Expense</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100,000</w:t>
            </w:r>
          </w:p>
        </w:tc>
      </w:tr>
    </w:tbl>
    <w:p>
      <w:pPr>
        <w:pStyle w:val="Normal"/>
        <w:rPr/>
      </w:pPr>
      <w:r>
        <w:rPr/>
      </w:r>
    </w:p>
    <w:p>
      <w:pPr>
        <w:pStyle w:val="Normal"/>
        <w:rPr/>
      </w:pPr>
      <w:r>
        <w:rPr/>
      </w:r>
    </w:p>
    <w:p>
      <w:pPr>
        <w:pStyle w:val="Heading2"/>
        <w:ind w:hanging="0" w:start="0"/>
        <w:rPr>
          <w:sz w:val="28"/>
        </w:rPr>
      </w:pPr>
      <w:r>
        <w:rPr>
          <w:sz w:val="28"/>
        </w:rPr>
        <w:t>Total Cost Savings</w:t>
        <w:tab/>
        <w:tab/>
        <w:tab/>
        <w:tab/>
        <w:tab/>
        <w:tab/>
        <w:tab/>
        <w:t>$565,550</w:t>
      </w:r>
    </w:p>
    <w:p>
      <w:pPr>
        <w:pStyle w:val="Normal"/>
        <w:rPr>
          <w:b/>
          <w:bCs/>
          <w:sz w:val="28"/>
        </w:rPr>
      </w:pPr>
      <w:r>
        <w:rPr>
          <w:b/>
          <w:bCs/>
          <w:sz w:val="28"/>
        </w:rPr>
      </w:r>
    </w:p>
    <w:p>
      <w:pPr>
        <w:pStyle w:val="Heading3"/>
        <w:ind w:hanging="0" w:start="0"/>
        <w:rPr/>
      </w:pPr>
      <w:r>
        <w:rPr/>
        <w:t>NERC Costs</w:t>
      </w:r>
    </w:p>
    <w:p>
      <w:pPr>
        <w:pStyle w:val="Normal"/>
        <w:rPr>
          <w:b/>
          <w:bCs/>
        </w:rPr>
      </w:pPr>
      <w:r>
        <w:rPr>
          <w:b/>
          <w:bCs/>
        </w:rPr>
      </w:r>
    </w:p>
    <w:tbl>
      <w:tblPr>
        <w:tblW w:w="6588" w:type="dxa"/>
        <w:jc w:val="start"/>
        <w:tblInd w:w="0" w:type="dxa"/>
        <w:tblLayout w:type="fixed"/>
        <w:tblCellMar>
          <w:top w:w="0" w:type="dxa"/>
          <w:start w:w="108" w:type="dxa"/>
          <w:bottom w:w="0" w:type="dxa"/>
          <w:end w:w="108" w:type="dxa"/>
        </w:tblCellMar>
      </w:tblPr>
      <w:tblGrid>
        <w:gridCol w:w="4428"/>
        <w:gridCol w:w="2160"/>
      </w:tblGrid>
      <w:tr>
        <w:trPr/>
        <w:tc>
          <w:tcPr>
            <w:tcW w:w="442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NERC Travel Expenses</w:t>
            </w:r>
          </w:p>
        </w:tc>
        <w:tc>
          <w:tcPr>
            <w:tcW w:w="21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Budgeted</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Richard Ingersoll Travel to NERC mtgs</w:t>
            </w:r>
          </w:p>
          <w:p>
            <w:pPr>
              <w:pStyle w:val="Normal"/>
              <w:rPr/>
            </w:pPr>
            <w:r>
              <w:rPr/>
              <w:t>($8,000 per month, May – December)</w:t>
            </w:r>
          </w:p>
        </w:tc>
        <w:tc>
          <w:tcPr>
            <w:tcW w:w="2160" w:type="dxa"/>
            <w:tcBorders>
              <w:top w:val="single" w:sz="6" w:space="0" w:color="000080"/>
              <w:start w:val="single" w:sz="6" w:space="0" w:color="000080"/>
              <w:bottom w:val="single" w:sz="6" w:space="0" w:color="000080"/>
              <w:end w:val="single" w:sz="6" w:space="0" w:color="000080"/>
            </w:tcBorders>
          </w:tcPr>
          <w:p>
            <w:pPr>
              <w:pStyle w:val="Normal"/>
              <w:jc w:val="end"/>
              <w:rPr/>
            </w:pPr>
            <w:r>
              <w:rPr/>
              <w:t>64,000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pPr>
            <w:r>
              <w:rPr/>
              <w:t>Charles Yueng Travel to NERC mtgs</w:t>
            </w:r>
          </w:p>
          <w:p>
            <w:pPr>
              <w:pStyle w:val="Normal"/>
              <w:rPr/>
            </w:pPr>
            <w:r>
              <w:rPr/>
              <w:t>($6,000 per month, May – December)</w:t>
            </w:r>
          </w:p>
        </w:tc>
        <w:tc>
          <w:tcPr>
            <w:tcW w:w="2160" w:type="dxa"/>
            <w:tcBorders>
              <w:top w:val="single" w:sz="6" w:space="0" w:color="000080"/>
              <w:start w:val="single" w:sz="6" w:space="0" w:color="000080"/>
              <w:bottom w:val="single" w:sz="6" w:space="0" w:color="000080"/>
              <w:end w:val="single" w:sz="6" w:space="0" w:color="000080"/>
            </w:tcBorders>
          </w:tcPr>
          <w:p>
            <w:pPr>
              <w:pStyle w:val="Normal"/>
              <w:jc w:val="end"/>
              <w:rPr/>
            </w:pPr>
            <w:r>
              <w:rPr/>
              <w:t>48,000</w:t>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c>
          <w:tcPr>
            <w:tcW w:w="21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r>
      <w:tr>
        <w:trPr/>
        <w:tc>
          <w:tcPr>
            <w:tcW w:w="4428" w:type="dxa"/>
            <w:tcBorders>
              <w:top w:val="single" w:sz="6" w:space="0" w:color="000080"/>
              <w:start w:val="single" w:sz="6" w:space="0" w:color="000080"/>
              <w:bottom w:val="single" w:sz="6" w:space="0" w:color="000080"/>
              <w:end w:val="single" w:sz="6" w:space="0" w:color="000080"/>
            </w:tcBorders>
          </w:tcPr>
          <w:p>
            <w:pPr>
              <w:pStyle w:val="Normal"/>
              <w:rPr>
                <w:b/>
                <w:bCs/>
              </w:rPr>
            </w:pPr>
            <w:r>
              <w:rPr>
                <w:b/>
                <w:bCs/>
              </w:rPr>
              <w:t>NERC Costs Moved to Steffes</w:t>
            </w:r>
          </w:p>
        </w:tc>
        <w:tc>
          <w:tcPr>
            <w:tcW w:w="216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112,000</w:t>
            </w:r>
          </w:p>
        </w:tc>
      </w:tr>
    </w:tbl>
    <w:p>
      <w:pPr>
        <w:pStyle w:val="Normal"/>
        <w:rPr/>
      </w:pPr>
      <w:r>
        <w:rPr/>
      </w:r>
    </w:p>
    <w:p>
      <w:pPr>
        <w:pStyle w:val="Normal"/>
        <w:rPr/>
      </w:pPr>
      <w:r>
        <w:rPr/>
        <w:t>NERC membership costs are budgeted by Jim Steffes.  We propose to have Richard Ingersoll and Charles Yueng’s travel move from our budget to Jim Steffes budget.</w:t>
      </w:r>
    </w:p>
    <w:p>
      <w:pPr>
        <w:pStyle w:val="Normal"/>
        <w:rPr>
          <w:b/>
          <w:bCs/>
          <w:sz w:val="28"/>
        </w:rPr>
      </w:pPr>
      <w:r>
        <w:rPr>
          <w:b/>
          <w:bCs/>
          <w:sz w:val="28"/>
        </w:rPr>
      </w:r>
      <w:r>
        <w:br w:type="page"/>
      </w:r>
    </w:p>
    <w:p>
      <w:pPr>
        <w:pStyle w:val="Normal"/>
        <w:rPr>
          <w:b/>
          <w:bCs/>
        </w:rPr>
      </w:pPr>
      <w:r>
        <w:rPr>
          <w:b/>
          <w:bCs/>
          <w:sz w:val="28"/>
        </w:rPr>
        <w:t>RCR Budget/Outside Services</w:t>
      </w:r>
    </w:p>
    <w:p>
      <w:pPr>
        <w:pStyle w:val="Normal"/>
        <w:rPr>
          <w:b/>
          <w:bCs/>
        </w:rPr>
      </w:pPr>
      <w:r>
        <w:rPr>
          <w:b/>
          <w:bCs/>
        </w:rPr>
      </w:r>
    </w:p>
    <w:p>
      <w:pPr>
        <w:pStyle w:val="Normal"/>
        <w:rPr/>
      </w:pPr>
      <w:r>
        <w:rPr/>
        <w:t>We will be charged with the retainers for Bracewell &amp; Patterson for Govern Racicot and Quinn and Gillespie for a total of $1,208,000 for the year.  We are also being charged with the total cost of the Washington Redskins Suite this year for a cost of $163,000.  Total cost of items not budget in 2000 for 2001 are $1,371,000.</w:t>
      </w:r>
    </w:p>
    <w:p>
      <w:pPr>
        <w:pStyle w:val="Normal"/>
        <w:rPr/>
      </w:pPr>
      <w:r>
        <w:rPr/>
      </w:r>
    </w:p>
    <w:tbl>
      <w:tblPr>
        <w:tblW w:w="7668" w:type="dxa"/>
        <w:jc w:val="start"/>
        <w:tblInd w:w="0" w:type="dxa"/>
        <w:tblLayout w:type="fixed"/>
        <w:tblCellMar>
          <w:top w:w="0" w:type="dxa"/>
          <w:start w:w="108" w:type="dxa"/>
          <w:bottom w:w="0" w:type="dxa"/>
          <w:end w:w="108" w:type="dxa"/>
        </w:tblCellMar>
      </w:tblPr>
      <w:tblGrid>
        <w:gridCol w:w="2988"/>
        <w:gridCol w:w="1440"/>
        <w:gridCol w:w="1620"/>
        <w:gridCol w:w="1620"/>
      </w:tblGrid>
      <w:tr>
        <w:trPr/>
        <w:tc>
          <w:tcPr>
            <w:tcW w:w="298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Cost Center</w:t>
            </w:r>
          </w:p>
        </w:tc>
        <w:tc>
          <w:tcPr>
            <w:tcW w:w="144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Budgeted</w:t>
            </w:r>
          </w:p>
        </w:tc>
        <w:tc>
          <w:tcPr>
            <w:tcW w:w="162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jc w:val="center"/>
              <w:rPr/>
            </w:pPr>
            <w:r>
              <w:rPr/>
              <w:t>Actual</w:t>
            </w:r>
          </w:p>
        </w:tc>
        <w:tc>
          <w:tcPr>
            <w:tcW w:w="162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Available</w:t>
            </w:r>
          </w:p>
        </w:tc>
      </w:tr>
      <w:tr>
        <w:trPr/>
        <w:tc>
          <w:tcPr>
            <w:tcW w:w="2988" w:type="dxa"/>
            <w:tcBorders>
              <w:top w:val="single" w:sz="6" w:space="0" w:color="000080"/>
              <w:start w:val="single" w:sz="6" w:space="0" w:color="000080"/>
              <w:bottom w:val="single" w:sz="6" w:space="0" w:color="000080"/>
              <w:end w:val="single" w:sz="6" w:space="0" w:color="000080"/>
            </w:tcBorders>
          </w:tcPr>
          <w:p>
            <w:pPr>
              <w:pStyle w:val="Normal"/>
              <w:rPr/>
            </w:pPr>
            <w:r>
              <w:rPr/>
              <w:t>Robertson</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1,140,000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374,000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766,000</w:t>
            </w:r>
          </w:p>
        </w:tc>
      </w:tr>
      <w:tr>
        <w:trPr/>
        <w:tc>
          <w:tcPr>
            <w:tcW w:w="2988" w:type="dxa"/>
            <w:tcBorders>
              <w:top w:val="single" w:sz="6" w:space="0" w:color="000080"/>
              <w:start w:val="single" w:sz="6" w:space="0" w:color="000080"/>
              <w:bottom w:val="single" w:sz="6" w:space="0" w:color="000080"/>
              <w:end w:val="single" w:sz="6" w:space="0" w:color="000080"/>
            </w:tcBorders>
          </w:tcPr>
          <w:p>
            <w:pPr>
              <w:pStyle w:val="Normal"/>
              <w:rPr/>
            </w:pPr>
            <w:r>
              <w:rPr/>
              <w:t>Bracewell &amp; Patterson (Racicot, $50,000 per month February – December, we propose to continue retainer only through July 31 2001)</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525,000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275,000</w:t>
            </w:r>
          </w:p>
        </w:tc>
      </w:tr>
      <w:tr>
        <w:trPr/>
        <w:tc>
          <w:tcPr>
            <w:tcW w:w="2988" w:type="dxa"/>
            <w:tcBorders>
              <w:top w:val="single" w:sz="6" w:space="0" w:color="000080"/>
              <w:start w:val="single" w:sz="6" w:space="0" w:color="000080"/>
              <w:bottom w:val="single" w:sz="6" w:space="0" w:color="000080"/>
              <w:end w:val="single" w:sz="6" w:space="0" w:color="000080"/>
            </w:tcBorders>
          </w:tcPr>
          <w:p>
            <w:pPr>
              <w:pStyle w:val="Normal"/>
              <w:rPr/>
            </w:pPr>
            <w:r>
              <w:rPr/>
              <w:t>Quinn Gillespie ($60,000 per month, except April – July for $86,000)</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824,000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r>
      <w:tr>
        <w:trPr/>
        <w:tc>
          <w:tcPr>
            <w:tcW w:w="2988" w:type="dxa"/>
            <w:tcBorders>
              <w:top w:val="single" w:sz="6" w:space="0" w:color="000080"/>
              <w:start w:val="single" w:sz="6" w:space="0" w:color="000080"/>
              <w:bottom w:val="single" w:sz="6" w:space="0" w:color="000080"/>
              <w:end w:val="single" w:sz="6" w:space="0" w:color="000080"/>
            </w:tcBorders>
          </w:tcPr>
          <w:p>
            <w:pPr>
              <w:pStyle w:val="Normal"/>
              <w:rPr/>
            </w:pPr>
            <w:r>
              <w:rPr/>
              <w:t>Washington Redskins</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163,000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pPr>
            <w:r>
              <w:rPr/>
              <w:t>0</w:t>
            </w:r>
          </w:p>
        </w:tc>
      </w:tr>
      <w:tr>
        <w:trPr/>
        <w:tc>
          <w:tcPr>
            <w:tcW w:w="29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c>
          <w:tcPr>
            <w:tcW w:w="162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62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r>
      <w:tr>
        <w:trPr/>
        <w:tc>
          <w:tcPr>
            <w:tcW w:w="2988" w:type="dxa"/>
            <w:tcBorders>
              <w:top w:val="single" w:sz="6" w:space="0" w:color="000080"/>
              <w:start w:val="single" w:sz="6" w:space="0" w:color="000080"/>
              <w:bottom w:val="single" w:sz="6" w:space="0" w:color="000080"/>
              <w:end w:val="single" w:sz="6" w:space="0" w:color="000080"/>
            </w:tcBorders>
          </w:tcPr>
          <w:p>
            <w:pPr>
              <w:pStyle w:val="Heading2"/>
              <w:ind w:hanging="0" w:start="0"/>
              <w:rPr/>
            </w:pPr>
            <w:r>
              <w:rPr/>
              <w:t>Total</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1,140,000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1,886,000</w:t>
            </w:r>
          </w:p>
        </w:tc>
        <w:tc>
          <w:tcPr>
            <w:tcW w:w="162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(746,000)</w:t>
            </w:r>
          </w:p>
        </w:tc>
      </w:tr>
    </w:tbl>
    <w:p>
      <w:pPr>
        <w:pStyle w:val="Normal"/>
        <w:rPr>
          <w:b/>
          <w:bCs/>
        </w:rPr>
      </w:pPr>
      <w:r>
        <w:rPr>
          <w:b/>
          <w:bCs/>
        </w:rPr>
      </w:r>
    </w:p>
    <w:p>
      <w:pPr>
        <w:pStyle w:val="Heading2"/>
        <w:ind w:hanging="0" w:start="0"/>
        <w:rPr>
          <w:sz w:val="28"/>
        </w:rPr>
      </w:pPr>
      <w:r>
        <w:rPr>
          <w:sz w:val="28"/>
        </w:rPr>
        <w:t>Conventions/Inauguration Budget</w:t>
      </w:r>
    </w:p>
    <w:p>
      <w:pPr>
        <w:pStyle w:val="Normal"/>
        <w:rPr>
          <w:b/>
          <w:bCs/>
          <w:sz w:val="28"/>
        </w:rPr>
      </w:pPr>
      <w:r>
        <w:rPr>
          <w:b/>
          <w:bCs/>
          <w:sz w:val="28"/>
        </w:rPr>
      </w:r>
    </w:p>
    <w:tbl>
      <w:tblPr>
        <w:tblW w:w="8568" w:type="dxa"/>
        <w:jc w:val="start"/>
        <w:tblInd w:w="0" w:type="dxa"/>
        <w:tblLayout w:type="fixed"/>
        <w:tblCellMar>
          <w:top w:w="0" w:type="dxa"/>
          <w:start w:w="108" w:type="dxa"/>
          <w:bottom w:w="0" w:type="dxa"/>
          <w:end w:w="108" w:type="dxa"/>
        </w:tblCellMar>
      </w:tblPr>
      <w:tblGrid>
        <w:gridCol w:w="4608"/>
        <w:gridCol w:w="1440"/>
        <w:gridCol w:w="1260"/>
        <w:gridCol w:w="1260"/>
      </w:tblGrid>
      <w:tr>
        <w:trPr/>
        <w:tc>
          <w:tcPr>
            <w:tcW w:w="460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Items</w:t>
            </w:r>
          </w:p>
        </w:tc>
        <w:tc>
          <w:tcPr>
            <w:tcW w:w="144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Budgeted</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jc w:val="center"/>
              <w:rPr/>
            </w:pPr>
            <w:r>
              <w:rPr/>
              <w:t>Actual</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sz w:val="28"/>
              </w:rPr>
            </w:pPr>
            <w:r>
              <w:rPr>
                <w:b/>
                <w:bCs/>
                <w:color w:val="FFFFFF"/>
                <w:sz w:val="28"/>
              </w:rPr>
              <w:t>Savings</w:t>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rPr/>
            </w:pPr>
            <w:r>
              <w:rPr/>
              <w:t>Budget</w:t>
            </w:r>
          </w:p>
        </w:tc>
        <w:tc>
          <w:tcPr>
            <w:tcW w:w="1440" w:type="dxa"/>
            <w:tcBorders>
              <w:top w:val="single" w:sz="6" w:space="0" w:color="000080"/>
              <w:start w:val="single" w:sz="6" w:space="0" w:color="000080"/>
              <w:bottom w:val="single" w:sz="6" w:space="0" w:color="000080"/>
              <w:end w:val="single" w:sz="6" w:space="0" w:color="000080"/>
            </w:tcBorders>
          </w:tcPr>
          <w:p>
            <w:pPr>
              <w:pStyle w:val="Normal"/>
              <w:jc w:val="end"/>
              <w:rPr/>
            </w:pPr>
            <w:r>
              <w:rPr/>
              <w:t>615,000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349,517</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265,482</w:t>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rPr/>
            </w:pPr>
            <w:r>
              <w:rPr/>
              <w:t>Outstanding Items</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rPr/>
            </w:pPr>
            <w:r>
              <w:rPr/>
              <w:t xml:space="preserve">   </w:t>
            </w:r>
            <w:r>
              <w:rPr/>
              <w:t>Bonus for Heidi Kirkpatrick</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20,000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(20,000)</w:t>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rPr/>
            </w:pPr>
            <w:r>
              <w:rPr/>
              <w:t xml:space="preserve">   </w:t>
            </w:r>
            <w:r>
              <w:rPr/>
              <w:t>Retainer and Expenses Remaining (Heidi)</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12,000</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(12,000)</w:t>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rPr/>
            </w:pPr>
            <w:r>
              <w:rPr/>
              <w:t>Hotel and tickets for executives that need to be charged back to executives that attended the Inauguration</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pPr>
            <w:r>
              <w:rPr/>
              <w:t>75,000</w:t>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pPr>
            <w:r>
              <w:rPr/>
            </w:r>
          </w:p>
        </w:tc>
      </w:tr>
      <w:tr>
        <w:trPr/>
        <w:tc>
          <w:tcPr>
            <w:tcW w:w="4608" w:type="dxa"/>
            <w:tcBorders>
              <w:top w:val="single" w:sz="6" w:space="0" w:color="000080"/>
              <w:start w:val="single" w:sz="6" w:space="0" w:color="000080"/>
              <w:bottom w:val="single" w:sz="6" w:space="0" w:color="000080"/>
              <w:end w:val="single" w:sz="6" w:space="0" w:color="000080"/>
            </w:tcBorders>
          </w:tcPr>
          <w:p>
            <w:pPr>
              <w:pStyle w:val="Normal"/>
              <w:rPr>
                <w:b/>
                <w:bCs/>
              </w:rPr>
            </w:pPr>
            <w:r>
              <w:rPr>
                <w:b/>
                <w:bCs/>
              </w:rPr>
              <w:t>Savings in Convention/Inauguration</w:t>
            </w:r>
          </w:p>
        </w:tc>
        <w:tc>
          <w:tcPr>
            <w:tcW w:w="144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snapToGrid w:val="false"/>
              <w:jc w:val="end"/>
              <w:rPr>
                <w:b/>
                <w:bCs/>
              </w:rPr>
            </w:pPr>
            <w:r>
              <w:rPr>
                <w:b/>
                <w:bCs/>
              </w:rPr>
            </w:r>
          </w:p>
        </w:tc>
        <w:tc>
          <w:tcPr>
            <w:tcW w:w="1260" w:type="dxa"/>
            <w:tcBorders>
              <w:top w:val="single" w:sz="6" w:space="0" w:color="000080"/>
              <w:start w:val="single" w:sz="6" w:space="0" w:color="000080"/>
              <w:bottom w:val="single" w:sz="6" w:space="0" w:color="000080"/>
              <w:end w:val="single" w:sz="6" w:space="0" w:color="000080"/>
            </w:tcBorders>
          </w:tcPr>
          <w:p>
            <w:pPr>
              <w:pStyle w:val="Normal"/>
              <w:jc w:val="end"/>
              <w:rPr>
                <w:b/>
                <w:bCs/>
              </w:rPr>
            </w:pPr>
            <w:r>
              <w:rPr>
                <w:b/>
                <w:bCs/>
              </w:rPr>
              <w:t>308,482</w:t>
            </w:r>
          </w:p>
        </w:tc>
      </w:tr>
    </w:tbl>
    <w:p>
      <w:pPr>
        <w:pStyle w:val="Normal"/>
        <w:rPr>
          <w:b/>
          <w:bCs/>
        </w:rPr>
      </w:pPr>
      <w:r>
        <w:rPr>
          <w:b/>
          <w:bCs/>
        </w:rPr>
      </w:r>
    </w:p>
    <w:p>
      <w:pPr>
        <w:pStyle w:val="Normal"/>
        <w:rPr>
          <w:b/>
          <w:bCs/>
        </w:rPr>
      </w:pPr>
      <w:r>
        <w:rPr>
          <w:b/>
          <w:bCs/>
        </w:rPr>
      </w:r>
    </w:p>
    <w:p>
      <w:pPr>
        <w:pStyle w:val="Normal"/>
        <w:rPr>
          <w:b/>
          <w:bCs/>
          <w:sz w:val="28"/>
        </w:rPr>
      </w:pPr>
      <w:r>
        <w:rPr>
          <w:b/>
          <w:bCs/>
          <w:sz w:val="28"/>
        </w:rPr>
        <w:t>Cost Savings</w:t>
        <w:tab/>
        <w:tab/>
        <w:tab/>
        <w:tab/>
        <w:tab/>
        <w:tab/>
        <w:t>$565,550</w:t>
      </w:r>
    </w:p>
    <w:p>
      <w:pPr>
        <w:pStyle w:val="Normal"/>
        <w:rPr>
          <w:b/>
          <w:bCs/>
          <w:sz w:val="28"/>
        </w:rPr>
      </w:pPr>
      <w:r>
        <w:rPr>
          <w:b/>
          <w:bCs/>
          <w:sz w:val="28"/>
        </w:rPr>
        <w:t>Convention/Inauguration Budget Savings</w:t>
        <w:tab/>
        <w:tab/>
        <w:t>$308,482</w:t>
      </w:r>
    </w:p>
    <w:p>
      <w:pPr>
        <w:pStyle w:val="Normal"/>
        <w:rPr>
          <w:b/>
          <w:bCs/>
          <w:sz w:val="28"/>
        </w:rPr>
      </w:pPr>
      <w:r>
        <w:rPr>
          <w:b/>
          <w:bCs/>
          <w:sz w:val="28"/>
        </w:rPr>
        <w:t>NERC Savings</w:t>
        <w:tab/>
        <w:tab/>
        <w:tab/>
        <w:tab/>
        <w:tab/>
        <w:tab/>
        <w:t>$112,000</w:t>
      </w:r>
    </w:p>
    <w:p>
      <w:pPr>
        <w:pStyle w:val="Heading4"/>
        <w:ind w:hanging="0" w:start="0"/>
        <w:rPr/>
      </w:pPr>
      <w:r>
        <w:rPr/>
        <w:t>Total Cost Savings</w:t>
        <w:tab/>
        <w:tab/>
        <w:tab/>
        <w:tab/>
        <w:tab/>
        <w:t>$986,032</w:t>
      </w:r>
    </w:p>
    <w:p>
      <w:pPr>
        <w:pStyle w:val="Normal"/>
        <w:rPr>
          <w:b/>
          <w:bCs/>
          <w:sz w:val="28"/>
        </w:rPr>
      </w:pPr>
      <w:r>
        <w:rPr>
          <w:b/>
          <w:bCs/>
          <w:sz w:val="28"/>
        </w:rPr>
      </w:r>
    </w:p>
    <w:p>
      <w:pPr>
        <w:pStyle w:val="Normal"/>
        <w:rPr>
          <w:b/>
          <w:bCs/>
          <w:sz w:val="28"/>
        </w:rPr>
      </w:pPr>
      <w:r>
        <w:rPr>
          <w:b/>
          <w:bCs/>
          <w:sz w:val="28"/>
        </w:rPr>
        <w:t>Less Outside Services Costs</w:t>
        <w:tab/>
        <w:tab/>
        <w:tab/>
        <w:tab/>
        <w:t>($746,000)</w:t>
      </w:r>
    </w:p>
    <w:p>
      <w:pPr>
        <w:pStyle w:val="Normal"/>
        <w:rPr>
          <w:b/>
          <w:bCs/>
          <w:sz w:val="28"/>
        </w:rPr>
      </w:pPr>
      <w:r>
        <w:rPr>
          <w:b/>
          <w:bCs/>
          <w:sz w:val="28"/>
        </w:rPr>
      </w:r>
    </w:p>
    <w:p>
      <w:pPr>
        <w:pStyle w:val="Normal"/>
        <w:rPr>
          <w:b/>
          <w:bCs/>
          <w:sz w:val="28"/>
        </w:rPr>
      </w:pPr>
      <w:r>
        <w:rPr>
          <w:b/>
          <w:bCs/>
          <w:sz w:val="28"/>
        </w:rPr>
        <w:t>Net savings</w:t>
        <w:tab/>
        <w:tab/>
        <w:tab/>
        <w:tab/>
        <w:tab/>
        <w:tab/>
        <w:tab/>
        <w:t>$240,032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FFFFFF"/>
      <w:sz w:val="2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sz w:val="28"/>
    </w:rPr>
  </w:style>
  <w:style w:type="paragraph" w:styleId="Heading4">
    <w:name w:val="heading 4"/>
    <w:basedOn w:val="Normal"/>
    <w:next w:val="Normal"/>
    <w:qFormat/>
    <w:pPr>
      <w:keepNext w:val="true"/>
      <w:numPr>
        <w:ilvl w:val="3"/>
        <w:numId w:val="1"/>
      </w:numPr>
      <w:outlineLvl w:val="3"/>
    </w:pPr>
    <w:rPr>
      <w:b/>
      <w:bCs/>
      <w:sz w:val="32"/>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2001-04-16T19:10:00Z</dcterms:created>
  <dc:creator>ccooney</dc:creator>
  <dc:description/>
  <dc:language>en-CA</dc:language>
  <cp:lastModifiedBy>ccooney</cp:lastModifiedBy>
  <cp:lastPrinted>2001-04-16T16:18:00Z</cp:lastPrinted>
  <dcterms:modified xsi:type="dcterms:W3CDTF">2001-04-16T19:11:00Z</dcterms:modified>
  <cp:revision>3</cp:revision>
  <dc:subject/>
  <dc:title>Reductions in fixed costs:</dc:title>
</cp:coreProperties>
</file>