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spacing w:before="0" w:after="120"/>
        <w:jc w:val="center"/>
        <w:rPr>
          <w:sz w:val="22"/>
          <w:szCs w:val="22"/>
        </w:rPr>
      </w:pPr>
      <w:r>
        <w:rPr>
          <w:sz w:val="22"/>
          <w:szCs w:val="22"/>
        </w:rPr>
        <w:t xml:space="preserve"> </w:t>
      </w:r>
      <w:r>
        <w:rPr>
          <w:sz w:val="22"/>
          <w:szCs w:val="22"/>
        </w:rPr>
        <w:t>CONFIDENTIALITY</w:t>
      </w:r>
    </w:p>
    <w:p>
      <w:pPr>
        <w:pStyle w:val="Normal"/>
        <w:widowControl/>
        <w:tabs>
          <w:tab w:val="clear" w:pos="720"/>
          <w:tab w:val="center" w:pos="4680" w:leader="none"/>
        </w:tabs>
        <w:spacing w:before="0" w:after="120"/>
        <w:jc w:val="center"/>
        <w:rPr>
          <w:sz w:val="22"/>
          <w:szCs w:val="22"/>
        </w:rPr>
      </w:pPr>
      <w:r>
        <w:rPr>
          <w:sz w:val="22"/>
          <w:szCs w:val="22"/>
        </w:rPr>
        <w:t>AND</w:t>
      </w:r>
    </w:p>
    <w:p>
      <w:pPr>
        <w:pStyle w:val="Normal"/>
        <w:widowControl/>
        <w:tabs>
          <w:tab w:val="clear" w:pos="720"/>
          <w:tab w:val="center" w:pos="4680" w:leader="none"/>
        </w:tabs>
        <w:spacing w:before="0" w:after="120"/>
        <w:jc w:val="center"/>
        <w:rPr>
          <w:sz w:val="22"/>
          <w:szCs w:val="22"/>
        </w:rPr>
      </w:pPr>
      <w:r>
        <w:rPr>
          <w:sz w:val="22"/>
          <w:szCs w:val="22"/>
        </w:rPr>
        <w:t>NON-DISCLOSURE AGREEMENT</w:t>
      </w:r>
    </w:p>
    <w:p>
      <w:pPr>
        <w:pStyle w:val="Normal"/>
        <w:widowControl/>
        <w:tabs>
          <w:tab w:val="clear" w:pos="720"/>
          <w:tab w:val="center" w:pos="4680" w:leader="none"/>
        </w:tabs>
        <w:spacing w:before="0" w:after="120"/>
        <w:jc w:val="center"/>
        <w:rPr>
          <w:sz w:val="22"/>
          <w:szCs w:val="22"/>
        </w:rPr>
      </w:pPr>
      <w:r>
        <w:rPr>
          <w:sz w:val="22"/>
          <w:szCs w:val="22"/>
        </w:rPr>
      </w:r>
    </w:p>
    <w:p>
      <w:pPr>
        <w:pStyle w:val="BodyText"/>
        <w:widowControl/>
        <w:rPr>
          <w:sz w:val="22"/>
          <w:szCs w:val="22"/>
        </w:rPr>
      </w:pPr>
      <w:r>
        <w:rPr>
          <w:sz w:val="22"/>
          <w:szCs w:val="22"/>
        </w:rPr>
        <w:t>THIS AGREEMENT is made as of April __, 2000 between Enron Broadband Services, Inc. (“EBS”), having its principal address at 1400 Smith Street, Houston, Texas, 77002 and California Independent System Operator Corporation (“Participant”), having its principal address at 151 Blue Ravine Road, Folsom, California 95630.  Throughout this Agreement EBS and Participant are individually referred to as a “Party” and collectively as the “Parties.”</w:t>
      </w:r>
    </w:p>
    <w:p>
      <w:pPr>
        <w:pStyle w:val="Normal"/>
        <w:widowControl/>
        <w:spacing w:lineRule="atLeast" w:line="240"/>
        <w:rPr>
          <w:sz w:val="22"/>
          <w:szCs w:val="22"/>
        </w:rPr>
      </w:pPr>
      <w:r>
        <w:rPr>
          <w:sz w:val="22"/>
          <w:szCs w:val="22"/>
        </w:rPr>
        <w:t xml:space="preserve">  </w:t>
      </w:r>
    </w:p>
    <w:p>
      <w:pPr>
        <w:pStyle w:val="Normal"/>
        <w:widowControl/>
        <w:spacing w:before="0" w:after="120"/>
        <w:ind w:firstLine="720" w:end="0"/>
        <w:jc w:val="both"/>
        <w:rPr/>
      </w:pPr>
      <w:r>
        <w:rPr>
          <w:sz w:val="22"/>
          <w:szCs w:val="22"/>
        </w:rPr>
        <w:t>EBS and Participant are investigating the possibility of</w:t>
      </w:r>
      <w:r>
        <w:rPr>
          <w:b/>
          <w:bCs/>
          <w:sz w:val="22"/>
          <w:szCs w:val="22"/>
        </w:rPr>
        <w:t xml:space="preserve"> </w:t>
      </w:r>
      <w:r>
        <w:rPr>
          <w:sz w:val="22"/>
          <w:szCs w:val="22"/>
        </w:rPr>
        <w:t>entering into one or more transactions or business relationships (“Transaction”).</w:t>
      </w:r>
      <w:r>
        <w:rPr>
          <w:b/>
          <w:bCs/>
          <w:sz w:val="22"/>
          <w:szCs w:val="22"/>
        </w:rPr>
        <w:t xml:space="preserve">  </w:t>
      </w:r>
      <w:r>
        <w:rPr>
          <w:sz w:val="22"/>
          <w:szCs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BodyText2"/>
        <w:widowControl/>
        <w:spacing w:before="0" w:after="120"/>
        <w:ind w:firstLine="720" w:end="0"/>
        <w:jc w:val="both"/>
        <w:rPr>
          <w:b w:val="false"/>
          <w:bCs w:val="false"/>
          <w:i w:val="false"/>
          <w:i w:val="false"/>
          <w:iCs w:val="false"/>
          <w:sz w:val="22"/>
          <w:szCs w:val="22"/>
        </w:rPr>
      </w:pPr>
      <w:r>
        <w:rPr>
          <w:b w:val="false"/>
          <w:bCs w:val="false"/>
          <w:i w:val="false"/>
          <w:iCs w:val="false"/>
          <w:sz w:val="22"/>
          <w:szCs w:val="22"/>
        </w:rPr>
        <w:t>Each Party is willing to disclose confidential information to the other for the purposes set forth above, subject to the following conditions and limitations:</w:t>
      </w:r>
    </w:p>
    <w:p>
      <w:pPr>
        <w:pStyle w:val="Normal"/>
        <w:widowControl/>
        <w:spacing w:before="0" w:after="120"/>
        <w:ind w:firstLine="720" w:end="0"/>
        <w:jc w:val="both"/>
        <w:rPr/>
      </w:pPr>
      <w:r>
        <w:rPr>
          <w:sz w:val="22"/>
          <w:szCs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w:t>
      </w:r>
      <w:r>
        <w:rPr>
          <w:sz w:val="22"/>
          <w:szCs w:val="22"/>
          <w:u w:val="double"/>
        </w:rPr>
        <w:t xml:space="preserve">  Notwithstanding the foregoing, “Confidential Information” shall include all information relating to the Communications Infrastructure Systems and Services Agreement (“MCI Agreement”), dated as of February 13, 1997, by and between Participant and MCI WorldCom Communications, Inc. (“MCI”) and all information obtained from MCI pursuant to an obligation of confidentiality under the MCI Agreement.</w:t>
      </w:r>
      <w:r>
        <w:rPr>
          <w:sz w:val="22"/>
          <w:szCs w:val="22"/>
        </w:rPr>
        <w:t xml:space="preserve">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w:t>
      </w:r>
      <w:r>
        <w:rPr>
          <w:strike/>
          <w:sz w:val="22"/>
          <w:szCs w:val="22"/>
        </w:rPr>
        <w:t>(d) is furnished to others by the disclosing Party without restrictions similar to those herein on the right of such others to use or disclose; or (e) is</w:t>
      </w:r>
      <w:r>
        <w:rPr>
          <w:sz w:val="22"/>
          <w:szCs w:val="22"/>
        </w:rPr>
        <w:t xml:space="preserve"> </w:t>
      </w:r>
      <w:r>
        <w:rPr>
          <w:sz w:val="22"/>
          <w:szCs w:val="22"/>
          <w:u w:val="double"/>
        </w:rPr>
        <w:t xml:space="preserve">or (d) is </w:t>
      </w:r>
      <w:r>
        <w:rPr>
          <w:sz w:val="22"/>
          <w:szCs w:val="22"/>
        </w:rPr>
        <w:t>approved in writing by a Party for disclosure.</w:t>
      </w:r>
    </w:p>
    <w:p>
      <w:pPr>
        <w:pStyle w:val="BodyText2"/>
        <w:widowControl/>
        <w:spacing w:before="0" w:after="120"/>
        <w:ind w:firstLine="720" w:end="0"/>
        <w:jc w:val="both"/>
        <w:rPr>
          <w:b w:val="false"/>
          <w:bCs w:val="false"/>
          <w:i w:val="false"/>
          <w:i w:val="false"/>
          <w:iCs w:val="false"/>
          <w:sz w:val="22"/>
          <w:szCs w:val="22"/>
        </w:rPr>
      </w:pPr>
      <w:r>
        <w:rPr>
          <w:b w:val="false"/>
          <w:bCs w:val="false"/>
          <w:i w:val="false"/>
          <w:iCs w:val="false"/>
          <w:sz w:val="22"/>
          <w:szCs w:val="22"/>
        </w:rPr>
        <w:t>2.</w:t>
        <w:tab/>
        <w:t>The term “person” as used in this Agreement shall be interpreted broadly to include, without limitation, any corporation, company, entity, partnership, group, regulatory agency, or other governmental entity, or individual.</w:t>
      </w:r>
    </w:p>
    <w:p>
      <w:pPr>
        <w:pStyle w:val="BodyText2"/>
        <w:widowControl/>
        <w:spacing w:before="0" w:after="120"/>
        <w:ind w:firstLine="720" w:end="0"/>
        <w:jc w:val="both"/>
        <w:rPr>
          <w:b w:val="false"/>
          <w:bCs w:val="false"/>
          <w:i w:val="false"/>
          <w:i w:val="false"/>
          <w:iCs w:val="false"/>
          <w:sz w:val="22"/>
          <w:szCs w:val="22"/>
        </w:rPr>
      </w:pPr>
      <w:r>
        <w:rPr>
          <w:b w:val="false"/>
          <w:bCs w:val="false"/>
          <w:i w:val="false"/>
          <w:iCs w:val="false"/>
          <w:sz w:val="22"/>
          <w:szCs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widowControl/>
        <w:spacing w:before="0" w:after="120"/>
        <w:ind w:firstLine="720" w:end="0"/>
        <w:jc w:val="both"/>
        <w:rPr>
          <w:sz w:val="22"/>
          <w:szCs w:val="22"/>
        </w:rPr>
      </w:pPr>
      <w:r>
        <w:rPr>
          <w:sz w:val="22"/>
          <w:szCs w:val="22"/>
        </w:rPr>
        <w:t>4.</w:t>
        <w:tab/>
        <w:t>Each Party agrees that the Confidential Information will not be used for any purpose other than in connection with the evaluation of a possible Transaction.  Each Party will restrict access to Confidential Information to such of its Representatives</w:t>
      </w:r>
      <w:r>
        <w:rPr>
          <w:strike/>
          <w:sz w:val="22"/>
          <w:szCs w:val="22"/>
        </w:rPr>
        <w:t>, entities controlling, controlled by or under common control with the Party (“Affiliates”) and the Representatives of such Affiliates, in each case</w:t>
      </w:r>
      <w:r>
        <w:rPr>
          <w:sz w:val="22"/>
          <w:szCs w:val="22"/>
        </w:rPr>
        <w:t xml:space="preserv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r>
        <w:rPr>
          <w:sz w:val="22"/>
          <w:szCs w:val="22"/>
          <w:u w:val="double"/>
        </w:rPr>
        <w:t xml:space="preserve">  Neither Party shall, without obtaining prior written consent, disclose any Confidential Information to entities controlling, controlled by or under common control with such Party (“Affiliates”) or the Representatives of such Affiliates, including without limitation the telecommunications Affiliates of EBS.</w:t>
      </w:r>
    </w:p>
    <w:p>
      <w:pPr>
        <w:pStyle w:val="Normal"/>
        <w:widowControl/>
        <w:spacing w:before="0" w:after="120"/>
        <w:ind w:firstLine="720" w:end="0"/>
        <w:jc w:val="both"/>
        <w:rPr>
          <w:sz w:val="22"/>
          <w:szCs w:val="22"/>
          <w:u w:val="single"/>
        </w:rPr>
      </w:pPr>
      <w:r>
        <w:rPr>
          <w:sz w:val="22"/>
          <w:szCs w:val="22"/>
        </w:rPr>
        <w:t>5.</w:t>
        <w:tab/>
        <w:t xml:space="preserve">Except as otherwise required by law, rules or regulations including rules or regulations of any securities exchange </w:t>
      </w:r>
      <w:r>
        <w:rPr>
          <w:sz w:val="22"/>
          <w:szCs w:val="22"/>
          <w:u w:val="double"/>
        </w:rPr>
        <w:t>or pursuant to Participant’s obligation of confidentiality under the MCI Agreement</w:t>
      </w:r>
      <w:r>
        <w:rPr>
          <w:sz w:val="22"/>
          <w:szCs w:val="22"/>
        </w:rPr>
        <w:t>,</w:t>
      </w:r>
      <w:r>
        <w:rPr>
          <w:b/>
          <w:bCs/>
          <w:sz w:val="22"/>
          <w:szCs w:val="22"/>
        </w:rPr>
        <w:t xml:space="preserve"> </w:t>
      </w:r>
      <w:r>
        <w:rPr>
          <w:sz w:val="22"/>
          <w:szCs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widowControl/>
        <w:spacing w:before="0" w:after="120"/>
        <w:ind w:firstLine="720" w:end="0"/>
        <w:jc w:val="both"/>
        <w:rPr>
          <w:sz w:val="22"/>
          <w:szCs w:val="22"/>
        </w:rPr>
      </w:pPr>
      <w:r>
        <w:rPr>
          <w:sz w:val="22"/>
          <w:szCs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BodyText2"/>
        <w:widowControl/>
        <w:spacing w:before="0" w:after="120"/>
        <w:ind w:firstLine="720" w:end="0"/>
        <w:jc w:val="both"/>
        <w:rPr>
          <w:b w:val="false"/>
          <w:bCs w:val="false"/>
          <w:i w:val="false"/>
          <w:i w:val="false"/>
          <w:iCs w:val="false"/>
          <w:sz w:val="22"/>
          <w:szCs w:val="22"/>
        </w:rPr>
      </w:pPr>
      <w:r>
        <w:rPr>
          <w:b w:val="false"/>
          <w:bCs w:val="false"/>
          <w:i w:val="false"/>
          <w:iCs w:val="false"/>
          <w:sz w:val="22"/>
          <w:szCs w:val="22"/>
        </w:rPr>
        <w:t>7.</w:t>
        <w:tab/>
        <w:t xml:space="preserve">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w:t>
      </w:r>
      <w:r>
        <w:rPr>
          <w:b w:val="false"/>
          <w:bCs w:val="false"/>
          <w:i w:val="false"/>
          <w:iCs w:val="false"/>
          <w:strike/>
          <w:sz w:val="22"/>
          <w:szCs w:val="22"/>
        </w:rPr>
        <w:t xml:space="preserve">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widowControl/>
        <w:spacing w:before="0" w:after="120"/>
        <w:ind w:firstLine="720" w:end="0"/>
        <w:jc w:val="both"/>
        <w:rPr/>
      </w:pPr>
      <w:r>
        <w:rPr>
          <w:sz w:val="22"/>
          <w:szCs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bCs/>
          <w:sz w:val="22"/>
          <w:szCs w:val="22"/>
        </w:rPr>
        <w:t xml:space="preserve"> </w:t>
      </w:r>
      <w:r>
        <w:rPr>
          <w:sz w:val="22"/>
          <w:szCs w:val="22"/>
        </w:rPr>
        <w:t>possible Transaction</w:t>
      </w:r>
      <w:r>
        <w:rPr>
          <w:b/>
          <w:bCs/>
          <w:sz w:val="22"/>
          <w:szCs w:val="22"/>
        </w:rPr>
        <w:t xml:space="preserve"> </w:t>
      </w:r>
      <w:r>
        <w:rPr>
          <w:sz w:val="22"/>
          <w:szCs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widowControl/>
        <w:spacing w:before="0" w:after="120"/>
        <w:ind w:firstLine="720" w:end="0"/>
        <w:jc w:val="both"/>
        <w:rPr>
          <w:sz w:val="22"/>
          <w:szCs w:val="22"/>
        </w:rPr>
      </w:pPr>
      <w:r>
        <w:rPr>
          <w:sz w:val="22"/>
          <w:szCs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widowControl/>
        <w:spacing w:before="0" w:after="120"/>
        <w:ind w:firstLine="720" w:end="0"/>
        <w:jc w:val="both"/>
        <w:rPr>
          <w:sz w:val="22"/>
          <w:szCs w:val="22"/>
        </w:rPr>
      </w:pPr>
      <w:r>
        <w:rPr>
          <w:sz w:val="22"/>
          <w:szCs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BodyText2"/>
        <w:widowControl/>
        <w:spacing w:before="0" w:after="120"/>
        <w:ind w:firstLine="720" w:end="0"/>
        <w:jc w:val="both"/>
        <w:rPr>
          <w:b w:val="false"/>
          <w:bCs w:val="false"/>
          <w:i w:val="false"/>
          <w:i w:val="false"/>
          <w:iCs w:val="false"/>
          <w:sz w:val="22"/>
          <w:szCs w:val="22"/>
        </w:rPr>
      </w:pPr>
      <w:r>
        <w:rPr>
          <w:b w:val="false"/>
          <w:bCs w:val="false"/>
          <w:i w:val="false"/>
          <w:iCs w:val="false"/>
          <w:sz w:val="22"/>
          <w:szCs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2"/>
        <w:widowControl/>
        <w:spacing w:before="0" w:after="120"/>
        <w:ind w:firstLine="720" w:end="0"/>
        <w:jc w:val="both"/>
        <w:rPr>
          <w:b w:val="false"/>
          <w:bCs w:val="false"/>
          <w:i w:val="false"/>
          <w:i w:val="false"/>
          <w:iCs w:val="false"/>
          <w:sz w:val="22"/>
          <w:szCs w:val="22"/>
        </w:rPr>
      </w:pPr>
      <w:r>
        <w:rPr>
          <w:b w:val="false"/>
          <w:bCs w:val="false"/>
          <w:i w:val="false"/>
          <w:iCs w:val="false"/>
          <w:sz w:val="22"/>
          <w:szCs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BodyText2"/>
        <w:widowControl/>
        <w:spacing w:before="0" w:after="120"/>
        <w:ind w:firstLine="720" w:end="0"/>
        <w:jc w:val="both"/>
        <w:rPr>
          <w:b w:val="false"/>
          <w:bCs w:val="false"/>
          <w:i w:val="false"/>
          <w:i w:val="false"/>
          <w:iCs w:val="false"/>
          <w:sz w:val="22"/>
          <w:szCs w:val="22"/>
        </w:rPr>
      </w:pPr>
      <w:r>
        <w:rPr>
          <w:b w:val="false"/>
          <w:bCs w:val="false"/>
          <w:i w:val="false"/>
          <w:iCs w:val="false"/>
          <w:sz w:val="22"/>
          <w:szCs w:val="22"/>
        </w:rPr>
        <w:t>13.</w:t>
        <w:tab/>
        <w:t>Unless extended by written agreement of the Parties, the confidentiality provisions of this Agreement shall expire two (2) years from the date hereof.</w:t>
      </w:r>
      <w:r>
        <w:rPr>
          <w:b w:val="false"/>
          <w:bCs w:val="false"/>
          <w:i w:val="false"/>
          <w:iCs w:val="false"/>
          <w:sz w:val="22"/>
          <w:szCs w:val="22"/>
          <w:u w:val="double"/>
        </w:rPr>
        <w:t xml:space="preserve">  Notwithstanding the foregoing, the confidentiality provisions of this Agreement shall survive the termination or expiration of this Agreement with respect to any Confidential Information obtained pursuant to an obligation of confidentiality with a third party.</w:t>
      </w:r>
    </w:p>
    <w:p>
      <w:pPr>
        <w:pStyle w:val="BodyText2"/>
        <w:widowControl/>
        <w:spacing w:before="0" w:after="120"/>
        <w:ind w:firstLine="720" w:end="0"/>
        <w:jc w:val="both"/>
        <w:rPr/>
      </w:pPr>
      <w:r>
        <w:rPr>
          <w:b w:val="false"/>
          <w:bCs w:val="false"/>
          <w:i w:val="false"/>
          <w:iCs w:val="false"/>
          <w:sz w:val="22"/>
          <w:szCs w:val="22"/>
        </w:rPr>
        <w:t>14.</w:t>
        <w:tab/>
        <w:t xml:space="preserve">This Agreement shall be governed by and construed under the laws of the State of </w:t>
      </w:r>
      <w:r>
        <w:rPr>
          <w:b w:val="false"/>
          <w:bCs w:val="false"/>
          <w:i w:val="false"/>
          <w:iCs w:val="false"/>
          <w:strike/>
          <w:sz w:val="22"/>
          <w:szCs w:val="22"/>
        </w:rPr>
        <w:t>Texas</w:t>
      </w:r>
      <w:r>
        <w:rPr>
          <w:b w:val="false"/>
          <w:bCs w:val="false"/>
          <w:i w:val="false"/>
          <w:iCs w:val="false"/>
          <w:sz w:val="22"/>
          <w:szCs w:val="22"/>
        </w:rPr>
        <w:t xml:space="preserve"> </w:t>
      </w:r>
      <w:r>
        <w:rPr>
          <w:b w:val="false"/>
          <w:bCs w:val="false"/>
          <w:i w:val="false"/>
          <w:iCs w:val="false"/>
          <w:sz w:val="22"/>
          <w:szCs w:val="22"/>
          <w:u w:val="double"/>
        </w:rPr>
        <w:t>California</w:t>
      </w:r>
      <w:r>
        <w:rPr>
          <w:b w:val="false"/>
          <w:bCs w:val="false"/>
          <w:i w:val="false"/>
          <w:iCs w:val="false"/>
          <w:sz w:val="22"/>
          <w:szCs w:val="22"/>
        </w:rPr>
        <w:t xml:space="preserve"> without regard to conflicts-of-laws rules or principles.</w:t>
      </w:r>
    </w:p>
    <w:p>
      <w:pPr>
        <w:pStyle w:val="Normal"/>
        <w:widowControl/>
        <w:spacing w:before="0" w:after="120"/>
        <w:ind w:firstLine="720" w:end="0"/>
        <w:jc w:val="both"/>
        <w:rPr>
          <w:sz w:val="22"/>
          <w:szCs w:val="22"/>
        </w:rPr>
      </w:pPr>
      <w:r>
        <w:rPr>
          <w:sz w:val="22"/>
          <w:szCs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widowControl/>
        <w:spacing w:before="0" w:after="120"/>
        <w:jc w:val="both"/>
        <w:rPr>
          <w:sz w:val="22"/>
          <w:szCs w:val="22"/>
        </w:rPr>
      </w:pPr>
      <w:r>
        <w:rPr>
          <w:sz w:val="22"/>
          <w:szCs w:val="22"/>
        </w:rPr>
      </w:r>
    </w:p>
    <w:p>
      <w:pPr>
        <w:pStyle w:val="BodyTextIndent2"/>
        <w:widowControl/>
        <w:rPr>
          <w:sz w:val="22"/>
          <w:szCs w:val="22"/>
        </w:rPr>
      </w:pPr>
      <w:r>
        <w:rPr>
          <w:sz w:val="22"/>
          <w:szCs w:val="22"/>
        </w:rPr>
        <w:t>IN WITNESS WHEREOF, the Parties have executed this Agreement by and through their duly authorized representatives, as of the day first above written.</w:t>
      </w:r>
    </w:p>
    <w:p>
      <w:pPr>
        <w:pStyle w:val="Normal"/>
        <w:widowControl/>
        <w:spacing w:before="0" w:after="120"/>
        <w:jc w:val="both"/>
        <w:rPr>
          <w:sz w:val="22"/>
          <w:szCs w:val="22"/>
        </w:rPr>
      </w:pPr>
      <w:r>
        <w:rPr>
          <w:sz w:val="22"/>
          <w:szCs w:val="22"/>
        </w:rPr>
      </w:r>
    </w:p>
    <w:p>
      <w:pPr>
        <w:sectPr>
          <w:footerReference w:type="default" r:id="rId2"/>
          <w:type w:val="nextPage"/>
          <w:pgSz w:w="12240" w:h="15840"/>
          <w:pgMar w:left="1440" w:right="1440" w:gutter="0" w:header="0" w:top="1080" w:footer="605" w:bottom="1620"/>
          <w:pgNumType w:fmt="decimal"/>
          <w:formProt w:val="false"/>
          <w:textDirection w:val="lrTb"/>
        </w:sectPr>
      </w:pPr>
    </w:p>
    <w:p>
      <w:pPr>
        <w:pStyle w:val="Normal"/>
        <w:widowControl/>
        <w:spacing w:before="0" w:after="120"/>
        <w:ind w:end="-720"/>
        <w:jc w:val="both"/>
        <w:rPr>
          <w:sz w:val="22"/>
          <w:szCs w:val="22"/>
        </w:rPr>
      </w:pPr>
      <w:r>
        <w:rPr>
          <w:sz w:val="22"/>
          <w:szCs w:val="22"/>
        </w:rPr>
      </w:r>
    </w:p>
    <w:p>
      <w:pPr>
        <w:pStyle w:val="Normal"/>
        <w:widowControl/>
        <w:ind w:hanging="5040" w:start="5040" w:end="-720"/>
        <w:jc w:val="both"/>
        <w:rPr/>
      </w:pPr>
      <w:r>
        <w:rPr>
          <w:b/>
          <w:bCs/>
          <w:sz w:val="22"/>
          <w:szCs w:val="22"/>
        </w:rPr>
        <w:t>Enron Broadband Services, Inc.</w:t>
      </w:r>
      <w:r>
        <w:rPr>
          <w:sz w:val="22"/>
          <w:szCs w:val="22"/>
        </w:rPr>
        <w:tab/>
      </w:r>
      <w:r>
        <w:rPr>
          <w:b/>
          <w:bCs/>
          <w:sz w:val="22"/>
          <w:szCs w:val="22"/>
        </w:rPr>
        <w:t>California Independent System Operator</w:t>
      </w:r>
    </w:p>
    <w:p>
      <w:pPr>
        <w:pStyle w:val="Normal"/>
        <w:widowControl/>
        <w:ind w:start="5040" w:end="-720"/>
        <w:jc w:val="both"/>
        <w:rPr>
          <w:b/>
          <w:bCs/>
          <w:sz w:val="22"/>
          <w:szCs w:val="22"/>
          <w:u w:val="single"/>
          <w:vertAlign w:val="superscript"/>
        </w:rPr>
      </w:pPr>
      <w:r>
        <w:rPr>
          <w:b/>
          <w:bCs/>
          <w:sz w:val="22"/>
          <w:szCs w:val="22"/>
        </w:rPr>
        <w:t>Corporation</w:t>
      </w:r>
    </w:p>
    <w:p>
      <w:pPr>
        <w:pStyle w:val="Normal"/>
        <w:widowControl/>
        <w:ind w:end="-720"/>
        <w:jc w:val="both"/>
        <w:rPr>
          <w:b/>
          <w:bCs/>
          <w:sz w:val="22"/>
          <w:szCs w:val="22"/>
          <w:u w:val="single"/>
          <w:vertAlign w:val="superscript"/>
        </w:rPr>
      </w:pPr>
      <w:r>
        <w:rPr>
          <w:b/>
          <w:bCs/>
          <w:sz w:val="22"/>
          <w:szCs w:val="22"/>
          <w:u w:val="single"/>
          <w:vertAlign w:val="superscript"/>
        </w:rPr>
      </w:r>
    </w:p>
    <w:p>
      <w:pPr>
        <w:pStyle w:val="Normal"/>
        <w:widowControl/>
        <w:ind w:end="-720"/>
        <w:jc w:val="both"/>
        <w:rPr>
          <w:sz w:val="22"/>
          <w:szCs w:val="22"/>
        </w:rPr>
      </w:pPr>
      <w:r>
        <w:rPr>
          <w:sz w:val="22"/>
          <w:szCs w:val="22"/>
        </w:rPr>
      </w:r>
    </w:p>
    <w:p>
      <w:pPr>
        <w:pStyle w:val="Normal"/>
        <w:widowControl/>
        <w:ind w:end="-720"/>
        <w:jc w:val="both"/>
        <w:rPr/>
      </w:pPr>
      <w:r>
        <w:rPr>
          <w:sz w:val="22"/>
          <w:szCs w:val="22"/>
        </w:rPr>
        <w:t xml:space="preserve">By: </w:t>
        <w:tab/>
      </w:r>
      <w:r>
        <w:rPr>
          <w:sz w:val="22"/>
          <w:szCs w:val="22"/>
          <w:u w:val="single"/>
        </w:rPr>
        <w:tab/>
        <w:tab/>
        <w:tab/>
        <w:tab/>
        <w:tab/>
      </w:r>
      <w:r>
        <w:rPr>
          <w:sz w:val="22"/>
          <w:szCs w:val="22"/>
        </w:rPr>
        <w:tab/>
        <w:t>By:</w:t>
        <w:tab/>
      </w:r>
      <w:r>
        <w:rPr>
          <w:sz w:val="22"/>
          <w:szCs w:val="22"/>
          <w:u w:val="single"/>
        </w:rPr>
        <w:tab/>
        <w:tab/>
        <w:tab/>
        <w:tab/>
        <w:tab/>
      </w:r>
    </w:p>
    <w:p>
      <w:pPr>
        <w:pStyle w:val="Normal"/>
        <w:widowControl/>
        <w:ind w:firstLine="720" w:start="720" w:end="-720"/>
        <w:jc w:val="both"/>
        <w:rPr>
          <w:sz w:val="22"/>
          <w:szCs w:val="22"/>
          <w:vertAlign w:val="superscript"/>
        </w:rPr>
      </w:pPr>
      <w:r>
        <w:rPr>
          <w:sz w:val="22"/>
          <w:szCs w:val="22"/>
          <w:vertAlign w:val="superscript"/>
        </w:rPr>
        <w:t>(Signature)</w:t>
        <w:tab/>
        <w:tab/>
        <w:tab/>
        <w:tab/>
        <w:tab/>
        <w:tab/>
        <w:tab/>
        <w:t>(Signature)</w:t>
      </w:r>
    </w:p>
    <w:p>
      <w:pPr>
        <w:pStyle w:val="Normal"/>
        <w:widowControl/>
        <w:ind w:end="-720"/>
        <w:jc w:val="both"/>
        <w:rPr/>
      </w:pPr>
      <w:r>
        <w:rPr>
          <w:sz w:val="22"/>
          <w:szCs w:val="22"/>
        </w:rPr>
        <w:t>Name:</w:t>
        <w:tab/>
      </w:r>
      <w:r>
        <w:rPr>
          <w:sz w:val="22"/>
          <w:szCs w:val="22"/>
          <w:u w:val="single"/>
        </w:rPr>
        <w:tab/>
        <w:tab/>
        <w:tab/>
        <w:tab/>
        <w:tab/>
      </w:r>
      <w:r>
        <w:rPr>
          <w:sz w:val="22"/>
          <w:szCs w:val="22"/>
        </w:rPr>
        <w:tab/>
        <w:t>Name:</w:t>
        <w:tab/>
      </w:r>
      <w:r>
        <w:rPr>
          <w:sz w:val="22"/>
          <w:szCs w:val="22"/>
          <w:u w:val="single"/>
        </w:rPr>
        <w:tab/>
        <w:tab/>
        <w:tab/>
        <w:tab/>
        <w:tab/>
      </w:r>
    </w:p>
    <w:p>
      <w:pPr>
        <w:pStyle w:val="Normal"/>
        <w:widowControl/>
        <w:ind w:firstLine="720" w:start="720" w:end="-720"/>
        <w:jc w:val="both"/>
        <w:rPr>
          <w:sz w:val="22"/>
          <w:szCs w:val="22"/>
          <w:vertAlign w:val="superscript"/>
        </w:rPr>
      </w:pPr>
      <w:r>
        <w:rPr>
          <w:sz w:val="22"/>
          <w:szCs w:val="22"/>
          <w:vertAlign w:val="superscript"/>
        </w:rPr>
        <w:t>(Print Signer’s Name)</w:t>
        <w:tab/>
        <w:tab/>
        <w:tab/>
        <w:tab/>
        <w:tab/>
        <w:tab/>
        <w:t>(Print Signer’s Name)</w:t>
      </w:r>
    </w:p>
    <w:p>
      <w:pPr>
        <w:pStyle w:val="Normal"/>
        <w:widowControl/>
        <w:ind w:end="-720"/>
        <w:jc w:val="both"/>
        <w:rPr/>
      </w:pPr>
      <w:r>
        <w:rPr>
          <w:sz w:val="22"/>
          <w:szCs w:val="22"/>
        </w:rPr>
        <w:t>Title:</w:t>
        <w:tab/>
      </w:r>
      <w:r>
        <w:rPr>
          <w:sz w:val="22"/>
          <w:szCs w:val="22"/>
          <w:u w:val="single"/>
        </w:rPr>
        <w:tab/>
        <w:tab/>
        <w:tab/>
        <w:tab/>
        <w:tab/>
      </w:r>
      <w:r>
        <w:rPr>
          <w:sz w:val="22"/>
          <w:szCs w:val="22"/>
        </w:rPr>
        <w:tab/>
        <w:t>Title:</w:t>
        <w:tab/>
      </w:r>
      <w:r>
        <w:rPr>
          <w:sz w:val="22"/>
          <w:szCs w:val="22"/>
          <w:u w:val="single"/>
        </w:rPr>
        <w:tab/>
        <w:tab/>
        <w:tab/>
        <w:tab/>
        <w:tab/>
      </w:r>
    </w:p>
    <w:p>
      <w:pPr>
        <w:pStyle w:val="Normal"/>
        <w:widowControl/>
        <w:ind w:firstLine="720" w:start="720" w:end="-720"/>
        <w:jc w:val="both"/>
        <w:rPr>
          <w:sz w:val="22"/>
          <w:szCs w:val="22"/>
          <w:vertAlign w:val="superscript"/>
        </w:rPr>
      </w:pPr>
      <w:r>
        <w:rPr>
          <w:sz w:val="22"/>
          <w:szCs w:val="22"/>
          <w:vertAlign w:val="superscript"/>
        </w:rPr>
        <w:t>(Print Signer’s Title)</w:t>
        <w:tab/>
        <w:tab/>
        <w:tab/>
        <w:tab/>
        <w:tab/>
        <w:tab/>
        <w:t>(Print Signer’s Title)</w:t>
      </w:r>
    </w:p>
    <w:p>
      <w:pPr>
        <w:pStyle w:val="Normal"/>
        <w:widowControl/>
        <w:spacing w:before="0" w:after="120"/>
        <w:jc w:val="both"/>
        <w:rPr>
          <w:sz w:val="22"/>
          <w:szCs w:val="22"/>
          <w:vertAlign w:val="superscript"/>
        </w:rPr>
      </w:pPr>
      <w:r>
        <w:rPr>
          <w:sz w:val="22"/>
          <w:szCs w:val="22"/>
          <w:vertAlign w:val="superscript"/>
        </w:rPr>
      </w:r>
    </w:p>
    <w:p>
      <w:pPr>
        <w:pStyle w:val="Normal"/>
        <w:widowControl/>
        <w:spacing w:before="0" w:after="120"/>
        <w:jc w:val="both"/>
        <w:rPr>
          <w:sz w:val="22"/>
          <w:szCs w:val="22"/>
        </w:rPr>
      </w:pPr>
      <w:r>
        <w:rPr>
          <w:sz w:val="22"/>
          <w:szCs w:val="22"/>
        </w:rPr>
        <w:tab/>
      </w:r>
    </w:p>
    <w:p>
      <w:pPr>
        <w:sectPr>
          <w:type w:val="continuous"/>
          <w:pgSz w:w="12240" w:h="15840"/>
          <w:pgMar w:left="1440" w:right="1440" w:gutter="0" w:header="0" w:top="1080" w:footer="605" w:bottom="1620"/>
          <w:formProt w:val="false"/>
          <w:textDirection w:val="lrTb"/>
        </w:sectPr>
      </w:pPr>
    </w:p>
    <w:p>
      <w:pPr>
        <w:pStyle w:val="Normal"/>
        <w:widowControl/>
        <w:spacing w:before="0" w:after="120"/>
        <w:jc w:val="both"/>
        <w:rPr>
          <w:sz w:val="22"/>
          <w:szCs w:val="22"/>
        </w:rPr>
      </w:pPr>
      <w:r>
        <w:rPr>
          <w:sz w:val="22"/>
          <w:szCs w:val="22"/>
        </w:rPr>
      </w:r>
    </w:p>
    <w:p>
      <w:pPr>
        <w:pStyle w:val="BodyText2"/>
        <w:widowControl/>
        <w:spacing w:before="0" w:after="120"/>
        <w:rPr>
          <w:sz w:val="22"/>
          <w:szCs w:val="22"/>
        </w:rPr>
      </w:pPr>
      <w:r>
        <w:rPr>
          <w:sz w:val="22"/>
          <w:szCs w:val="22"/>
        </w:rPr>
        <w:t>TO BE EXECUTED IN DUPLICATE BY DULY AUTHORIZED REPRESENTATIVES OF BOTH PARTIES.</w:t>
      </w:r>
    </w:p>
    <w:p>
      <w:pPr>
        <w:pStyle w:val="Normal"/>
        <w:widowControl/>
        <w:spacing w:before="0" w:after="120"/>
        <w:jc w:val="center"/>
        <w:rPr>
          <w:b/>
          <w:bCs/>
          <w:i/>
          <w:i/>
          <w:iCs/>
          <w:sz w:val="22"/>
          <w:szCs w:val="22"/>
        </w:rPr>
      </w:pPr>
      <w:r>
        <w:rPr>
          <w:b/>
          <w:bCs/>
          <w:i/>
          <w:iCs/>
          <w:sz w:val="22"/>
          <w:szCs w:val="22"/>
        </w:rPr>
      </w:r>
    </w:p>
    <w:p>
      <w:pPr>
        <w:pStyle w:val="Normal"/>
        <w:widowControl/>
        <w:spacing w:before="0" w:after="120"/>
        <w:jc w:val="center"/>
        <w:rPr>
          <w:b/>
          <w:bCs/>
          <w:i/>
          <w:i/>
          <w:iCs/>
          <w:sz w:val="22"/>
          <w:szCs w:val="22"/>
        </w:rPr>
      </w:pPr>
      <w:r>
        <w:rPr>
          <w:b/>
          <w:bCs/>
          <w:i/>
          <w:iCs/>
          <w:sz w:val="22"/>
          <w:szCs w:val="22"/>
        </w:rPr>
        <w:t>AFTER EXECUTION, RETURN ONE EXECUTED ORIGINAL</w:t>
      </w:r>
    </w:p>
    <w:p>
      <w:pPr>
        <w:pStyle w:val="Normal"/>
        <w:widowControl/>
        <w:spacing w:before="0" w:after="120"/>
        <w:jc w:val="center"/>
        <w:rPr>
          <w:b/>
          <w:bCs/>
          <w:i/>
          <w:i/>
          <w:iCs/>
          <w:sz w:val="22"/>
          <w:szCs w:val="22"/>
        </w:rPr>
      </w:pPr>
      <w:r>
        <w:rPr>
          <w:b/>
          <w:bCs/>
          <w:i/>
          <w:iCs/>
          <w:sz w:val="22"/>
          <w:szCs w:val="22"/>
        </w:rPr>
        <w:t>ATTENTION: ROBIN HILL, ENRON BROADBAND SERVICES, INC. LEGAL DEPT.</w:t>
      </w:r>
    </w:p>
    <w:p>
      <w:pPr>
        <w:pStyle w:val="Normal"/>
        <w:widowControl/>
        <w:rPr>
          <w:b/>
          <w:bCs/>
          <w:i/>
          <w:i/>
          <w:iCs/>
          <w:sz w:val="22"/>
          <w:szCs w:val="22"/>
        </w:rPr>
      </w:pPr>
      <w:r>
        <w:rPr>
          <w:b/>
          <w:bCs/>
          <w:i/>
          <w:iCs/>
          <w:sz w:val="22"/>
          <w:szCs w:val="22"/>
        </w:rPr>
      </w:r>
    </w:p>
    <w:sectPr>
      <w:type w:val="continuous"/>
      <w:pgSz w:w="12240" w:h="15840"/>
      <w:pgMar w:left="1440" w:right="1440" w:gutter="0" w:header="0" w:top="1080" w:footer="605" w:bottom="162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360" w:leader="none"/>
      </w:tabs>
      <w:spacing w:lineRule="exact" w:line="240"/>
      <w:rPr/>
    </w:pPr>
    <w:r>
      <w:rPr>
        <w:sz w:val="16"/>
        <w:szCs w:val="16"/>
      </w:rP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4</w:t>
    </w:r>
    <w:r>
      <w:rPr>
        <w:rStyle w:val="PageNumber"/>
        <w:sz w:val="24"/>
        <w:szCs w:val="24"/>
      </w:rPr>
      <w:fldChar w:fldCharType="end"/>
    </w:r>
    <w:r>
      <w:rPr>
        <w:rStyle w:val="PageNumber"/>
        <w:rFonts w:eastAsia="Arial" w:cs="Arial" w:ascii="Arial" w:hAnsi="Arial"/>
        <w:sz w:val="24"/>
        <w:szCs w:val="24"/>
      </w:rPr>
      <w:tab/>
    </w:r>
    <w:r>
      <w:rPr>
        <w:sz w:val="16"/>
        <w:szCs w:val="16"/>
      </w:rPr>
      <w:t>o:\robinhill\ndas\2way</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bCs/>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2000-05-04T20:55:00Z</dcterms:created>
  <dc:creator>cheryl_kondo</dc:creator>
  <dc:description/>
  <dc:language>en-CA</dc:language>
  <cp:lastModifiedBy>James M. Tobin</cp:lastModifiedBy>
  <cp:lastPrinted>1999-12-01T11:46:00Z</cp:lastPrinted>
  <dcterms:modified xsi:type="dcterms:W3CDTF">2000-05-04T20:56:00Z</dcterms:modified>
  <cp:revision>3</cp:revision>
  <dc:subject/>
  <dc:title>CONFIDENTIALITY</dc:title>
</cp:coreProperties>
</file>