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color w:val="000000"/>
          <w:kern w:val="0"/>
          <w:sz w:val="22"/>
        </w:rPr>
      </w:pPr>
      <w:bookmarkStart w:id="0" w:name="_DV_M0"/>
      <w:bookmarkEnd w:id="0"/>
      <w:r>
        <w:rPr>
          <w:rFonts w:ascii="Times New Roman" w:hAnsi="Times New Roman"/>
          <w:b w:val="false"/>
          <w:kern w:val="0"/>
          <w:sz w:val="22"/>
        </w:rPr>
        <w:t xml:space="preserve">December </w:t>
      </w:r>
      <w:bookmarkStart w:id="1" w:name="_DV_C2"/>
      <w:r>
        <w:rPr>
          <w:rStyle w:val="DeltaViewDeletion"/>
          <w:rFonts w:ascii="Times New Roman" w:hAnsi="Times New Roman"/>
          <w:b w:val="false"/>
          <w:kern w:val="0"/>
          <w:sz w:val="22"/>
        </w:rPr>
        <w:t>11,</w:t>
      </w:r>
      <w:bookmarkStart w:id="2" w:name="_DV_C1"/>
      <w:bookmarkEnd w:id="1"/>
      <w:r>
        <w:rPr>
          <w:rStyle w:val="DeltaViewInsertion"/>
          <w:rFonts w:ascii="Times New Roman" w:hAnsi="Times New Roman"/>
          <w:b w:val="false"/>
          <w:kern w:val="0"/>
          <w:sz w:val="22"/>
        </w:rPr>
        <w:t>__,</w:t>
      </w:r>
      <w:bookmarkStart w:id="3" w:name="_DV_C2_Copy_1"/>
      <w:bookmarkEnd w:id="2"/>
      <w:bookmarkEnd w:id="3"/>
      <w:r>
        <w:rPr>
          <w:rFonts w:ascii="Times New Roman" w:hAnsi="Times New Roman"/>
          <w:b w:val="false"/>
          <w:color w:val="000000"/>
          <w:kern w:val="0"/>
          <w:sz w:val="22"/>
        </w:rPr>
        <w:t xml:space="preserve"> 2000</w:t>
      </w:r>
    </w:p>
    <w:p>
      <w:pPr>
        <w:pStyle w:val="Normal"/>
        <w:bidi w:val="0"/>
        <w:jc w:val="both"/>
        <w:rPr>
          <w:color w:val="000000"/>
          <w:sz w:val="22"/>
        </w:rPr>
      </w:pPr>
      <w:r>
        <w:rPr>
          <w:color w:val="000000"/>
          <w:sz w:val="22"/>
        </w:rPr>
      </w:r>
    </w:p>
    <w:p>
      <w:pPr>
        <w:pStyle w:val="Normal"/>
        <w:bidi w:val="0"/>
        <w:jc w:val="both"/>
        <w:rPr>
          <w:color w:val="000000"/>
          <w:sz w:val="22"/>
        </w:rPr>
      </w:pPr>
      <w:bookmarkStart w:id="4" w:name="_DV_C4"/>
      <w:r>
        <w:rPr>
          <w:rStyle w:val="DeltaViewDeletion"/>
          <w:sz w:val="22"/>
        </w:rPr>
        <w:t>Tejas</w:t>
      </w:r>
      <w:bookmarkStart w:id="5" w:name="_DV_C3"/>
      <w:bookmarkEnd w:id="4"/>
      <w:r>
        <w:rPr>
          <w:rStyle w:val="DeltaViewInsertion"/>
          <w:sz w:val="22"/>
        </w:rPr>
        <w:t>Sweetgum</w:t>
      </w:r>
      <w:bookmarkStart w:id="6" w:name="_DV_C4_Copy_1"/>
      <w:bookmarkEnd w:id="5"/>
      <w:bookmarkEnd w:id="6"/>
      <w:r>
        <w:rPr>
          <w:color w:val="000000"/>
          <w:sz w:val="22"/>
        </w:rPr>
        <w:t xml:space="preserve"> Energy </w:t>
      </w:r>
      <w:bookmarkStart w:id="7" w:name="_DV_C6"/>
      <w:r>
        <w:rPr>
          <w:rStyle w:val="DeltaViewDeletion"/>
          <w:sz w:val="22"/>
        </w:rPr>
        <w:t>NS Holding, LLC</w:t>
      </w:r>
      <w:bookmarkStart w:id="8" w:name="_DV_C5"/>
      <w:bookmarkEnd w:id="7"/>
      <w:r>
        <w:rPr>
          <w:rStyle w:val="DeltaViewInsertion"/>
          <w:sz w:val="22"/>
        </w:rPr>
        <w:t>LP</w:t>
      </w:r>
      <w:bookmarkEnd w:id="8"/>
    </w:p>
    <w:p>
      <w:pPr>
        <w:pStyle w:val="Normal"/>
        <w:bidi w:val="0"/>
        <w:jc w:val="both"/>
        <w:rPr>
          <w:color w:val="000000"/>
          <w:sz w:val="22"/>
        </w:rPr>
      </w:pPr>
      <w:bookmarkStart w:id="9" w:name="_DV_C7"/>
      <w:r>
        <w:rPr>
          <w:rStyle w:val="DeltaViewDeletion"/>
          <w:sz w:val="22"/>
        </w:rPr>
        <w:t>c/o Coral Power, L.L.C.</w:t>
      </w:r>
      <w:bookmarkEnd w:id="9"/>
    </w:p>
    <w:p>
      <w:pPr>
        <w:pStyle w:val="Normal"/>
        <w:bidi w:val="0"/>
        <w:jc w:val="both"/>
        <w:rPr>
          <w:color w:val="000000"/>
          <w:sz w:val="22"/>
        </w:rPr>
      </w:pPr>
      <w:bookmarkStart w:id="10" w:name="_DV_C8"/>
      <w:r>
        <w:rPr>
          <w:rStyle w:val="DeltaViewInsertion"/>
          <w:sz w:val="22"/>
        </w:rPr>
        <w:t>c/o InterGen North America LP</w:t>
      </w:r>
      <w:bookmarkEnd w:id="10"/>
    </w:p>
    <w:p>
      <w:pPr>
        <w:pStyle w:val="Normal"/>
        <w:bidi w:val="0"/>
        <w:jc w:val="both"/>
        <w:rPr>
          <w:color w:val="000000"/>
          <w:sz w:val="22"/>
        </w:rPr>
      </w:pPr>
      <w:bookmarkStart w:id="11" w:name="_DV_M3"/>
      <w:bookmarkEnd w:id="11"/>
      <w:r>
        <w:rPr>
          <w:color w:val="000000"/>
          <w:sz w:val="22"/>
        </w:rPr>
        <w:t xml:space="preserve">909 Fannin, Suite </w:t>
      </w:r>
      <w:bookmarkStart w:id="12" w:name="_DV_C10"/>
      <w:r>
        <w:rPr>
          <w:rStyle w:val="DeltaViewDeletion"/>
          <w:sz w:val="22"/>
        </w:rPr>
        <w:t>700</w:t>
      </w:r>
      <w:bookmarkStart w:id="13" w:name="_DV_C9"/>
      <w:bookmarkEnd w:id="12"/>
      <w:r>
        <w:rPr>
          <w:rStyle w:val="DeltaViewInsertion"/>
          <w:sz w:val="22"/>
        </w:rPr>
        <w:t>2200</w:t>
      </w:r>
      <w:bookmarkEnd w:id="13"/>
    </w:p>
    <w:p>
      <w:pPr>
        <w:pStyle w:val="Normal"/>
        <w:bidi w:val="0"/>
        <w:jc w:val="both"/>
        <w:rPr>
          <w:b/>
          <w:color w:val="000000"/>
          <w:sz w:val="22"/>
        </w:rPr>
      </w:pPr>
      <w:bookmarkStart w:id="14" w:name="_DV_M4"/>
      <w:bookmarkEnd w:id="14"/>
      <w:r>
        <w:rPr>
          <w:color w:val="000000"/>
          <w:sz w:val="22"/>
        </w:rPr>
        <w:t>Houston, Texas 77010</w:t>
      </w:r>
    </w:p>
    <w:p>
      <w:pPr>
        <w:pStyle w:val="Normal"/>
        <w:bidi w:val="0"/>
        <w:jc w:val="both"/>
        <w:rPr>
          <w:color w:val="000000"/>
          <w:sz w:val="22"/>
        </w:rPr>
      </w:pPr>
      <w:r>
        <w:rPr>
          <w:color w:val="000000"/>
          <w:sz w:val="22"/>
        </w:rPr>
      </w:r>
    </w:p>
    <w:p>
      <w:pPr>
        <w:pStyle w:val="Normal"/>
        <w:bidi w:val="0"/>
        <w:jc w:val="both"/>
        <w:rPr>
          <w:color w:val="000000"/>
          <w:sz w:val="22"/>
        </w:rPr>
      </w:pPr>
      <w:r>
        <w:rPr>
          <w:color w:val="000000"/>
          <w:sz w:val="22"/>
        </w:rPr>
      </w:r>
    </w:p>
    <w:p>
      <w:pPr>
        <w:pStyle w:val="Normal"/>
        <w:bidi w:val="0"/>
        <w:ind w:firstLine="720"/>
        <w:jc w:val="both"/>
        <w:rPr>
          <w:color w:val="000000"/>
          <w:sz w:val="22"/>
        </w:rPr>
      </w:pPr>
      <w:bookmarkStart w:id="15" w:name="_DV_M5"/>
      <w:bookmarkEnd w:id="15"/>
      <w:r>
        <w:rPr>
          <w:color w:val="000000"/>
          <w:sz w:val="22"/>
        </w:rPr>
        <w:t>Re:    CA Energy Development II, LLC</w:t>
      </w:r>
    </w:p>
    <w:p>
      <w:pPr>
        <w:pStyle w:val="Normal"/>
        <w:bidi w:val="0"/>
        <w:ind w:firstLine="720"/>
        <w:jc w:val="both"/>
        <w:rPr>
          <w:color w:val="000000"/>
          <w:sz w:val="22"/>
        </w:rPr>
      </w:pPr>
      <w:bookmarkStart w:id="16" w:name="_DV_M6"/>
      <w:bookmarkEnd w:id="16"/>
      <w:r>
        <w:rPr>
          <w:color w:val="000000"/>
          <w:sz w:val="22"/>
        </w:rPr>
        <w:t xml:space="preserve">                </w:t>
      </w:r>
      <w:r>
        <w:rPr>
          <w:color w:val="000000"/>
          <w:sz w:val="22"/>
        </w:rPr>
        <w:t>Letter Agreement for Generator Step-up Transformer</w:t>
      </w:r>
    </w:p>
    <w:p>
      <w:pPr>
        <w:pStyle w:val="Normal"/>
        <w:bidi w:val="0"/>
        <w:jc w:val="both"/>
        <w:rPr>
          <w:color w:val="000000"/>
          <w:sz w:val="22"/>
        </w:rPr>
      </w:pPr>
      <w:r>
        <w:rPr>
          <w:color w:val="000000"/>
          <w:sz w:val="22"/>
        </w:rPr>
      </w:r>
    </w:p>
    <w:p>
      <w:pPr>
        <w:pStyle w:val="Normal"/>
        <w:bidi w:val="0"/>
        <w:jc w:val="both"/>
        <w:rPr>
          <w:color w:val="000000"/>
          <w:sz w:val="22"/>
        </w:rPr>
      </w:pPr>
      <w:r>
        <w:rPr>
          <w:color w:val="000000"/>
          <w:sz w:val="22"/>
        </w:rPr>
      </w:r>
    </w:p>
    <w:p>
      <w:pPr>
        <w:pStyle w:val="Normal"/>
        <w:bidi w:val="0"/>
        <w:jc w:val="both"/>
        <w:rPr>
          <w:color w:val="000000"/>
          <w:sz w:val="22"/>
        </w:rPr>
      </w:pPr>
      <w:bookmarkStart w:id="17" w:name="_DV_M7"/>
      <w:bookmarkEnd w:id="17"/>
      <w:r>
        <w:rPr>
          <w:color w:val="000000"/>
          <w:sz w:val="22"/>
        </w:rPr>
        <w:t>Gentlemen:</w:t>
      </w:r>
    </w:p>
    <w:p>
      <w:pPr>
        <w:pStyle w:val="Normal"/>
        <w:bidi w:val="0"/>
        <w:jc w:val="both"/>
        <w:rPr>
          <w:color w:val="000000"/>
          <w:sz w:val="22"/>
        </w:rPr>
      </w:pPr>
      <w:r>
        <w:rPr>
          <w:color w:val="000000"/>
          <w:sz w:val="22"/>
        </w:rPr>
      </w:r>
    </w:p>
    <w:p>
      <w:pPr>
        <w:pStyle w:val="Normal"/>
        <w:bidi w:val="0"/>
        <w:ind w:firstLine="720"/>
        <w:jc w:val="both"/>
        <w:rPr>
          <w:color w:val="000000"/>
          <w:sz w:val="22"/>
        </w:rPr>
      </w:pPr>
      <w:bookmarkStart w:id="18" w:name="_DV_M8"/>
      <w:bookmarkEnd w:id="18"/>
      <w:r>
        <w:rPr>
          <w:color w:val="000000"/>
          <w:sz w:val="22"/>
        </w:rPr>
        <w:t>This letter (the “</w:t>
      </w:r>
      <w:r>
        <w:rPr>
          <w:color w:val="000000"/>
          <w:sz w:val="22"/>
          <w:u w:val="single"/>
        </w:rPr>
        <w:t>Agreement</w:t>
      </w:r>
      <w:r>
        <w:rPr>
          <w:color w:val="000000"/>
          <w:sz w:val="22"/>
        </w:rPr>
        <w:t>”), when executed by the parties, Enron North America Corp. (“</w:t>
      </w:r>
      <w:r>
        <w:rPr>
          <w:color w:val="000000"/>
          <w:sz w:val="22"/>
          <w:u w:val="single"/>
        </w:rPr>
        <w:t>ENA</w:t>
      </w:r>
      <w:r>
        <w:rPr>
          <w:color w:val="000000"/>
          <w:sz w:val="22"/>
        </w:rPr>
        <w:t xml:space="preserve">”) and </w:t>
      </w:r>
      <w:bookmarkStart w:id="19" w:name="_DV_C12"/>
      <w:r>
        <w:rPr>
          <w:rStyle w:val="DeltaViewDeletion"/>
          <w:sz w:val="22"/>
        </w:rPr>
        <w:t>Tejas</w:t>
      </w:r>
      <w:bookmarkStart w:id="20" w:name="_DV_C11"/>
      <w:bookmarkEnd w:id="19"/>
      <w:r>
        <w:rPr>
          <w:rStyle w:val="DeltaViewInsertion"/>
          <w:sz w:val="22"/>
        </w:rPr>
        <w:t>Sweetgum</w:t>
      </w:r>
      <w:bookmarkStart w:id="21" w:name="_DV_C12_Copy_1"/>
      <w:bookmarkEnd w:id="20"/>
      <w:bookmarkEnd w:id="21"/>
      <w:r>
        <w:rPr>
          <w:color w:val="000000"/>
          <w:sz w:val="22"/>
        </w:rPr>
        <w:t xml:space="preserve"> Energy </w:t>
      </w:r>
      <w:bookmarkStart w:id="22" w:name="_DV_C14"/>
      <w:r>
        <w:rPr>
          <w:rStyle w:val="DeltaViewDeletion"/>
          <w:sz w:val="22"/>
        </w:rPr>
        <w:t>NS Holding, LLC</w:t>
      </w:r>
      <w:bookmarkStart w:id="23" w:name="_DV_C13"/>
      <w:bookmarkEnd w:id="22"/>
      <w:r>
        <w:rPr>
          <w:rStyle w:val="DeltaViewInsertion"/>
          <w:sz w:val="22"/>
        </w:rPr>
        <w:t>LP</w:t>
      </w:r>
      <w:bookmarkStart w:id="24" w:name="_DV_C14_Copy_1"/>
      <w:bookmarkEnd w:id="23"/>
      <w:bookmarkEnd w:id="24"/>
      <w:r>
        <w:rPr>
          <w:color w:val="000000"/>
          <w:sz w:val="22"/>
        </w:rPr>
        <w:t xml:space="preserve"> (“</w:t>
      </w:r>
      <w:bookmarkStart w:id="25" w:name="_DV_C16"/>
      <w:r>
        <w:rPr>
          <w:rStyle w:val="DeltaViewDeletion"/>
          <w:sz w:val="22"/>
          <w:u w:val="single"/>
        </w:rPr>
        <w:t>TEH</w:t>
      </w:r>
      <w:bookmarkStart w:id="26" w:name="_DV_C15"/>
      <w:bookmarkEnd w:id="25"/>
      <w:r>
        <w:rPr>
          <w:rStyle w:val="DeltaViewInsertion"/>
          <w:sz w:val="22"/>
        </w:rPr>
        <w:t>SEL</w:t>
      </w:r>
      <w:bookmarkStart w:id="27" w:name="_DV_C16_Copy_1"/>
      <w:bookmarkEnd w:id="26"/>
      <w:bookmarkEnd w:id="27"/>
      <w:r>
        <w:rPr>
          <w:color w:val="000000"/>
          <w:sz w:val="22"/>
        </w:rPr>
        <w:t>”) (collectively, the “</w:t>
      </w:r>
      <w:r>
        <w:rPr>
          <w:color w:val="000000"/>
          <w:sz w:val="22"/>
          <w:u w:val="single"/>
        </w:rPr>
        <w:t>Parties</w:t>
      </w:r>
      <w:r>
        <w:rPr>
          <w:color w:val="000000"/>
          <w:sz w:val="22"/>
        </w:rPr>
        <w:t>” and individually, a “</w:t>
      </w:r>
      <w:r>
        <w:rPr>
          <w:color w:val="000000"/>
          <w:sz w:val="22"/>
          <w:u w:val="single"/>
        </w:rPr>
        <w:t>Party</w:t>
      </w:r>
      <w:r>
        <w:rPr>
          <w:color w:val="000000"/>
          <w:sz w:val="22"/>
        </w:rPr>
        <w:t xml:space="preserve">”), shall set forth the agreement between the Parties.    </w:t>
      </w:r>
    </w:p>
    <w:p>
      <w:pPr>
        <w:pStyle w:val="Normal"/>
        <w:bidi w:val="0"/>
        <w:jc w:val="both"/>
        <w:rPr>
          <w:color w:val="000000"/>
          <w:sz w:val="22"/>
        </w:rPr>
      </w:pPr>
      <w:r>
        <w:rPr>
          <w:color w:val="000000"/>
          <w:sz w:val="22"/>
        </w:rPr>
      </w:r>
    </w:p>
    <w:p>
      <w:pPr>
        <w:pStyle w:val="Normal"/>
        <w:bidi w:val="0"/>
        <w:ind w:firstLine="720"/>
        <w:jc w:val="both"/>
        <w:rPr>
          <w:color w:val="000000"/>
          <w:sz w:val="22"/>
        </w:rPr>
      </w:pPr>
      <w:bookmarkStart w:id="28" w:name="_DV_M12"/>
      <w:bookmarkEnd w:id="28"/>
      <w:r>
        <w:rPr>
          <w:b/>
          <w:color w:val="000000"/>
          <w:sz w:val="22"/>
        </w:rPr>
        <w:t>1.</w:t>
        <w:tab/>
        <w:t xml:space="preserve">Generator Step-up Transformer.    </w:t>
      </w:r>
      <w:r>
        <w:rPr>
          <w:color w:val="000000"/>
          <w:sz w:val="22"/>
        </w:rPr>
        <w:t xml:space="preserve">Each of ENA and </w:t>
      </w:r>
      <w:bookmarkStart w:id="29" w:name="_DV_C18"/>
      <w:r>
        <w:rPr>
          <w:rStyle w:val="DeltaViewDeletion"/>
          <w:sz w:val="22"/>
        </w:rPr>
        <w:t>TEH</w:t>
      </w:r>
      <w:bookmarkStart w:id="30" w:name="_DV_C17"/>
      <w:bookmarkEnd w:id="29"/>
      <w:r>
        <w:rPr>
          <w:rStyle w:val="DeltaViewInsertion"/>
          <w:sz w:val="22"/>
        </w:rPr>
        <w:t>SEL</w:t>
      </w:r>
      <w:bookmarkStart w:id="31" w:name="_DV_C18_Copy_1"/>
      <w:bookmarkEnd w:id="30"/>
      <w:bookmarkEnd w:id="31"/>
      <w:r>
        <w:rPr>
          <w:color w:val="000000"/>
          <w:sz w:val="22"/>
        </w:rPr>
        <w:t xml:space="preserve"> is interested in acquiring, owning, operating, administering, maintaining, modifying, financing, disposing of and otherwise dealing with one (1) generator step-up (13.8kV x 115kV/230kV) transformer identified as LNL-9517-4 (the “</w:t>
      </w:r>
      <w:r>
        <w:rPr>
          <w:color w:val="000000"/>
          <w:sz w:val="22"/>
          <w:u w:val="single"/>
        </w:rPr>
        <w:t>Subject Unit</w:t>
      </w:r>
      <w:r>
        <w:rPr>
          <w:color w:val="000000"/>
          <w:sz w:val="22"/>
        </w:rPr>
        <w:t>”).    For such purposes, ENA organized, and is the sole member of, CA Energy Development II, LLC, a Delaware limited liability company (the “</w:t>
      </w:r>
      <w:r>
        <w:rPr>
          <w:color w:val="000000"/>
          <w:sz w:val="22"/>
          <w:u w:val="single"/>
        </w:rPr>
        <w:t>LLC</w:t>
      </w:r>
      <w:r>
        <w:rPr>
          <w:color w:val="000000"/>
          <w:sz w:val="22"/>
        </w:rPr>
        <w:t>”).</w:t>
      </w:r>
    </w:p>
    <w:p>
      <w:pPr>
        <w:pStyle w:val="Normal"/>
        <w:bidi w:val="0"/>
        <w:jc w:val="both"/>
        <w:rPr>
          <w:color w:val="000000"/>
          <w:sz w:val="22"/>
        </w:rPr>
      </w:pPr>
      <w:r>
        <w:rPr>
          <w:color w:val="000000"/>
          <w:sz w:val="22"/>
        </w:rPr>
      </w:r>
    </w:p>
    <w:p>
      <w:pPr>
        <w:pStyle w:val="Normal"/>
        <w:bidi w:val="0"/>
        <w:ind w:firstLine="720"/>
        <w:jc w:val="both"/>
        <w:rPr>
          <w:color w:val="000000"/>
          <w:sz w:val="22"/>
        </w:rPr>
      </w:pPr>
      <w:bookmarkStart w:id="32" w:name="_DV_M14"/>
      <w:bookmarkEnd w:id="32"/>
      <w:r>
        <w:rPr>
          <w:b/>
          <w:color w:val="000000"/>
          <w:sz w:val="22"/>
        </w:rPr>
        <w:t>2.</w:t>
        <w:tab/>
        <w:t xml:space="preserve">Transaction.    </w:t>
      </w:r>
      <w:r>
        <w:rPr>
          <w:color w:val="000000"/>
          <w:sz w:val="22"/>
        </w:rPr>
        <w:t>The parties agree to jointly engage in the transaction more particularly described as in this Agreement (collectively, the “</w:t>
      </w:r>
      <w:r>
        <w:rPr>
          <w:color w:val="000000"/>
          <w:sz w:val="22"/>
          <w:u w:val="single"/>
        </w:rPr>
        <w:t>Transaction</w:t>
      </w:r>
      <w:r>
        <w:rPr>
          <w:color w:val="000000"/>
          <w:sz w:val="22"/>
        </w:rPr>
        <w:t xml:space="preserve">”).    The Transaction shall close on or before (i) January 10, 2001, or (ii) such earlier date which is the second business day following the date on which </w:t>
      </w:r>
      <w:bookmarkStart w:id="33" w:name="_DV_C20"/>
      <w:r>
        <w:rPr>
          <w:rStyle w:val="DeltaViewDeletion"/>
          <w:sz w:val="22"/>
        </w:rPr>
        <w:t>TEH</w:t>
      </w:r>
      <w:bookmarkStart w:id="34" w:name="_DV_C19"/>
      <w:bookmarkEnd w:id="33"/>
      <w:r>
        <w:rPr>
          <w:rStyle w:val="DeltaViewInsertion"/>
          <w:sz w:val="22"/>
        </w:rPr>
        <w:t>SEL</w:t>
      </w:r>
      <w:bookmarkStart w:id="35" w:name="_DV_C20_Copy_1"/>
      <w:bookmarkEnd w:id="34"/>
      <w:bookmarkEnd w:id="35"/>
      <w:r>
        <w:rPr>
          <w:color w:val="000000"/>
          <w:sz w:val="22"/>
        </w:rPr>
        <w:t xml:space="preserve">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36" w:name="_DV_M16"/>
      <w:bookmarkEnd w:id="36"/>
      <w:r>
        <w:rPr>
          <w:b/>
          <w:color w:val="000000"/>
          <w:sz w:val="22"/>
        </w:rPr>
        <w:tab/>
        <w:t>(a)</w:t>
        <w:tab/>
      </w:r>
      <w:r>
        <w:rPr>
          <w:color w:val="000000"/>
          <w:sz w:val="22"/>
        </w:rPr>
        <w:t>In consideration for the execution and delivery by the LLC of a demand promissory note payable to the order of ENA in the principal amount of Six Hundred Six Thousand Four Hundred and No/100 Dollars ($606,400.00) (the “</w:t>
      </w:r>
      <w:r>
        <w:rPr>
          <w:color w:val="000000"/>
          <w:sz w:val="22"/>
          <w:u w:val="single"/>
        </w:rPr>
        <w:t>Purchase Price</w:t>
      </w:r>
      <w:r>
        <w:rPr>
          <w:color w:val="000000"/>
          <w:sz w:val="22"/>
        </w:rPr>
        <w:t>”), ENA shall cause the LLC to acquire rights and obligations associated with the purchase of the Subject Unit from ABB Power T &amp; D Company (“</w:t>
      </w:r>
      <w:r>
        <w:rPr>
          <w:color w:val="000000"/>
          <w:sz w:val="22"/>
          <w:u w:val="single"/>
        </w:rPr>
        <w:t>ABB</w:t>
      </w:r>
      <w:r>
        <w:rPr>
          <w:color w:val="000000"/>
          <w:sz w:val="22"/>
        </w:rPr>
        <w:t>”), pursuant to an agreement between the LLC and ABB (the “</w:t>
      </w:r>
      <w:r>
        <w:rPr>
          <w:color w:val="000000"/>
          <w:sz w:val="22"/>
          <w:u w:val="single"/>
        </w:rPr>
        <w:t>Facility Agreement</w:t>
      </w:r>
      <w:r>
        <w:rPr>
          <w:color w:val="000000"/>
          <w:sz w:val="22"/>
        </w:rPr>
        <w:t xml:space="preserve">”) in the form contemplated by Section 22.2 of that certain agreement dated July 14, 2000 between ENA and ABB et al. to which the Subject Unit was previously subject, as may be acceptable to </w:t>
      </w:r>
      <w:bookmarkStart w:id="37" w:name="_DV_C22"/>
      <w:r>
        <w:rPr>
          <w:rStyle w:val="DeltaViewDeletion"/>
          <w:sz w:val="22"/>
        </w:rPr>
        <w:t>TEH</w:t>
      </w:r>
      <w:bookmarkStart w:id="38" w:name="_DV_C21"/>
      <w:bookmarkEnd w:id="37"/>
      <w:r>
        <w:rPr>
          <w:rStyle w:val="DeltaViewInsertion"/>
          <w:sz w:val="22"/>
        </w:rPr>
        <w:t>SEL</w:t>
      </w:r>
      <w:bookmarkStart w:id="39" w:name="_DV_C22_Copy_1"/>
      <w:bookmarkEnd w:id="38"/>
      <w:bookmarkEnd w:id="39"/>
      <w:r>
        <w:rPr>
          <w:color w:val="000000"/>
          <w:sz w:val="22"/>
        </w:rPr>
        <w:t xml:space="preserve"> in its reasonable discretion.    </w:t>
      </w:r>
      <w:bookmarkStart w:id="40" w:name="_DV_C24"/>
      <w:r>
        <w:rPr>
          <w:rStyle w:val="DeltaViewDeletion"/>
          <w:sz w:val="22"/>
        </w:rPr>
        <w:t>TEH</w:t>
      </w:r>
      <w:bookmarkStart w:id="41" w:name="_DV_C23"/>
      <w:bookmarkEnd w:id="40"/>
      <w:r>
        <w:rPr>
          <w:rStyle w:val="DeltaViewInsertion"/>
          <w:sz w:val="22"/>
        </w:rPr>
        <w:t>SEL</w:t>
      </w:r>
      <w:bookmarkStart w:id="42" w:name="_DV_C24_Copy_1"/>
      <w:bookmarkEnd w:id="41"/>
      <w:bookmarkEnd w:id="42"/>
      <w:r>
        <w:rPr>
          <w:color w:val="000000"/>
          <w:sz w:val="22"/>
        </w:rPr>
        <w:t xml:space="preserve"> agrees to advise ENA in writing, promptly following ENA’s delivery to </w:t>
      </w:r>
      <w:bookmarkStart w:id="43" w:name="_DV_C26"/>
      <w:r>
        <w:rPr>
          <w:rStyle w:val="DeltaViewDeletion"/>
          <w:sz w:val="22"/>
        </w:rPr>
        <w:t>TEH</w:t>
      </w:r>
      <w:bookmarkStart w:id="44" w:name="_DV_C25"/>
      <w:bookmarkEnd w:id="43"/>
      <w:r>
        <w:rPr>
          <w:rStyle w:val="DeltaViewInsertion"/>
          <w:sz w:val="22"/>
        </w:rPr>
        <w:t>SEL</w:t>
      </w:r>
      <w:bookmarkStart w:id="45" w:name="_DV_C26_Copy_1"/>
      <w:bookmarkEnd w:id="44"/>
      <w:bookmarkEnd w:id="45"/>
      <w:r>
        <w:rPr>
          <w:color w:val="000000"/>
          <w:sz w:val="22"/>
        </w:rPr>
        <w:t xml:space="preserve"> of the final execution form of the Facility Agreement, whether the proposed Facility Agreement is, in all material respects, acceptable to </w:t>
      </w:r>
      <w:bookmarkStart w:id="46" w:name="_DV_C28"/>
      <w:r>
        <w:rPr>
          <w:rStyle w:val="DeltaViewDeletion"/>
          <w:sz w:val="22"/>
        </w:rPr>
        <w:t>TEH</w:t>
      </w:r>
      <w:bookmarkStart w:id="47" w:name="_DV_C27"/>
      <w:bookmarkEnd w:id="46"/>
      <w:r>
        <w:rPr>
          <w:rStyle w:val="DeltaViewInsertion"/>
          <w:sz w:val="22"/>
        </w:rPr>
        <w:t>SEL</w:t>
      </w:r>
      <w:bookmarkStart w:id="48" w:name="_DV_C28_Copy_1"/>
      <w:bookmarkEnd w:id="47"/>
      <w:bookmarkEnd w:id="48"/>
      <w:r>
        <w:rPr>
          <w:color w:val="000000"/>
          <w:sz w:val="22"/>
        </w:rPr>
        <w:t xml:space="preserve"> in its reasonable discretion.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49" w:name="_DV_M21"/>
      <w:bookmarkEnd w:id="49"/>
      <w:r>
        <w:rPr>
          <w:color w:val="000000"/>
          <w:sz w:val="22"/>
        </w:rPr>
        <w:tab/>
      </w:r>
      <w:r>
        <w:rPr>
          <w:b/>
          <w:color w:val="000000"/>
          <w:sz w:val="22"/>
        </w:rPr>
        <w:t>(b)</w:t>
      </w:r>
      <w:r>
        <w:rPr>
          <w:color w:val="000000"/>
          <w:sz w:val="22"/>
        </w:rPr>
        <w:tab/>
        <w:t xml:space="preserve">Simultaneously with the delivery of the Facility Agreement, </w:t>
      </w:r>
      <w:bookmarkStart w:id="50" w:name="_DV_C30"/>
      <w:r>
        <w:rPr>
          <w:rStyle w:val="DeltaViewDeletion"/>
          <w:sz w:val="22"/>
        </w:rPr>
        <w:t>TEH</w:t>
      </w:r>
      <w:bookmarkStart w:id="51" w:name="_DV_C29"/>
      <w:bookmarkEnd w:id="50"/>
      <w:r>
        <w:rPr>
          <w:rStyle w:val="DeltaViewInsertion"/>
          <w:sz w:val="22"/>
        </w:rPr>
        <w:t>SEL</w:t>
      </w:r>
      <w:bookmarkStart w:id="52" w:name="_DV_C30_Copy_1"/>
      <w:bookmarkEnd w:id="51"/>
      <w:bookmarkEnd w:id="52"/>
      <w:r>
        <w:rPr>
          <w:color w:val="000000"/>
          <w:sz w:val="22"/>
        </w:rPr>
        <w:t xml:space="preserve"> shall extend a loan to the LLC in the amount of the Purchase Price, in consideration for the execution and delivery by the LLC of a promissory note payable to the order of </w:t>
      </w:r>
      <w:bookmarkStart w:id="53" w:name="_DV_C32"/>
      <w:r>
        <w:rPr>
          <w:rStyle w:val="DeltaViewDeletion"/>
          <w:sz w:val="22"/>
        </w:rPr>
        <w:t>TEH</w:t>
      </w:r>
      <w:bookmarkStart w:id="54" w:name="_DV_C31"/>
      <w:bookmarkEnd w:id="53"/>
      <w:r>
        <w:rPr>
          <w:rStyle w:val="DeltaViewInsertion"/>
          <w:sz w:val="22"/>
        </w:rPr>
        <w:t>SEL</w:t>
      </w:r>
      <w:bookmarkStart w:id="55" w:name="_DV_C32_Copy_1"/>
      <w:bookmarkEnd w:id="54"/>
      <w:bookmarkEnd w:id="55"/>
      <w:r>
        <w:rPr>
          <w:color w:val="000000"/>
          <w:sz w:val="22"/>
        </w:rPr>
        <w:t xml:space="preserve">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56" w:name="_DV_M24"/>
      <w:bookmarkEnd w:id="56"/>
      <w:r>
        <w:rPr>
          <w:color w:val="000000"/>
          <w:sz w:val="22"/>
        </w:rPr>
        <w:tab/>
      </w:r>
      <w:r>
        <w:rPr>
          <w:b/>
          <w:color w:val="000000"/>
          <w:sz w:val="22"/>
        </w:rPr>
        <w:t>(c)</w:t>
      </w:r>
      <w:r>
        <w:rPr>
          <w:color w:val="000000"/>
          <w:sz w:val="22"/>
        </w:rPr>
        <w:tab/>
        <w:t xml:space="preserve">Immediately upon the LLC’s receipt of loan proceeds from </w:t>
      </w:r>
      <w:bookmarkStart w:id="57" w:name="_DV_C34"/>
      <w:r>
        <w:rPr>
          <w:rStyle w:val="DeltaViewDeletion"/>
          <w:sz w:val="22"/>
        </w:rPr>
        <w:t>TEH</w:t>
      </w:r>
      <w:bookmarkStart w:id="58" w:name="_DV_C33"/>
      <w:bookmarkEnd w:id="57"/>
      <w:r>
        <w:rPr>
          <w:rStyle w:val="DeltaViewInsertion"/>
          <w:sz w:val="22"/>
        </w:rPr>
        <w:t>SEL</w:t>
      </w:r>
      <w:bookmarkStart w:id="59" w:name="_DV_C34_Copy_1"/>
      <w:bookmarkEnd w:id="58"/>
      <w:bookmarkEnd w:id="59"/>
      <w:r>
        <w:rPr>
          <w:color w:val="000000"/>
          <w:sz w:val="22"/>
        </w:rPr>
        <w:t xml:space="preserve">, each of ENA and </w:t>
      </w:r>
      <w:bookmarkStart w:id="60" w:name="_DV_C36"/>
      <w:r>
        <w:rPr>
          <w:rStyle w:val="DeltaViewDeletion"/>
          <w:sz w:val="22"/>
        </w:rPr>
        <w:t>TEH</w:t>
      </w:r>
      <w:bookmarkStart w:id="61" w:name="_DV_C35"/>
      <w:bookmarkEnd w:id="60"/>
      <w:r>
        <w:rPr>
          <w:rStyle w:val="DeltaViewInsertion"/>
          <w:sz w:val="22"/>
        </w:rPr>
        <w:t>SEL</w:t>
      </w:r>
      <w:bookmarkStart w:id="62" w:name="_DV_C36_Copy_1"/>
      <w:bookmarkEnd w:id="61"/>
      <w:bookmarkEnd w:id="62"/>
      <w:r>
        <w:rPr>
          <w:color w:val="000000"/>
          <w:sz w:val="22"/>
        </w:rPr>
        <w:t xml:space="preserve"> shall cause the LLC to repay in its entirety the demand promissory note previously issued by the LLC to ENA. 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63" w:name="_DV_M27"/>
      <w:bookmarkEnd w:id="63"/>
      <w:r>
        <w:rPr>
          <w:color w:val="000000"/>
          <w:sz w:val="22"/>
        </w:rPr>
        <w:tab/>
      </w:r>
      <w:r>
        <w:rPr>
          <w:b/>
          <w:color w:val="000000"/>
          <w:sz w:val="22"/>
        </w:rPr>
        <w:t>(d)</w:t>
      </w:r>
      <w:r>
        <w:rPr>
          <w:color w:val="000000"/>
          <w:sz w:val="22"/>
        </w:rPr>
        <w:tab/>
      </w:r>
      <w:bookmarkStart w:id="64" w:name="_DV_C38"/>
      <w:r>
        <w:rPr>
          <w:rStyle w:val="DeltaViewDeletion"/>
          <w:sz w:val="22"/>
        </w:rPr>
        <w:t>TEH</w:t>
      </w:r>
      <w:bookmarkStart w:id="65" w:name="_DV_C37"/>
      <w:bookmarkEnd w:id="64"/>
      <w:r>
        <w:rPr>
          <w:rStyle w:val="DeltaViewInsertion"/>
          <w:sz w:val="22"/>
        </w:rPr>
        <w:t>SEL</w:t>
      </w:r>
      <w:bookmarkStart w:id="66" w:name="_DV_C38_Copy_1"/>
      <w:bookmarkEnd w:id="65"/>
      <w:bookmarkEnd w:id="66"/>
      <w:r>
        <w:rPr>
          <w:color w:val="000000"/>
          <w:sz w:val="22"/>
        </w:rPr>
        <w:t xml:space="preserve"> shall have received a written acknowledgement and confirmation from ABB in the form attached hereto as </w:t>
      </w:r>
      <w:r>
        <w:rPr>
          <w:color w:val="000000"/>
          <w:sz w:val="22"/>
          <w:u w:val="single"/>
        </w:rPr>
        <w:t>Exhibit A</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67" w:name="_DV_M29"/>
      <w:bookmarkEnd w:id="67"/>
      <w:r>
        <w:rPr>
          <w:color w:val="000000"/>
          <w:sz w:val="22"/>
        </w:rPr>
        <w:tab/>
      </w:r>
      <w:r>
        <w:rPr>
          <w:b/>
          <w:color w:val="000000"/>
          <w:sz w:val="22"/>
        </w:rPr>
        <w:t>(e)</w:t>
      </w:r>
      <w:r>
        <w:rPr>
          <w:color w:val="000000"/>
          <w:sz w:val="22"/>
        </w:rPr>
        <w:tab/>
        <w:t xml:space="preserve">The closing shall have occurred under that certain letter agreement of even date herewith between ENA and </w:t>
      </w:r>
      <w:bookmarkStart w:id="68" w:name="_DV_C40"/>
      <w:r>
        <w:rPr>
          <w:rStyle w:val="DeltaViewDeletion"/>
          <w:sz w:val="22"/>
        </w:rPr>
        <w:t>TEH</w:t>
      </w:r>
      <w:bookmarkStart w:id="69" w:name="_DV_C39"/>
      <w:bookmarkEnd w:id="68"/>
      <w:r>
        <w:rPr>
          <w:rStyle w:val="DeltaViewInsertion"/>
          <w:sz w:val="22"/>
        </w:rPr>
        <w:t>SEL</w:t>
      </w:r>
      <w:bookmarkStart w:id="70" w:name="_DV_C40_Copy_1"/>
      <w:bookmarkEnd w:id="69"/>
      <w:bookmarkEnd w:id="70"/>
      <w:r>
        <w:rPr>
          <w:color w:val="000000"/>
          <w:sz w:val="22"/>
        </w:rPr>
        <w:t xml:space="preserve"> relating to the acquisition by </w:t>
      </w:r>
      <w:bookmarkStart w:id="71" w:name="_DV_C42"/>
      <w:r>
        <w:rPr>
          <w:rStyle w:val="DeltaViewDeletion"/>
          <w:sz w:val="22"/>
        </w:rPr>
        <w:t>TEH</w:t>
      </w:r>
      <w:bookmarkStart w:id="72" w:name="_DV_C41"/>
      <w:bookmarkEnd w:id="71"/>
      <w:r>
        <w:rPr>
          <w:rStyle w:val="DeltaViewInsertion"/>
          <w:sz w:val="22"/>
        </w:rPr>
        <w:t>SEL</w:t>
      </w:r>
      <w:bookmarkStart w:id="73" w:name="_DV_C42_Copy_1"/>
      <w:bookmarkEnd w:id="72"/>
      <w:bookmarkEnd w:id="73"/>
      <w:r>
        <w:rPr>
          <w:color w:val="000000"/>
          <w:sz w:val="22"/>
        </w:rPr>
        <w:t xml:space="preserve"> of a membership interest in the LLC.</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74" w:name="_DV_C43"/>
      <w:r>
        <w:rPr>
          <w:rStyle w:val="DeltaViewDeletion"/>
          <w:sz w:val="22"/>
        </w:rPr>
        <w:t>Simultaneously with execution of this Agreement, TEH has delivered to ENA a Guaranty Agreement executed by Coral Energy, LLC, pursuant to which Coral Energy, LLC guarantees payment and performance of the obligations of TEH pursuant to this Agreement.</w:t>
      </w:r>
      <w:bookmarkEnd w:id="74"/>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75" w:name="_DV_M32"/>
      <w:bookmarkEnd w:id="75"/>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76" w:name="_DV_M33"/>
      <w:bookmarkEnd w:id="76"/>
      <w:r>
        <w:rPr>
          <w:color w:val="000000"/>
          <w:sz w:val="22"/>
        </w:rPr>
        <w:tab/>
      </w:r>
      <w:r>
        <w:rPr>
          <w:b/>
          <w:color w:val="000000"/>
          <w:sz w:val="22"/>
        </w:rPr>
        <w:t>(a)</w:t>
      </w:r>
      <w:r>
        <w:rPr>
          <w:color w:val="000000"/>
          <w:sz w:val="22"/>
        </w:rPr>
        <w:tab/>
        <w:t xml:space="preserve">ENA agrees to be responsible for, to promptly pay, and to hold </w:t>
      </w:r>
      <w:bookmarkStart w:id="77" w:name="_DV_C45"/>
      <w:r>
        <w:rPr>
          <w:rStyle w:val="DeltaViewDeletion"/>
          <w:sz w:val="22"/>
        </w:rPr>
        <w:t>TEH</w:t>
      </w:r>
      <w:bookmarkStart w:id="78" w:name="_DV_C44"/>
      <w:bookmarkEnd w:id="77"/>
      <w:r>
        <w:rPr>
          <w:rStyle w:val="DeltaViewInsertion"/>
          <w:sz w:val="22"/>
        </w:rPr>
        <w:t>SEL</w:t>
      </w:r>
      <w:bookmarkStart w:id="79" w:name="_DV_C45_Copy_1"/>
      <w:bookmarkEnd w:id="78"/>
      <w:bookmarkEnd w:id="79"/>
      <w:r>
        <w:rPr>
          <w:color w:val="000000"/>
          <w:sz w:val="22"/>
        </w:rPr>
        <w:t xml:space="preserve">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80" w:name="_DV_M35"/>
      <w:bookmarkEnd w:id="80"/>
      <w:r>
        <w:rPr>
          <w:b/>
          <w:color w:val="000000"/>
          <w:sz w:val="22"/>
        </w:rPr>
        <w:tab/>
        <w:t>(b)</w:t>
      </w:r>
      <w:r>
        <w:rPr>
          <w:color w:val="000000"/>
          <w:sz w:val="22"/>
        </w:rPr>
        <w:tab/>
      </w:r>
      <w:bookmarkStart w:id="81" w:name="_DV_C47"/>
      <w:r>
        <w:rPr>
          <w:rStyle w:val="DeltaViewDeletion"/>
          <w:sz w:val="22"/>
        </w:rPr>
        <w:t>TEH</w:t>
      </w:r>
      <w:bookmarkStart w:id="82" w:name="_DV_C46"/>
      <w:bookmarkEnd w:id="81"/>
      <w:r>
        <w:rPr>
          <w:rStyle w:val="DeltaViewInsertion"/>
          <w:sz w:val="22"/>
        </w:rPr>
        <w:t>SEL</w:t>
      </w:r>
      <w:bookmarkStart w:id="83" w:name="_DV_C47_Copy_1"/>
      <w:bookmarkEnd w:id="82"/>
      <w:bookmarkEnd w:id="83"/>
      <w:r>
        <w:rPr>
          <w:color w:val="000000"/>
          <w:sz w:val="22"/>
        </w:rPr>
        <w:t xml:space="preserve">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retainage, but excluding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b/>
          <w:color w:val="000000"/>
          <w:sz w:val="22"/>
        </w:rPr>
      </w:pPr>
      <w:bookmarkStart w:id="84" w:name="_DV_M37"/>
      <w:bookmarkEnd w:id="84"/>
      <w:r>
        <w:rPr>
          <w:color w:val="000000"/>
          <w:sz w:val="22"/>
        </w:rPr>
        <w:tab/>
      </w:r>
      <w:r>
        <w:rPr>
          <w:b/>
          <w:color w:val="000000"/>
          <w:sz w:val="22"/>
        </w:rPr>
        <w:t>(c)</w:t>
        <w:tab/>
      </w:r>
      <w:r>
        <w:rPr>
          <w:color w:val="000000"/>
          <w:sz w:val="22"/>
        </w:rPr>
        <w:t xml:space="preserve">ENA shall provide </w:t>
      </w:r>
      <w:bookmarkStart w:id="85" w:name="_DV_C49"/>
      <w:r>
        <w:rPr>
          <w:rStyle w:val="DeltaViewDeletion"/>
          <w:sz w:val="22"/>
        </w:rPr>
        <w:t>TEH</w:t>
      </w:r>
      <w:bookmarkStart w:id="86" w:name="_DV_C48"/>
      <w:bookmarkEnd w:id="85"/>
      <w:r>
        <w:rPr>
          <w:rStyle w:val="DeltaViewInsertion"/>
          <w:sz w:val="22"/>
        </w:rPr>
        <w:t>SEL</w:t>
      </w:r>
      <w:bookmarkStart w:id="87" w:name="_DV_C49_Copy_1"/>
      <w:bookmarkEnd w:id="86"/>
      <w:bookmarkEnd w:id="87"/>
      <w:r>
        <w:rPr>
          <w:color w:val="000000"/>
          <w:sz w:val="22"/>
        </w:rPr>
        <w:t xml:space="preserve"> such development and technical assistance regarding the Subject Unit as </w:t>
      </w:r>
      <w:bookmarkStart w:id="88" w:name="_DV_C51"/>
      <w:r>
        <w:rPr>
          <w:rStyle w:val="DeltaViewDeletion"/>
          <w:sz w:val="22"/>
        </w:rPr>
        <w:t>TEH</w:t>
      </w:r>
      <w:bookmarkStart w:id="89" w:name="_DV_C50"/>
      <w:bookmarkEnd w:id="88"/>
      <w:r>
        <w:rPr>
          <w:rStyle w:val="DeltaViewInsertion"/>
          <w:sz w:val="22"/>
        </w:rPr>
        <w:t>SEL</w:t>
      </w:r>
      <w:bookmarkStart w:id="90" w:name="_DV_C51_Copy_1"/>
      <w:bookmarkEnd w:id="89"/>
      <w:bookmarkEnd w:id="90"/>
      <w:r>
        <w:rPr>
          <w:color w:val="000000"/>
          <w:sz w:val="22"/>
        </w:rPr>
        <w:t xml:space="preserve"> reasonably requests; provided, however, that (i) </w:t>
      </w:r>
      <w:bookmarkStart w:id="91" w:name="_DV_C53"/>
      <w:r>
        <w:rPr>
          <w:rStyle w:val="DeltaViewDeletion"/>
          <w:sz w:val="22"/>
        </w:rPr>
        <w:t>TEH</w:t>
      </w:r>
      <w:bookmarkStart w:id="92" w:name="_DV_C52"/>
      <w:bookmarkEnd w:id="91"/>
      <w:r>
        <w:rPr>
          <w:rStyle w:val="DeltaViewInsertion"/>
          <w:sz w:val="22"/>
        </w:rPr>
        <w:t>SEL</w:t>
      </w:r>
      <w:bookmarkStart w:id="93" w:name="_DV_C53_Copy_1"/>
      <w:bookmarkEnd w:id="92"/>
      <w:bookmarkEnd w:id="93"/>
      <w:r>
        <w:rPr>
          <w:color w:val="000000"/>
          <w:sz w:val="22"/>
        </w:rPr>
        <w:t xml:space="preserve"> shall have no recourse to ENA to the extent that ENA declines to provide such assistance in its sole and absolute discretion, (ii) should ENA choose to provide such assistance, it shall do so without any warranty whatsoever and </w:t>
      </w:r>
      <w:bookmarkStart w:id="94" w:name="_DV_C55"/>
      <w:r>
        <w:rPr>
          <w:rStyle w:val="DeltaViewDeletion"/>
          <w:sz w:val="22"/>
        </w:rPr>
        <w:t>TEH</w:t>
      </w:r>
      <w:bookmarkStart w:id="95" w:name="_DV_C54"/>
      <w:bookmarkEnd w:id="94"/>
      <w:r>
        <w:rPr>
          <w:rStyle w:val="DeltaViewInsertion"/>
          <w:sz w:val="22"/>
        </w:rPr>
        <w:t>SEL</w:t>
      </w:r>
      <w:bookmarkStart w:id="96" w:name="_DV_C55_Copy_1"/>
      <w:bookmarkEnd w:id="95"/>
      <w:bookmarkEnd w:id="96"/>
      <w:r>
        <w:rPr>
          <w:color w:val="000000"/>
          <w:sz w:val="22"/>
        </w:rPr>
        <w:t xml:space="preserve"> shall have no recourse to ENA with respect to such assistance, except for ENA’s gross negligence or willful misconduct, and (iii) </w:t>
      </w:r>
      <w:bookmarkStart w:id="97" w:name="_DV_C57"/>
      <w:r>
        <w:rPr>
          <w:rStyle w:val="DeltaViewDeletion"/>
          <w:sz w:val="22"/>
        </w:rPr>
        <w:t>TEH</w:t>
      </w:r>
      <w:bookmarkStart w:id="98" w:name="_DV_C56"/>
      <w:bookmarkEnd w:id="97"/>
      <w:r>
        <w:rPr>
          <w:rStyle w:val="DeltaViewInsertion"/>
          <w:sz w:val="22"/>
        </w:rPr>
        <w:t>SEL</w:t>
      </w:r>
      <w:bookmarkStart w:id="99" w:name="_DV_C57_Copy_1"/>
      <w:bookmarkEnd w:id="98"/>
      <w:bookmarkEnd w:id="99"/>
      <w:r>
        <w:rPr>
          <w:color w:val="000000"/>
          <w:sz w:val="22"/>
        </w:rPr>
        <w:t xml:space="preserve">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100" w:name="_DV_M43"/>
      <w:bookmarkEnd w:id="100"/>
      <w:r>
        <w:rPr>
          <w:b/>
          <w:color w:val="000000"/>
          <w:sz w:val="22"/>
        </w:rPr>
        <w:tab/>
        <w:t>(d)</w:t>
        <w:tab/>
      </w:r>
      <w:r>
        <w:rPr>
          <w:color w:val="000000"/>
          <w:sz w:val="22"/>
        </w:rPr>
        <w:t xml:space="preserve">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w:t>
      </w:r>
      <w:bookmarkStart w:id="101" w:name="_DV_C59"/>
      <w:r>
        <w:rPr>
          <w:rStyle w:val="DeltaViewDeletion"/>
          <w:sz w:val="22"/>
        </w:rPr>
        <w:t>TEH</w:t>
      </w:r>
      <w:bookmarkStart w:id="102" w:name="_DV_C58"/>
      <w:bookmarkEnd w:id="101"/>
      <w:r>
        <w:rPr>
          <w:rStyle w:val="DeltaViewInsertion"/>
          <w:sz w:val="22"/>
        </w:rPr>
        <w:t>SEL</w:t>
      </w:r>
      <w:bookmarkStart w:id="103" w:name="_DV_C59_Copy_1"/>
      <w:bookmarkEnd w:id="102"/>
      <w:bookmarkEnd w:id="103"/>
      <w:r>
        <w:rPr>
          <w:color w:val="000000"/>
          <w:sz w:val="22"/>
        </w:rPr>
        <w:t xml:space="preserve"> copies of all correspondence which it receives from any entity, including without limitation ABB,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04" w:name="_DV_M45"/>
      <w:bookmarkEnd w:id="104"/>
      <w:r>
        <w:rPr>
          <w:color w:val="000000"/>
          <w:sz w:val="22"/>
        </w:rPr>
        <w:tab/>
      </w:r>
      <w:r>
        <w:rPr>
          <w:b/>
          <w:color w:val="000000"/>
          <w:sz w:val="22"/>
        </w:rPr>
        <w:t>(e)</w:t>
      </w:r>
      <w:r>
        <w:rPr>
          <w:color w:val="000000"/>
          <w:sz w:val="22"/>
        </w:rPr>
        <w:tab/>
        <w:t xml:space="preserve">Within 10 days after the closing of the Transaction, ENA shall deliver to the LLC all plans, drawings, diagrams and other documents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05" w:name="_DV_C60"/>
      <w:r>
        <w:rPr>
          <w:rStyle w:val="DeltaViewInsertion"/>
          <w:sz w:val="22"/>
        </w:rPr>
        <w:tab/>
      </w:r>
      <w:r>
        <w:rPr>
          <w:rStyle w:val="DeltaViewInsertion"/>
          <w:b/>
          <w:sz w:val="22"/>
        </w:rPr>
        <w:t>(f)</w:t>
      </w:r>
      <w:r>
        <w:rPr>
          <w:rStyle w:val="DeltaViewInsertion"/>
          <w:sz w:val="22"/>
        </w:rPr>
        <w:tab/>
        <w:t>Each Party covenants and agrees to use all reasonable efforts to satisfy the conditions precedent set forth in Section 2 hereof; provided, however, the foregoing shall not prevent or limit SEL’s use of its reasonable discretion under Section 2(a) hereof.</w:t>
      </w:r>
      <w:bookmarkEnd w:id="105"/>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06" w:name="_DV_M46"/>
      <w:bookmarkEnd w:id="106"/>
      <w:r>
        <w:rPr>
          <w:b/>
          <w:color w:val="000000"/>
          <w:sz w:val="22"/>
        </w:rPr>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r>
        <w:rPr>
          <w:color w:val="000000"/>
          <w:sz w:val="22"/>
          <w:vertAlign w:val="superscript"/>
        </w:rPr>
        <w:t>th</w:t>
      </w:r>
      <w:r>
        <w:rPr>
          <w:color w:val="000000"/>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in the event that the Facility Agreement is not delivered on or before January 10,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7" w:name="_DV_M47"/>
      <w:bookmarkEnd w:id="107"/>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8" w:name="_DV_M48"/>
      <w:bookmarkEnd w:id="108"/>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9" w:name="_DV_M49"/>
      <w:bookmarkEnd w:id="109"/>
      <w:r>
        <w:rPr>
          <w:b/>
          <w:color w:val="000000"/>
          <w:sz w:val="22"/>
        </w:rPr>
        <w:tab/>
        <w:t>(a)</w:t>
        <w:tab/>
      </w:r>
      <w:r>
        <w:rPr>
          <w:color w:val="000000"/>
          <w:sz w:val="22"/>
        </w:rPr>
        <w:t xml:space="preserve">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w:t>
      </w:r>
      <w:bookmarkStart w:id="110" w:name="_DV_C62"/>
      <w:r>
        <w:rPr>
          <w:rStyle w:val="DeltaViewDeletion"/>
          <w:sz w:val="22"/>
        </w:rPr>
        <w:t>TEH</w:t>
      </w:r>
      <w:bookmarkStart w:id="111" w:name="_DV_C61"/>
      <w:bookmarkEnd w:id="110"/>
      <w:r>
        <w:rPr>
          <w:rStyle w:val="DeltaViewInsertion"/>
          <w:sz w:val="22"/>
        </w:rPr>
        <w:t>SEL</w:t>
      </w:r>
      <w:bookmarkStart w:id="112" w:name="_DV_C62_Copy_1"/>
      <w:bookmarkEnd w:id="111"/>
      <w:bookmarkEnd w:id="112"/>
      <w:r>
        <w:rPr>
          <w:color w:val="000000"/>
          <w:sz w:val="22"/>
        </w:rPr>
        <w:t xml:space="preserve"> represents and warrants that it is a limited </w:t>
      </w:r>
      <w:bookmarkStart w:id="113" w:name="_DV_C64"/>
      <w:r>
        <w:rPr>
          <w:rStyle w:val="DeltaViewDeletion"/>
          <w:sz w:val="22"/>
        </w:rPr>
        <w:t>liability company</w:t>
      </w:r>
      <w:bookmarkStart w:id="114" w:name="_DV_C63"/>
      <w:bookmarkEnd w:id="113"/>
      <w:r>
        <w:rPr>
          <w:rStyle w:val="DeltaViewInsertion"/>
          <w:sz w:val="22"/>
        </w:rPr>
        <w:t>partnership</w:t>
      </w:r>
      <w:bookmarkStart w:id="115" w:name="_DV_C64_Copy_1"/>
      <w:bookmarkEnd w:id="114"/>
      <w:bookmarkEnd w:id="115"/>
      <w:r>
        <w:rPr>
          <w:color w:val="000000"/>
          <w:sz w:val="22"/>
        </w:rPr>
        <w:t xml:space="preserve">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6" w:name="_DV_M52"/>
      <w:bookmarkEnd w:id="116"/>
      <w:r>
        <w:rPr>
          <w:color w:val="000000"/>
          <w:sz w:val="22"/>
        </w:rPr>
        <w:tab/>
      </w:r>
      <w:r>
        <w:rPr>
          <w:b/>
          <w:color w:val="000000"/>
          <w:sz w:val="22"/>
        </w:rPr>
        <w:t>(b)</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17" w:name="_DV_M53"/>
      <w:bookmarkEnd w:id="117"/>
      <w:r>
        <w:rPr>
          <w:b/>
          <w:color w:val="000000"/>
          <w:sz w:val="22"/>
        </w:rPr>
        <w:t>(i)</w:t>
        <w:tab/>
      </w:r>
      <w:r>
        <w:rPr>
          <w:color w:val="000000"/>
          <w:sz w:val="22"/>
        </w:rPr>
        <w:t>The Facility Agreement, when executed and delivered by the parties thereto and at the closing of the Transaction,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18" w:name="_DV_M54"/>
      <w:bookmarkEnd w:id="118"/>
      <w:r>
        <w:rPr>
          <w:b/>
          <w:color w:val="000000"/>
          <w:sz w:val="22"/>
        </w:rPr>
        <w:t>(ii)</w:t>
      </w:r>
      <w:r>
        <w:rPr>
          <w:color w:val="000000"/>
          <w:sz w:val="22"/>
        </w:rPr>
        <w:tab/>
        <w:t xml:space="preserve">As of the date of closing, the Facility Agreement will be in all material respects in the same form as the agreement (including all exhibits and schedules thereto) approved in writing by </w:t>
      </w:r>
      <w:bookmarkStart w:id="119" w:name="_DV_C66"/>
      <w:r>
        <w:rPr>
          <w:rStyle w:val="DeltaViewDeletion"/>
          <w:sz w:val="22"/>
        </w:rPr>
        <w:t>TEH</w:t>
      </w:r>
      <w:bookmarkStart w:id="120" w:name="_DV_C65"/>
      <w:bookmarkEnd w:id="119"/>
      <w:r>
        <w:rPr>
          <w:rStyle w:val="DeltaViewInsertion"/>
          <w:sz w:val="22"/>
        </w:rPr>
        <w:t>SEL</w:t>
      </w:r>
      <w:bookmarkStart w:id="121" w:name="_DV_C66_Copy_1"/>
      <w:bookmarkEnd w:id="120"/>
      <w:bookmarkEnd w:id="121"/>
      <w:r>
        <w:rPr>
          <w:color w:val="000000"/>
          <w:sz w:val="22"/>
        </w:rPr>
        <w:t xml:space="preserve"> in its reasonable discretion pursuant to Section 2(a), and will not have been amended, revised, assigned, transferred, conveyed or otherwise modified and no change orders with respect thereto will have been agreed to or issued, and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2" w:name="_DV_M56"/>
      <w:bookmarkEnd w:id="122"/>
      <w:r>
        <w:rPr>
          <w:b/>
          <w:color w:val="000000"/>
          <w:sz w:val="22"/>
        </w:rPr>
        <w:t>(iii)</w:t>
      </w:r>
      <w:r>
        <w:rPr>
          <w:color w:val="000000"/>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3" w:name="_DV_M57"/>
      <w:bookmarkEnd w:id="123"/>
      <w:r>
        <w:rPr>
          <w:b/>
          <w:color w:val="000000"/>
          <w:sz w:val="22"/>
        </w:rPr>
        <w:t>(iv)</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4" w:name="_DV_M58"/>
      <w:bookmarkEnd w:id="124"/>
      <w:r>
        <w:rPr>
          <w:b/>
          <w:color w:val="000000"/>
          <w:sz w:val="22"/>
        </w:rPr>
        <w:t>(v)</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5" w:name="_DV_M59"/>
      <w:bookmarkEnd w:id="125"/>
      <w:r>
        <w:rPr>
          <w:b/>
          <w:color w:val="000000"/>
          <w:sz w:val="22"/>
        </w:rPr>
        <w:t>(vi)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6" w:name="_DV_M60"/>
      <w:bookmarkEnd w:id="126"/>
      <w:r>
        <w:rPr>
          <w:b/>
          <w:color w:val="000000"/>
          <w:sz w:val="22"/>
        </w:rPr>
        <w:t>(vii)</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27" w:name="_DV_M61"/>
      <w:bookmarkEnd w:id="127"/>
      <w:r>
        <w:rPr>
          <w:b/>
          <w:color w:val="000000"/>
          <w:sz w:val="22"/>
        </w:rPr>
        <w:t>(viii)</w:t>
      </w:r>
      <w:r>
        <w:rPr>
          <w:color w:val="000000"/>
          <w:sz w:val="22"/>
        </w:rPr>
        <w:tab/>
        <w:t xml:space="preserve">Neither </w:t>
      </w:r>
      <w:bookmarkStart w:id="128" w:name="_DV_C68"/>
      <w:r>
        <w:rPr>
          <w:rStyle w:val="DeltaViewDeletion"/>
          <w:sz w:val="22"/>
        </w:rPr>
        <w:t>TEH</w:t>
      </w:r>
      <w:bookmarkStart w:id="129" w:name="_DV_C67"/>
      <w:bookmarkEnd w:id="128"/>
      <w:r>
        <w:rPr>
          <w:rStyle w:val="DeltaViewInsertion"/>
          <w:sz w:val="22"/>
        </w:rPr>
        <w:t>SEL</w:t>
      </w:r>
      <w:bookmarkStart w:id="130" w:name="_DV_C68_Copy_1"/>
      <w:bookmarkEnd w:id="129"/>
      <w:bookmarkEnd w:id="130"/>
      <w:r>
        <w:rPr>
          <w:color w:val="000000"/>
          <w:sz w:val="22"/>
        </w:rPr>
        <w:t xml:space="preserve">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31" w:name="_DV_M63"/>
      <w:bookmarkEnd w:id="131"/>
      <w:r>
        <w:rPr>
          <w:b/>
          <w:color w:val="000000"/>
          <w:sz w:val="22"/>
        </w:rPr>
        <w:t>(ix)</w:t>
      </w:r>
      <w:r>
        <w:rPr>
          <w:color w:val="000000"/>
          <w:sz w:val="22"/>
        </w:rPr>
        <w:tab/>
        <w:t xml:space="preserve">ENA has not received from ABB any notice of delay or any request to extend any date of delivery or other performance by ABB under the Facility Agreement.    ENA has furnished </w:t>
      </w:r>
      <w:bookmarkStart w:id="132" w:name="_DV_C70"/>
      <w:r>
        <w:rPr>
          <w:rStyle w:val="DeltaViewDeletion"/>
          <w:sz w:val="22"/>
        </w:rPr>
        <w:t>TEH</w:t>
      </w:r>
      <w:bookmarkStart w:id="133" w:name="_DV_C69"/>
      <w:bookmarkEnd w:id="132"/>
      <w:r>
        <w:rPr>
          <w:rStyle w:val="DeltaViewInsertion"/>
          <w:sz w:val="22"/>
        </w:rPr>
        <w:t>SEL</w:t>
      </w:r>
      <w:bookmarkStart w:id="134" w:name="_DV_C70_Copy_1"/>
      <w:bookmarkEnd w:id="133"/>
      <w:bookmarkEnd w:id="134"/>
      <w:r>
        <w:rPr>
          <w:color w:val="000000"/>
          <w:sz w:val="22"/>
        </w:rPr>
        <w:t xml:space="preserve">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35" w:name="_DV_M65"/>
      <w:bookmarkEnd w:id="135"/>
      <w:r>
        <w:rPr>
          <w:b/>
          <w:color w:val="000000"/>
          <w:sz w:val="22"/>
        </w:rPr>
        <w:t>(x)</w:t>
      </w:r>
      <w:r>
        <w:rPr>
          <w:color w:val="000000"/>
          <w:sz w:val="22"/>
        </w:rPr>
        <w:tab/>
        <w:t>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6" w:name="_DV_M66"/>
      <w:bookmarkEnd w:id="136"/>
      <w:r>
        <w:rPr>
          <w:b/>
          <w:color w:val="000000"/>
          <w:sz w:val="22"/>
        </w:rPr>
        <w:tab/>
        <w:t>(e)</w:t>
      </w:r>
      <w:r>
        <w:rPr>
          <w:color w:val="000000"/>
          <w:sz w:val="22"/>
        </w:rPr>
        <w:tab/>
      </w:r>
      <w:bookmarkStart w:id="137" w:name="_DV_C72"/>
      <w:r>
        <w:rPr>
          <w:rStyle w:val="DeltaViewDeletion"/>
          <w:sz w:val="22"/>
        </w:rPr>
        <w:t>TEH</w:t>
      </w:r>
      <w:bookmarkStart w:id="138" w:name="_DV_C71"/>
      <w:bookmarkEnd w:id="137"/>
      <w:r>
        <w:rPr>
          <w:rStyle w:val="DeltaViewInsertion"/>
          <w:sz w:val="22"/>
        </w:rPr>
        <w:t>SEL</w:t>
      </w:r>
      <w:bookmarkStart w:id="139" w:name="_DV_C72_Copy_1"/>
      <w:bookmarkEnd w:id="138"/>
      <w:bookmarkEnd w:id="139"/>
      <w:r>
        <w:rPr>
          <w:color w:val="000000"/>
          <w:sz w:val="22"/>
        </w:rPr>
        <w:t xml:space="preserve">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40" w:name="_DV_M68"/>
      <w:bookmarkEnd w:id="140"/>
      <w:r>
        <w:rPr>
          <w:b/>
          <w:color w:val="000000"/>
          <w:sz w:val="22"/>
        </w:rPr>
        <w:t>(i)</w:t>
      </w:r>
      <w:r>
        <w:rPr>
          <w:color w:val="000000"/>
          <w:sz w:val="22"/>
        </w:rPr>
        <w:tab/>
        <w:t xml:space="preserve">Neither the execution, delivery nor performance of this Agreement or the Transaction by </w:t>
      </w:r>
      <w:bookmarkStart w:id="141" w:name="_DV_C74"/>
      <w:r>
        <w:rPr>
          <w:rStyle w:val="DeltaViewDeletion"/>
          <w:sz w:val="22"/>
        </w:rPr>
        <w:t>TEH</w:t>
      </w:r>
      <w:bookmarkStart w:id="142" w:name="_DV_C73"/>
      <w:bookmarkEnd w:id="141"/>
      <w:r>
        <w:rPr>
          <w:rStyle w:val="DeltaViewInsertion"/>
          <w:sz w:val="22"/>
        </w:rPr>
        <w:t>SEL</w:t>
      </w:r>
      <w:bookmarkStart w:id="143" w:name="_DV_C74_Copy_1"/>
      <w:bookmarkEnd w:id="142"/>
      <w:bookmarkEnd w:id="143"/>
      <w:r>
        <w:rPr>
          <w:color w:val="000000"/>
          <w:sz w:val="22"/>
        </w:rPr>
        <w:t xml:space="preserve"> will violate any provision of the limited </w:t>
      </w:r>
      <w:bookmarkStart w:id="144" w:name="_DV_C76"/>
      <w:r>
        <w:rPr>
          <w:rStyle w:val="DeltaViewDeletion"/>
          <w:sz w:val="22"/>
        </w:rPr>
        <w:t>liability</w:t>
      </w:r>
      <w:bookmarkStart w:id="145" w:name="_DV_C75"/>
      <w:bookmarkEnd w:id="144"/>
      <w:r>
        <w:rPr>
          <w:rStyle w:val="DeltaViewInsertion"/>
          <w:sz w:val="22"/>
        </w:rPr>
        <w:t>partnership</w:t>
      </w:r>
      <w:bookmarkStart w:id="146" w:name="_DV_C76_Copy_1"/>
      <w:bookmarkEnd w:id="145"/>
      <w:bookmarkEnd w:id="146"/>
      <w:r>
        <w:rPr>
          <w:color w:val="000000"/>
          <w:sz w:val="22"/>
        </w:rPr>
        <w:t xml:space="preserve"> agreement or other governing documents of </w:t>
      </w:r>
      <w:bookmarkStart w:id="147" w:name="_DV_C78"/>
      <w:r>
        <w:rPr>
          <w:rStyle w:val="DeltaViewDeletion"/>
          <w:sz w:val="22"/>
        </w:rPr>
        <w:t>TEH</w:t>
      </w:r>
      <w:bookmarkStart w:id="148" w:name="_DV_C77"/>
      <w:bookmarkEnd w:id="147"/>
      <w:r>
        <w:rPr>
          <w:rStyle w:val="DeltaViewInsertion"/>
          <w:sz w:val="22"/>
        </w:rPr>
        <w:t>SEL</w:t>
      </w:r>
      <w:bookmarkStart w:id="149" w:name="_DV_C78_Copy_1"/>
      <w:bookmarkEnd w:id="148"/>
      <w:bookmarkEnd w:id="149"/>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bookmarkStart w:id="150" w:name="_DV_C80"/>
      <w:r>
        <w:rPr>
          <w:rStyle w:val="DeltaViewDeletion"/>
          <w:sz w:val="22"/>
        </w:rPr>
        <w:t>TEH</w:t>
      </w:r>
      <w:bookmarkStart w:id="151" w:name="_DV_C79"/>
      <w:bookmarkEnd w:id="150"/>
      <w:r>
        <w:rPr>
          <w:rStyle w:val="DeltaViewInsertion"/>
          <w:sz w:val="22"/>
        </w:rPr>
        <w:t>SEL</w:t>
      </w:r>
      <w:bookmarkStart w:id="152" w:name="_DV_C80_Copy_1"/>
      <w:bookmarkEnd w:id="151"/>
      <w:bookmarkEnd w:id="152"/>
      <w:r>
        <w:rPr>
          <w:color w:val="000000"/>
          <w:sz w:val="22"/>
        </w:rPr>
        <w:t xml:space="preserve"> under, any agreement or commitment to which </w:t>
      </w:r>
      <w:bookmarkStart w:id="153" w:name="_DV_C82"/>
      <w:r>
        <w:rPr>
          <w:rStyle w:val="DeltaViewDeletion"/>
          <w:sz w:val="22"/>
        </w:rPr>
        <w:t>TEH</w:t>
      </w:r>
      <w:bookmarkStart w:id="154" w:name="_DV_C81"/>
      <w:bookmarkEnd w:id="153"/>
      <w:r>
        <w:rPr>
          <w:rStyle w:val="DeltaViewInsertion"/>
          <w:sz w:val="22"/>
        </w:rPr>
        <w:t>SEL</w:t>
      </w:r>
      <w:bookmarkStart w:id="155" w:name="_DV_C82_Copy_1"/>
      <w:bookmarkEnd w:id="154"/>
      <w:bookmarkEnd w:id="155"/>
      <w:r>
        <w:rPr>
          <w:color w:val="000000"/>
          <w:sz w:val="22"/>
        </w:rPr>
        <w:t xml:space="preserve"> is a party or by which </w:t>
      </w:r>
      <w:bookmarkStart w:id="156" w:name="_DV_C84"/>
      <w:r>
        <w:rPr>
          <w:rStyle w:val="DeltaViewDeletion"/>
          <w:sz w:val="22"/>
        </w:rPr>
        <w:t>TEH</w:t>
      </w:r>
      <w:bookmarkStart w:id="157" w:name="_DV_C83"/>
      <w:bookmarkEnd w:id="156"/>
      <w:r>
        <w:rPr>
          <w:rStyle w:val="DeltaViewInsertion"/>
          <w:sz w:val="22"/>
        </w:rPr>
        <w:t>SEL</w:t>
      </w:r>
      <w:bookmarkStart w:id="158" w:name="_DV_C84_Copy_1"/>
      <w:bookmarkEnd w:id="157"/>
      <w:bookmarkEnd w:id="158"/>
      <w:r>
        <w:rPr>
          <w:color w:val="000000"/>
          <w:sz w:val="22"/>
        </w:rPr>
        <w:t xml:space="preserve"> is bound, or violate any statute or law or any judgment, decree, order, regulation or rule of any court or governmental authority by which </w:t>
      </w:r>
      <w:bookmarkStart w:id="159" w:name="_DV_C86"/>
      <w:r>
        <w:rPr>
          <w:rStyle w:val="DeltaViewDeletion"/>
          <w:sz w:val="22"/>
        </w:rPr>
        <w:t>TEH</w:t>
      </w:r>
      <w:bookmarkStart w:id="160" w:name="_DV_C85"/>
      <w:bookmarkEnd w:id="159"/>
      <w:r>
        <w:rPr>
          <w:rStyle w:val="DeltaViewInsertion"/>
          <w:sz w:val="22"/>
        </w:rPr>
        <w:t>SEL</w:t>
      </w:r>
      <w:bookmarkStart w:id="161" w:name="_DV_C86_Copy_1"/>
      <w:bookmarkEnd w:id="160"/>
      <w:bookmarkEnd w:id="161"/>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62" w:name="_DV_M76"/>
      <w:bookmarkEnd w:id="162"/>
      <w:r>
        <w:rPr>
          <w:b/>
          <w:color w:val="000000"/>
          <w:sz w:val="22"/>
        </w:rPr>
        <w:t>(ii)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w:t>
      </w:r>
      <w:bookmarkStart w:id="163" w:name="_DV_C88"/>
      <w:r>
        <w:rPr>
          <w:rStyle w:val="DeltaViewDeletion"/>
          <w:sz w:val="22"/>
        </w:rPr>
        <w:t>TEH</w:t>
      </w:r>
      <w:bookmarkStart w:id="164" w:name="_DV_C87"/>
      <w:bookmarkEnd w:id="163"/>
      <w:r>
        <w:rPr>
          <w:rStyle w:val="DeltaViewInsertion"/>
          <w:sz w:val="22"/>
        </w:rPr>
        <w:t>SEL</w:t>
      </w:r>
      <w:bookmarkStart w:id="165" w:name="_DV_C88_Copy_1"/>
      <w:bookmarkEnd w:id="164"/>
      <w:bookmarkEnd w:id="165"/>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66" w:name="_DV_M78"/>
      <w:bookmarkEnd w:id="166"/>
      <w:r>
        <w:rPr>
          <w:b/>
          <w:color w:val="000000"/>
          <w:sz w:val="22"/>
        </w:rPr>
        <w:t>(iii)</w:t>
      </w:r>
      <w:r>
        <w:rPr>
          <w:color w:val="000000"/>
          <w:sz w:val="22"/>
        </w:rPr>
        <w:tab/>
        <w:t xml:space="preserve">There is no Action pending, or to the knowledge of </w:t>
      </w:r>
      <w:bookmarkStart w:id="167" w:name="_DV_C90"/>
      <w:r>
        <w:rPr>
          <w:rStyle w:val="DeltaViewDeletion"/>
          <w:sz w:val="22"/>
        </w:rPr>
        <w:t>TEH</w:t>
      </w:r>
      <w:bookmarkStart w:id="168" w:name="_DV_C89"/>
      <w:bookmarkEnd w:id="167"/>
      <w:r>
        <w:rPr>
          <w:rStyle w:val="DeltaViewInsertion"/>
          <w:sz w:val="22"/>
        </w:rPr>
        <w:t>SEL</w:t>
      </w:r>
      <w:bookmarkStart w:id="169" w:name="_DV_C90_Copy_1"/>
      <w:bookmarkEnd w:id="168"/>
      <w:bookmarkEnd w:id="169"/>
      <w:r>
        <w:rPr>
          <w:color w:val="000000"/>
          <w:sz w:val="22"/>
        </w:rPr>
        <w:t xml:space="preserve"> threatened, against </w:t>
      </w:r>
      <w:bookmarkStart w:id="170" w:name="_DV_C92"/>
      <w:r>
        <w:rPr>
          <w:rStyle w:val="DeltaViewDeletion"/>
          <w:sz w:val="22"/>
        </w:rPr>
        <w:t>TEH</w:t>
      </w:r>
      <w:bookmarkStart w:id="171" w:name="_DV_C91"/>
      <w:bookmarkEnd w:id="170"/>
      <w:r>
        <w:rPr>
          <w:rStyle w:val="DeltaViewInsertion"/>
          <w:sz w:val="22"/>
        </w:rPr>
        <w:t>SEL</w:t>
      </w:r>
      <w:bookmarkStart w:id="172" w:name="_DV_C92_Copy_1"/>
      <w:bookmarkEnd w:id="171"/>
      <w:bookmarkEnd w:id="172"/>
      <w:r>
        <w:rPr>
          <w:color w:val="000000"/>
          <w:sz w:val="22"/>
        </w:rPr>
        <w:t xml:space="preserve">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73" w:name="_DV_M81"/>
      <w:bookmarkEnd w:id="173"/>
      <w:r>
        <w:rPr>
          <w:b/>
          <w:color w:val="000000"/>
          <w:sz w:val="22"/>
        </w:rPr>
        <w:t>(iv)</w:t>
      </w:r>
      <w:r>
        <w:rPr>
          <w:color w:val="000000"/>
          <w:sz w:val="22"/>
        </w:rPr>
        <w:tab/>
        <w:t xml:space="preserve">ENA shall not directly or indirectly have any responsibility, liability or expense, as a result of undertakings or agreements of </w:t>
      </w:r>
      <w:bookmarkStart w:id="174" w:name="_DV_C94"/>
      <w:r>
        <w:rPr>
          <w:rStyle w:val="DeltaViewDeletion"/>
          <w:sz w:val="22"/>
        </w:rPr>
        <w:t>TEH</w:t>
      </w:r>
      <w:bookmarkStart w:id="175" w:name="_DV_C93"/>
      <w:bookmarkEnd w:id="174"/>
      <w:r>
        <w:rPr>
          <w:rStyle w:val="DeltaViewInsertion"/>
          <w:sz w:val="22"/>
        </w:rPr>
        <w:t>SEL</w:t>
      </w:r>
      <w:bookmarkStart w:id="176" w:name="_DV_C94_Copy_1"/>
      <w:bookmarkEnd w:id="175"/>
      <w:bookmarkEnd w:id="176"/>
      <w:r>
        <w:rPr>
          <w:color w:val="000000"/>
          <w:sz w:val="22"/>
        </w:rPr>
        <w:t xml:space="preserve"> or any affiliate of </w:t>
      </w:r>
      <w:bookmarkStart w:id="177" w:name="_DV_C96"/>
      <w:r>
        <w:rPr>
          <w:rStyle w:val="DeltaViewDeletion"/>
          <w:sz w:val="22"/>
        </w:rPr>
        <w:t>TEH</w:t>
      </w:r>
      <w:bookmarkStart w:id="178" w:name="_DV_C95"/>
      <w:bookmarkEnd w:id="177"/>
      <w:r>
        <w:rPr>
          <w:rStyle w:val="DeltaViewInsertion"/>
          <w:sz w:val="22"/>
        </w:rPr>
        <w:t>SEL</w:t>
      </w:r>
      <w:bookmarkStart w:id="179" w:name="_DV_C96_Copy_1"/>
      <w:bookmarkEnd w:id="178"/>
      <w:bookmarkEnd w:id="179"/>
      <w:r>
        <w:rPr>
          <w:color w:val="000000"/>
          <w:sz w:val="22"/>
        </w:rPr>
        <w:t>, for brokerage fees, finder’s fees, agent’s commissions, or other similar forms of compensation in connection with this Agreement or the Transaction.</w:t>
      </w:r>
      <w:bookmarkStart w:id="180" w:name="_DV_C97"/>
      <w:r>
        <w:rPr>
          <w:rStyle w:val="DeltaViewDeletion"/>
          <w:sz w:val="22"/>
        </w:rPr>
        <w:t>    TEH shall bear and timely pay, and shall hold ENA harmless from and against, all amounts due to TRY Ventures International in connection with the execution, delivery and performance of this Agreement insofar as such amounts are payable as a result of any agreement between TRY Ventures International and TEH or any affiliate of TEH.</w:t>
      </w:r>
      <w:bookmarkEnd w:id="180"/>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81" w:name="_DV_M84"/>
      <w:bookmarkEnd w:id="181"/>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82" w:name="_DV_M85"/>
      <w:bookmarkEnd w:id="182"/>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w:t>
      </w:r>
      <w:bookmarkStart w:id="183" w:name="_DV_M86"/>
      <w:r>
        <w:rPr>
          <w:rStyle w:val="DeltaViewDeletion"/>
          <w:sz w:val="22"/>
        </w:rPr>
        <w:t>, including that certain letter of intent dated November 29, 2000, between ENA and Coral Power, L.L.C. which is hereby terminated</w:t>
      </w:r>
      <w:bookmarkStart w:id="184" w:name="_DV_C98"/>
      <w:bookmarkEnd w:id="183"/>
      <w:bookmarkEnd w:id="184"/>
      <w:r>
        <w:rPr>
          <w:color w:val="000000"/>
          <w:sz w:val="22"/>
        </w:rPr>
        <w:t>. 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85" w:name="_DV_M87"/>
      <w:bookmarkEnd w:id="185"/>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86" w:name="_DV_M88"/>
      <w:bookmarkEnd w:id="186"/>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87" w:name="_DV_M89"/>
      <w:bookmarkEnd w:id="187"/>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88" w:name="_DV_M90"/>
      <w:bookmarkEnd w:id="188"/>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89" w:name="_DV_M91"/>
      <w:bookmarkEnd w:id="189"/>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90" w:name="_DV_M92"/>
      <w:bookmarkEnd w:id="190"/>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w:t>
      </w:r>
      <w:bookmarkStart w:id="191" w:name="_DV_C100"/>
      <w:r>
        <w:rPr>
          <w:rStyle w:val="DeltaViewDeletion"/>
          <w:sz w:val="22"/>
        </w:rPr>
        <w:t>TEH</w:t>
      </w:r>
      <w:bookmarkStart w:id="192" w:name="_DV_C99"/>
      <w:bookmarkEnd w:id="191"/>
      <w:r>
        <w:rPr>
          <w:rStyle w:val="DeltaViewInsertion"/>
          <w:sz w:val="22"/>
        </w:rPr>
        <w:t>SEL</w:t>
      </w:r>
      <w:bookmarkStart w:id="193" w:name="_DV_C100_Copy_1"/>
      <w:bookmarkEnd w:id="192"/>
      <w:bookmarkEnd w:id="193"/>
      <w:r>
        <w:rPr>
          <w:color w:val="000000"/>
          <w:sz w:val="22"/>
        </w:rPr>
        <w:t xml:space="preserve">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94" w:name="_DV_M94"/>
      <w:bookmarkEnd w:id="194"/>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95" w:name="_DV_M95"/>
      <w:bookmarkEnd w:id="195"/>
      <w:r>
        <w:rPr>
          <w:color w:val="000000"/>
          <w:sz w:val="22"/>
        </w:rPr>
        <w:tab/>
      </w:r>
      <w:r>
        <w:rPr>
          <w:b/>
          <w:color w:val="000000"/>
          <w:sz w:val="22"/>
        </w:rPr>
        <w:t>(a)</w:t>
      </w:r>
      <w:r>
        <w:rPr>
          <w:color w:val="000000"/>
          <w:sz w:val="22"/>
        </w:rPr>
        <w:tab/>
        <w:t xml:space="preserve">Indemnification By </w:t>
      </w:r>
      <w:bookmarkStart w:id="196" w:name="_DV_C102"/>
      <w:r>
        <w:rPr>
          <w:rStyle w:val="DeltaViewDeletion"/>
          <w:sz w:val="22"/>
        </w:rPr>
        <w:t>TEH</w:t>
      </w:r>
      <w:bookmarkStart w:id="197" w:name="_DV_C101"/>
      <w:bookmarkEnd w:id="196"/>
      <w:r>
        <w:rPr>
          <w:rStyle w:val="DeltaViewInsertion"/>
          <w:sz w:val="22"/>
        </w:rPr>
        <w:t>SEL</w:t>
      </w:r>
      <w:bookmarkStart w:id="198" w:name="_DV_C102_Copy_1"/>
      <w:bookmarkEnd w:id="197"/>
      <w:bookmarkEnd w:id="198"/>
      <w:r>
        <w:rPr>
          <w:color w:val="000000"/>
          <w:sz w:val="22"/>
        </w:rPr>
        <w:t xml:space="preserve">.    FROM AND AFTER THE CLOSING OF THE TRANSACTION, </w:t>
      </w:r>
      <w:bookmarkStart w:id="199" w:name="_DV_C104"/>
      <w:r>
        <w:rPr>
          <w:rStyle w:val="DeltaViewDeletion"/>
          <w:sz w:val="22"/>
        </w:rPr>
        <w:t>TEH</w:t>
      </w:r>
      <w:bookmarkStart w:id="200" w:name="_DV_C103"/>
      <w:bookmarkEnd w:id="199"/>
      <w:r>
        <w:rPr>
          <w:rStyle w:val="DeltaViewInsertion"/>
          <w:sz w:val="22"/>
        </w:rPr>
        <w:t>SEL</w:t>
      </w:r>
      <w:bookmarkStart w:id="201" w:name="_DV_C104_Copy_1"/>
      <w:bookmarkEnd w:id="200"/>
      <w:bookmarkEnd w:id="201"/>
      <w:r>
        <w:rPr>
          <w:color w:val="000000"/>
          <w:sz w:val="22"/>
        </w:rPr>
        <w:t xml:space="preserve">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w:t>
      </w:r>
      <w:bookmarkStart w:id="202" w:name="_DV_C106"/>
      <w:r>
        <w:rPr>
          <w:rStyle w:val="DeltaViewDeletion"/>
          <w:sz w:val="22"/>
        </w:rPr>
        <w:t>TEH</w:t>
      </w:r>
      <w:bookmarkStart w:id="203" w:name="_DV_C105"/>
      <w:bookmarkEnd w:id="202"/>
      <w:r>
        <w:rPr>
          <w:rStyle w:val="DeltaViewInsertion"/>
          <w:sz w:val="22"/>
        </w:rPr>
        <w:t>SEL</w:t>
      </w:r>
      <w:bookmarkStart w:id="204" w:name="_DV_C106_Copy_1"/>
      <w:bookmarkEnd w:id="203"/>
      <w:bookmarkEnd w:id="204"/>
      <w:r>
        <w:rPr>
          <w:color w:val="000000"/>
          <w:sz w:val="22"/>
        </w:rPr>
        <w:t xml:space="preserve">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205" w:name="_DV_M99"/>
      <w:bookmarkEnd w:id="205"/>
      <w:r>
        <w:rPr>
          <w:color w:val="000000"/>
          <w:sz w:val="22"/>
        </w:rPr>
        <w:tab/>
      </w:r>
      <w:r>
        <w:rPr>
          <w:b/>
          <w:color w:val="000000"/>
          <w:sz w:val="22"/>
        </w:rPr>
        <w:t>(b)</w:t>
      </w:r>
      <w:r>
        <w:rPr>
          <w:color w:val="000000"/>
          <w:sz w:val="22"/>
        </w:rPr>
        <w:tab/>
        <w:t xml:space="preserve">Indemnification By ENA.    FROM AND AFTER THE CLOSING OF THE TRANSACTION, ENA SHALL INDEMNIFY AND HOLD HARMLESS </w:t>
      </w:r>
      <w:bookmarkStart w:id="206" w:name="_DV_C108"/>
      <w:r>
        <w:rPr>
          <w:rStyle w:val="DeltaViewDeletion"/>
          <w:sz w:val="22"/>
        </w:rPr>
        <w:t>TEH</w:t>
      </w:r>
      <w:bookmarkStart w:id="207" w:name="_DV_C107"/>
      <w:bookmarkEnd w:id="206"/>
      <w:r>
        <w:rPr>
          <w:rStyle w:val="DeltaViewInsertion"/>
          <w:sz w:val="22"/>
        </w:rPr>
        <w:t>SEL</w:t>
      </w:r>
      <w:bookmarkStart w:id="208" w:name="_DV_C108_Copy_1"/>
      <w:bookmarkEnd w:id="207"/>
      <w:bookmarkEnd w:id="208"/>
      <w:r>
        <w:rPr>
          <w:color w:val="000000"/>
          <w:sz w:val="22"/>
        </w:rPr>
        <w:t>, ITS DIRECTORS, OFFICERS, EMPLOYEES, AND AGENTS, AND EACH OF THE HEIRS, EXECUTORS, SUCCESSORS, AND ASSIGNS OF ANY OF THE FOREGOING (COLLECTIVELY HEREIN REFERRED TO AS THE "</w:t>
      </w:r>
      <w:bookmarkStart w:id="209" w:name="_DV_C110"/>
      <w:r>
        <w:rPr>
          <w:rStyle w:val="DeltaViewDeletion"/>
          <w:sz w:val="22"/>
        </w:rPr>
        <w:t>TEH</w:t>
      </w:r>
      <w:bookmarkStart w:id="210" w:name="_DV_C109"/>
      <w:bookmarkEnd w:id="209"/>
      <w:r>
        <w:rPr>
          <w:rStyle w:val="DeltaViewInsertion"/>
          <w:sz w:val="22"/>
        </w:rPr>
        <w:t>SEL</w:t>
      </w:r>
      <w:bookmarkStart w:id="211" w:name="_DV_C110_Copy_1"/>
      <w:bookmarkEnd w:id="210"/>
      <w:bookmarkEnd w:id="211"/>
      <w:r>
        <w:rPr>
          <w:color w:val="000000"/>
          <w:sz w:val="22"/>
        </w:rPr>
        <w:t xml:space="preserve"> INDEMNIFIED PARTIES") FROM AND AGAINST ANY AND ALL COVERED LIABILITIES RESULTING FROM ANY MISREPRESENTATION, BREACH OF WARRANTY, OR NONFULFILLMENT OF ANY COVENANT OR AGREEMENT ON THE PART OF ENA HEREUNDER, </w:t>
      </w:r>
      <w:r>
        <w:rPr>
          <w:b/>
          <w:color w:val="000000"/>
          <w:sz w:val="22"/>
        </w:rPr>
        <w:t xml:space="preserve">INCLUDING, WITHOUT LIMITATION, ANY COVERED LIABILITY BASED ON NEGLIGENCE, GROSS NEGLIGENCE, OR STRICT LIABILITY OF THE </w:t>
      </w:r>
      <w:bookmarkStart w:id="212" w:name="_DV_C112"/>
      <w:r>
        <w:rPr>
          <w:rStyle w:val="DeltaViewDeletion"/>
          <w:b/>
          <w:sz w:val="22"/>
        </w:rPr>
        <w:t>TEH</w:t>
      </w:r>
      <w:bookmarkStart w:id="213" w:name="_DV_C111"/>
      <w:bookmarkEnd w:id="212"/>
      <w:r>
        <w:rPr>
          <w:rStyle w:val="DeltaViewInsertion"/>
          <w:b/>
          <w:sz w:val="22"/>
        </w:rPr>
        <w:t>SEL</w:t>
      </w:r>
      <w:bookmarkStart w:id="214" w:name="_DV_C112_Copy_1"/>
      <w:bookmarkEnd w:id="213"/>
      <w:bookmarkEnd w:id="214"/>
      <w:r>
        <w:rPr>
          <w:b/>
          <w:color w:val="000000"/>
          <w:sz w:val="22"/>
        </w:rPr>
        <w:t xml:space="preserve">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215" w:name="_DV_M103"/>
      <w:bookmarkEnd w:id="215"/>
      <w:r>
        <w:rPr>
          <w:color w:val="000000"/>
          <w:sz w:val="22"/>
        </w:rPr>
        <w:tab/>
      </w:r>
      <w:r>
        <w:rPr>
          <w:b/>
          <w:color w:val="000000"/>
          <w:sz w:val="22"/>
        </w:rPr>
        <w:t>(c)</w:t>
      </w:r>
      <w:r>
        <w:rPr>
          <w:color w:val="000000"/>
          <w:sz w:val="22"/>
        </w:rPr>
        <w:tab/>
        <w:t xml:space="preserve">Third Party Claims.    If a claim by a third party is made against a ENA Indemnified Party or a </w:t>
      </w:r>
      <w:bookmarkStart w:id="216" w:name="_DV_C114"/>
      <w:r>
        <w:rPr>
          <w:rStyle w:val="DeltaViewDeletion"/>
          <w:sz w:val="22"/>
        </w:rPr>
        <w:t>TEH</w:t>
      </w:r>
      <w:bookmarkStart w:id="217" w:name="_DV_C113"/>
      <w:bookmarkEnd w:id="216"/>
      <w:r>
        <w:rPr>
          <w:rStyle w:val="DeltaViewInsertion"/>
          <w:sz w:val="22"/>
        </w:rPr>
        <w:t>SEL</w:t>
      </w:r>
      <w:bookmarkStart w:id="218" w:name="_DV_C114_Copy_1"/>
      <w:bookmarkEnd w:id="217"/>
      <w:bookmarkEnd w:id="218"/>
      <w:r>
        <w:rPr>
          <w:color w:val="000000"/>
          <w:sz w:val="22"/>
        </w:rPr>
        <w:t xml:space="preserve"> Indemnified Party (herein referred to as an "Indemnified Party"), and if such party intends to seek indemnity with respect thereto under this Section 13, such Indemnified Party shall promptly notify </w:t>
      </w:r>
      <w:bookmarkStart w:id="219" w:name="_DV_C116"/>
      <w:r>
        <w:rPr>
          <w:rStyle w:val="DeltaViewDeletion"/>
          <w:sz w:val="22"/>
        </w:rPr>
        <w:t>TEH</w:t>
      </w:r>
      <w:bookmarkStart w:id="220" w:name="_DV_C115"/>
      <w:bookmarkEnd w:id="219"/>
      <w:r>
        <w:rPr>
          <w:rStyle w:val="DeltaViewInsertion"/>
          <w:sz w:val="22"/>
        </w:rPr>
        <w:t>SEL</w:t>
      </w:r>
      <w:bookmarkStart w:id="221" w:name="_DV_C116_Copy_1"/>
      <w:bookmarkEnd w:id="220"/>
      <w:bookmarkEnd w:id="221"/>
      <w:r>
        <w:rPr>
          <w:color w:val="000000"/>
          <w:sz w:val="22"/>
        </w:rPr>
        <w:t xml:space="preserve">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222" w:name="_DV_M106"/>
      <w:bookmarkEnd w:id="222"/>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23" w:name="_DV_C118"/>
      <w:r>
        <w:rPr>
          <w:rStyle w:val="DeltaViewDeletion"/>
          <w:sz w:val="22"/>
        </w:rPr>
        <w:t>Tejas</w:t>
      </w:r>
      <w:bookmarkStart w:id="224" w:name="_DV_C117"/>
      <w:bookmarkEnd w:id="223"/>
      <w:r>
        <w:rPr>
          <w:rStyle w:val="DeltaViewInsertion"/>
          <w:sz w:val="22"/>
        </w:rPr>
        <w:t>Sweetgum</w:t>
      </w:r>
      <w:bookmarkStart w:id="225" w:name="_DV_C118_Copy_1"/>
      <w:bookmarkEnd w:id="224"/>
      <w:bookmarkEnd w:id="225"/>
      <w:r>
        <w:rPr>
          <w:color w:val="000000"/>
          <w:sz w:val="22"/>
        </w:rPr>
        <w:t xml:space="preserve"> Energy </w:t>
      </w:r>
      <w:bookmarkStart w:id="226" w:name="_DV_C120"/>
      <w:r>
        <w:rPr>
          <w:rStyle w:val="DeltaViewDeletion"/>
          <w:sz w:val="22"/>
        </w:rPr>
        <w:t>NS Holding, LLC</w:t>
      </w:r>
      <w:bookmarkStart w:id="227" w:name="_DV_C119"/>
      <w:bookmarkEnd w:id="226"/>
      <w:r>
        <w:rPr>
          <w:rStyle w:val="DeltaViewInsertion"/>
          <w:sz w:val="22"/>
        </w:rPr>
        <w:t>LP</w:t>
      </w:r>
      <w:bookmarkEnd w:id="227"/>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28" w:name="_DV_C121"/>
      <w:r>
        <w:rPr>
          <w:rStyle w:val="DeltaViewDeletion"/>
          <w:sz w:val="22"/>
        </w:rPr>
        <w:t>c/o Coral Power, L.L.C.</w:t>
      </w:r>
      <w:bookmarkEnd w:id="228"/>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29" w:name="_DV_C122"/>
      <w:r>
        <w:rPr>
          <w:rStyle w:val="DeltaViewInsertion"/>
          <w:sz w:val="22"/>
        </w:rPr>
        <w:t>c/o InterGen North America LP</w:t>
      </w:r>
      <w:bookmarkEnd w:id="229"/>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30" w:name="_DV_M108"/>
      <w:bookmarkEnd w:id="230"/>
      <w:r>
        <w:rPr>
          <w:color w:val="000000"/>
          <w:sz w:val="22"/>
        </w:rPr>
        <w:t xml:space="preserve">909 Fannin, Suite </w:t>
      </w:r>
      <w:bookmarkStart w:id="231" w:name="_DV_C124"/>
      <w:r>
        <w:rPr>
          <w:rStyle w:val="DeltaViewDeletion"/>
          <w:sz w:val="22"/>
        </w:rPr>
        <w:t>700</w:t>
      </w:r>
      <w:bookmarkStart w:id="232" w:name="_DV_C123"/>
      <w:bookmarkEnd w:id="231"/>
      <w:r>
        <w:rPr>
          <w:rStyle w:val="DeltaViewInsertion"/>
          <w:sz w:val="22"/>
        </w:rPr>
        <w:t>2200</w:t>
      </w:r>
      <w:bookmarkEnd w:id="232"/>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33" w:name="_DV_M109"/>
      <w:bookmarkEnd w:id="233"/>
      <w:r>
        <w:rPr>
          <w:color w:val="000000"/>
          <w:sz w:val="22"/>
        </w:rPr>
        <w:t xml:space="preserve">Houston, Texas      </w:t>
      </w:r>
      <w:bookmarkStart w:id="234" w:name="_DV_M110"/>
      <w:bookmarkEnd w:id="234"/>
      <w:r>
        <w:rPr>
          <w:color w:val="000000"/>
          <w:sz w:val="22"/>
        </w:rPr>
        <w:t>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35" w:name="_DV_M111"/>
      <w:bookmarkEnd w:id="235"/>
      <w:r>
        <w:rPr>
          <w:color w:val="000000"/>
          <w:sz w:val="22"/>
        </w:rPr>
        <w:t xml:space="preserve">Attention:    </w:t>
      </w:r>
      <w:bookmarkStart w:id="236" w:name="_DV_C126"/>
      <w:r>
        <w:rPr>
          <w:rStyle w:val="DeltaViewDeletion"/>
          <w:sz w:val="22"/>
        </w:rPr>
        <w:t>Mr. Tom Seigler</w:t>
      </w:r>
      <w:bookmarkStart w:id="237" w:name="_DV_C125"/>
      <w:bookmarkEnd w:id="236"/>
      <w:r>
        <w:rPr>
          <w:rStyle w:val="DeltaViewInsertion"/>
          <w:sz w:val="22"/>
        </w:rPr>
        <w:t>President</w:t>
      </w:r>
      <w:bookmarkEnd w:id="237"/>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38" w:name="_DV_M112"/>
      <w:bookmarkEnd w:id="238"/>
      <w:r>
        <w:rPr>
          <w:color w:val="000000"/>
          <w:sz w:val="22"/>
        </w:rPr>
        <w:t xml:space="preserve">Facsimile:    (713) </w:t>
      </w:r>
      <w:bookmarkStart w:id="239" w:name="_DV_C128"/>
      <w:r>
        <w:rPr>
          <w:rStyle w:val="DeltaViewDeletion"/>
          <w:sz w:val="22"/>
        </w:rPr>
        <w:t>265</w:t>
      </w:r>
      <w:bookmarkStart w:id="240" w:name="_DV_C127"/>
      <w:bookmarkEnd w:id="239"/>
      <w:r>
        <w:rPr>
          <w:rStyle w:val="DeltaViewInsertion"/>
          <w:sz w:val="22"/>
        </w:rPr>
        <w:t>374</w:t>
      </w:r>
      <w:bookmarkStart w:id="241" w:name="_DV_C128_Copy_1"/>
      <w:bookmarkEnd w:id="240"/>
      <w:bookmarkEnd w:id="241"/>
      <w:r>
        <w:rPr>
          <w:color w:val="000000"/>
          <w:sz w:val="22"/>
        </w:rPr>
        <w:t>-</w:t>
      </w:r>
      <w:bookmarkStart w:id="242" w:name="_DV_C130"/>
      <w:r>
        <w:rPr>
          <w:rStyle w:val="DeltaViewDeletion"/>
          <w:sz w:val="22"/>
        </w:rPr>
        <w:t>5672</w:t>
      </w:r>
      <w:bookmarkStart w:id="243" w:name="_DV_C129"/>
      <w:bookmarkEnd w:id="242"/>
      <w:r>
        <w:rPr>
          <w:rStyle w:val="DeltaViewInsertion"/>
          <w:sz w:val="22"/>
        </w:rPr>
        <w:t>3901</w:t>
      </w:r>
      <w:bookmarkEnd w:id="243"/>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44" w:name="_DV_M114"/>
      <w:bookmarkEnd w:id="244"/>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45" w:name="_DV_M115"/>
      <w:bookmarkEnd w:id="245"/>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46" w:name="_DV_M116"/>
      <w:bookmarkEnd w:id="246"/>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47" w:name="_DV_M117"/>
      <w:bookmarkEnd w:id="247"/>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248" w:name="_DV_M118"/>
      <w:bookmarkEnd w:id="248"/>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49" w:name="_DV_M119"/>
      <w:bookmarkEnd w:id="249"/>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0" w:name="_DV_M120"/>
      <w:bookmarkEnd w:id="250"/>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1" w:name="_DV_M121"/>
      <w:bookmarkEnd w:id="251"/>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2" w:name="_DV_M122"/>
      <w:bookmarkEnd w:id="252"/>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3" w:name="_DV_M123"/>
      <w:bookmarkEnd w:id="253"/>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4" w:name="_DV_M124"/>
      <w:bookmarkEnd w:id="254"/>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5" w:name="_DV_M125"/>
      <w:bookmarkEnd w:id="255"/>
      <w:r>
        <w:rPr>
          <w:color w:val="000000"/>
          <w:sz w:val="22"/>
        </w:rPr>
        <w:tab/>
        <w:tab/>
      </w:r>
      <w:r>
        <w:rPr>
          <w:b/>
          <w:color w:val="000000"/>
          <w:sz w:val="22"/>
        </w:rPr>
        <w:t>(f)</w:t>
      </w:r>
      <w:r>
        <w:rPr>
          <w:color w:val="000000"/>
          <w:sz w:val="22"/>
        </w:rPr>
        <w:tab/>
        <w:t>“</w:t>
      </w:r>
      <w:r>
        <w:rPr>
          <w:color w:val="000000"/>
          <w:sz w:val="22"/>
          <w:u w:val="single"/>
        </w:rPr>
        <w:t>Purchase Amount</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6" w:name="_DV_M126"/>
      <w:bookmarkEnd w:id="256"/>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7" w:name="_DV_M127"/>
      <w:bookmarkEnd w:id="257"/>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8" w:name="_DV_M128"/>
      <w:bookmarkEnd w:id="258"/>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59" w:name="_DV_M129"/>
      <w:bookmarkEnd w:id="259"/>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0" w:name="_DV_M130"/>
      <w:bookmarkEnd w:id="260"/>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1" w:name="_DV_M131"/>
      <w:bookmarkEnd w:id="261"/>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2" w:name="_DV_C131"/>
      <w:r>
        <w:rPr>
          <w:rStyle w:val="DeltaViewInsertion"/>
          <w:sz w:val="22"/>
        </w:rPr>
        <w:tab/>
      </w:r>
      <w:r>
        <w:rPr>
          <w:rStyle w:val="DeltaViewInsertion"/>
          <w:b/>
          <w:sz w:val="22"/>
        </w:rPr>
        <w:t>17.</w:t>
        <w:tab/>
        <w:t>No Other Offers</w:t>
      </w:r>
      <w:r>
        <w:rPr>
          <w:rStyle w:val="DeltaViewInsertion"/>
          <w:sz w:val="22"/>
        </w:rPr>
        <w: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prior to the closing of the Transaction, any interest therein.</w:t>
      </w:r>
      <w:bookmarkEnd w:id="26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263" w:name="_DV_M132"/>
      <w:bookmarkEnd w:id="263"/>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4" w:name="_DV_M133"/>
      <w:bookmarkEnd w:id="264"/>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5" w:name="_DV_M134"/>
      <w:bookmarkEnd w:id="265"/>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6" w:name="_DV_M135"/>
      <w:bookmarkEnd w:id="266"/>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267" w:name="_DV_M136"/>
      <w:bookmarkEnd w:id="267"/>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8" w:name="_DV_M137"/>
      <w:bookmarkEnd w:id="268"/>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69" w:name="_DV_M138"/>
      <w:bookmarkEnd w:id="269"/>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270" w:name="_DV_C133"/>
      <w:r>
        <w:rPr>
          <w:rStyle w:val="DeltaViewDeletion"/>
          <w:b/>
          <w:sz w:val="22"/>
        </w:rPr>
        <w:t>TEJAS</w:t>
      </w:r>
      <w:bookmarkStart w:id="271" w:name="_DV_C132"/>
      <w:bookmarkEnd w:id="270"/>
      <w:r>
        <w:rPr>
          <w:rStyle w:val="DeltaViewInsertion"/>
          <w:b/>
          <w:sz w:val="22"/>
        </w:rPr>
        <w:t>SWEETGUM</w:t>
      </w:r>
      <w:bookmarkStart w:id="272" w:name="_DV_C133_Copy_1"/>
      <w:bookmarkEnd w:id="271"/>
      <w:bookmarkEnd w:id="272"/>
      <w:r>
        <w:rPr>
          <w:b/>
          <w:color w:val="000000"/>
          <w:sz w:val="22"/>
        </w:rPr>
        <w:t xml:space="preserve"> ENERGY </w:t>
      </w:r>
      <w:bookmarkStart w:id="273" w:name="_DV_C135"/>
      <w:r>
        <w:rPr>
          <w:rStyle w:val="DeltaViewDeletion"/>
          <w:b/>
          <w:sz w:val="22"/>
        </w:rPr>
        <w:t>NS HOLDING</w:t>
      </w:r>
      <w:bookmarkStart w:id="274" w:name="_DV_C134"/>
      <w:bookmarkEnd w:id="273"/>
      <w:r>
        <w:rPr>
          <w:rStyle w:val="DeltaViewInsertion"/>
          <w:b/>
          <w:sz w:val="22"/>
        </w:rPr>
        <w:t>LP</w:t>
      </w:r>
      <w:bookmarkEnd w:id="274"/>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75" w:name="_DV_M140"/>
      <w:r>
        <w:rPr>
          <w:rStyle w:val="DeltaViewInsertion"/>
          <w:sz w:val="22"/>
        </w:rPr>
        <w:t>By: Sweetgum Energy I</w:t>
      </w:r>
      <w:bookmarkStart w:id="276" w:name="_DV_C136"/>
      <w:bookmarkEnd w:id="275"/>
      <w:bookmarkEnd w:id="276"/>
      <w:r>
        <w:rPr>
          <w:color w:val="000000"/>
          <w:sz w:val="22"/>
        </w:rPr>
        <w:t>,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r>
        <w:rPr>
          <w:color w:val="000000"/>
          <w:sz w:val="22"/>
        </w:rPr>
        <w:tab/>
      </w:r>
      <w:bookmarkStart w:id="277" w:name="_DV_M141"/>
      <w:bookmarkEnd w:id="27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r>
        <w:rPr>
          <w:color w:val="000000"/>
          <w:sz w:val="22"/>
        </w:rPr>
        <w:tab/>
      </w:r>
      <w:bookmarkStart w:id="278" w:name="_DV_M142"/>
      <w:bookmarkEnd w:id="278"/>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360" w:start="360"/>
        <w:jc w:val="both"/>
        <w:rPr>
          <w:color w:val="000000"/>
          <w:sz w:val="22"/>
        </w:rPr>
      </w:pPr>
      <w:r>
        <w:rPr>
          <w:color w:val="000000"/>
          <w:sz w:val="22"/>
        </w:rPr>
        <w:tab/>
      </w:r>
      <w:bookmarkStart w:id="279" w:name="_DV_M143"/>
      <w:bookmarkEnd w:id="279"/>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280" w:name="_DV_M144"/>
      <w:bookmarkEnd w:id="280"/>
      <w:r>
        <w:rPr>
          <w:color w:val="000000"/>
          <w:sz w:val="22"/>
        </w:rPr>
        <w:t>Exhibit A - Form of ABB Acknowledgement Letter</w:t>
      </w:r>
    </w:p>
    <w:p>
      <w:pPr>
        <w:pStyle w:val="Normal"/>
        <w:bidi w:val="0"/>
        <w:jc w:val="both"/>
        <w:rPr>
          <w:color w:val="000000"/>
          <w:sz w:val="22"/>
        </w:rPr>
      </w:pPr>
      <w:r>
        <w:rPr>
          <w:color w:val="000000"/>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sectPr>
      </w:pPr>
    </w:p>
    <w:p>
      <w:pPr>
        <w:pStyle w:val="DeltaViewTableBody"/>
        <w:bidi w:val="0"/>
        <w:jc w:val="start"/>
        <w:rPr>
          <w:color w:val="000000"/>
        </w:rPr>
      </w:pPr>
      <w:bookmarkStart w:id="281" w:name="Program_Copy_1"/>
      <w:bookmarkEnd w:id="281"/>
      <w:r>
        <w:rPr>
          <w:color w:val="000000"/>
        </w:rPr>
        <w:t xml:space="preserve">Document comparison done by </w:t>
      </w:r>
      <w:bookmarkStart w:id="282" w:name="Program"/>
      <w:r>
        <w:rPr>
          <w:color w:val="000000"/>
        </w:rPr>
        <w:t>DeltaView</w:t>
      </w:r>
      <w:bookmarkEnd w:id="282"/>
      <w:r>
        <w:rPr>
          <w:color w:val="000000"/>
        </w:rPr>
        <w:t xml:space="preserve"> on </w:t>
      </w:r>
      <w:bookmarkStart w:id="283" w:name="Date"/>
      <w:r>
        <w:rPr>
          <w:color w:val="000000"/>
        </w:rPr>
        <w:t>Tuesday, December 19, 2000 15:40:14</w:t>
      </w:r>
      <w:bookmarkEnd w:id="283"/>
    </w:p>
    <w:tbl>
      <w:tblPr>
        <w:tblW w:w="8295" w:type="dxa"/>
        <w:jc w:val="start"/>
        <w:tblInd w:w="8" w:type="dxa"/>
        <w:tblLayout w:type="fixed"/>
        <w:tblCellMar>
          <w:top w:w="0" w:type="dxa"/>
          <w:start w:w="15" w:type="dxa"/>
          <w:bottom w:w="0" w:type="dxa"/>
          <w:end w:w="15" w:type="dxa"/>
        </w:tblCellMar>
      </w:tblPr>
      <w:tblGrid>
        <w:gridCol w:w="1410"/>
        <w:gridCol w:w="6884"/>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Input:</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84" w:name="Doc1"/>
            <w:r>
              <w:rPr>
                <w:color w:val="000000"/>
                <w:w w:val="100"/>
              </w:rPr>
              <w:t>::ODMA\PCDOCS\Houston\5601234\1</w:t>
            </w:r>
            <w:bookmarkEnd w:id="284"/>
            <w:r>
              <w:rPr>
                <w:color w:val="000000"/>
                <w:w w:val="100"/>
              </w:rPr>
              <w:t xml:space="preserve"> </w:t>
            </w:r>
          </w:p>
        </w:tc>
      </w:tr>
      <w:tr>
        <w:trPr/>
        <w:tc>
          <w:tcPr>
            <w:tcW w:w="1410"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85" w:name="Doc2"/>
            <w:r>
              <w:rPr>
                <w:color w:val="000000"/>
                <w:w w:val="100"/>
              </w:rPr>
              <w:t>::ODMA\PCDOCS\Houston\5601234\2</w:t>
            </w:r>
            <w:bookmarkEnd w:id="285"/>
            <w:r>
              <w:rPr>
                <w:color w:val="000000"/>
                <w:w w:val="100"/>
              </w:rPr>
              <w:t xml:space="preserve"> </w:t>
            </w:r>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86" w:name="Leg_Ins"/>
            <w:r>
              <w:rPr>
                <w:rStyle w:val="DeltaViewInsertion"/>
                <w:rFonts w:ascii="Times New Roman" w:hAnsi="Times New Roman"/>
                <w:w w:val="100"/>
              </w:rPr>
              <w:t xml:space="preserve">Insertion </w:t>
            </w:r>
            <w:bookmarkEnd w:id="286"/>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287" w:name="Leg_Del"/>
            <w:r>
              <w:rPr>
                <w:rStyle w:val="DeltaViewDeletion"/>
                <w:rFonts w:ascii="Times New Roman" w:hAnsi="Times New Roman"/>
                <w:w w:val="100"/>
              </w:rPr>
              <w:t xml:space="preserve">Deletion </w:t>
            </w:r>
            <w:bookmarkEnd w:id="287"/>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288" w:name="Leg_MoveSource"/>
            <w:r>
              <w:rPr>
                <w:rStyle w:val="DeltaViewMoveSource"/>
                <w:rFonts w:ascii="Times New Roman" w:hAnsi="Times New Roman"/>
                <w:w w:val="100"/>
              </w:rPr>
              <w:t xml:space="preserve">Moved from </w:t>
            </w:r>
            <w:bookmarkEnd w:id="288"/>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289" w:name="Leg_MoveDest"/>
            <w:r>
              <w:rPr>
                <w:rStyle w:val="DeltaViewMoveDestination"/>
                <w:rFonts w:ascii="Times New Roman" w:hAnsi="Times New Roman"/>
                <w:w w:val="100"/>
              </w:rPr>
              <w:t xml:space="preserve">Moved to </w:t>
            </w:r>
            <w:bookmarkEnd w:id="289"/>
          </w:p>
        </w:tc>
      </w:tr>
      <w:tr>
        <w:trPr/>
        <w:tc>
          <w:tcPr>
            <w:tcW w:w="4994" w:type="dxa"/>
            <w:gridSpan w:val="2"/>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290" w:name="Leg_FormatChange"/>
            <w:r>
              <w:rPr>
                <w:rStyle w:val="DeltaViewFormatChange"/>
                <w:rFonts w:ascii="Times New Roman" w:hAnsi="Times New Roman"/>
                <w:w w:val="100"/>
                <w:highlight w:val="white"/>
              </w:rPr>
              <w:t xml:space="preserve">Format change </w:t>
            </w:r>
            <w:bookmarkEnd w:id="290"/>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bookmarkStart w:id="291" w:name="Cell_Ins"/>
            <w:bookmarkEnd w:id="291"/>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widowControl/>
              <w:bidi w:val="0"/>
              <w:jc w:val="start"/>
              <w:rPr/>
            </w:pPr>
            <w:bookmarkStart w:id="292" w:name="Cell_Del"/>
            <w:bookmarkEnd w:id="292"/>
            <w:r>
              <w:rPr>
                <w:color w:val="000000"/>
                <w:w w:val="100"/>
              </w:rPr>
              <w:t> </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widowControl/>
              <w:bidi w:val="0"/>
              <w:jc w:val="start"/>
              <w:rPr/>
            </w:pPr>
            <w:r>
              <w:rPr/>
            </w:r>
            <w:bookmarkStart w:id="293" w:name="Cell_Move"/>
            <w:bookmarkStart w:id="294" w:name="Cell_Move"/>
            <w:bookmarkEnd w:id="294"/>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FF"/>
          </w:tcPr>
          <w:p>
            <w:pPr>
              <w:pStyle w:val="DeltaViewTableBody"/>
              <w:tabs>
                <w:tab w:val="clear" w:pos="720"/>
              </w:tabs>
              <w:bidi w:val="0"/>
              <w:jc w:val="start"/>
              <w:rPr/>
            </w:pPr>
            <w:r>
              <w:rPr/>
            </w:r>
            <w:bookmarkStart w:id="295" w:name="Cell_Merge"/>
            <w:bookmarkStart w:id="296" w:name="Cell_Merge"/>
            <w:bookmarkEnd w:id="296"/>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C0C0C0"/>
          </w:tcPr>
          <w:p>
            <w:pPr>
              <w:pStyle w:val="DeltaViewTableBody"/>
              <w:tabs>
                <w:tab w:val="clear" w:pos="720"/>
              </w:tabs>
              <w:bidi w:val="0"/>
              <w:jc w:val="start"/>
              <w:rPr/>
            </w:pPr>
            <w:r>
              <w:rPr/>
            </w:r>
            <w:bookmarkStart w:id="297" w:name="Cell_Pad"/>
            <w:bookmarkStart w:id="298" w:name="Cell_Pad"/>
            <w:bookmarkEnd w:id="298"/>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1464"/>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color="auto" w:fill="C0C0C0"/>
          </w:tcPr>
          <w:p>
            <w:pPr>
              <w:pStyle w:val="DeltaViewTableHeading"/>
              <w:tabs>
                <w:tab w:val="clear" w:pos="720"/>
              </w:tabs>
              <w:bidi w:val="0"/>
              <w:spacing w:before="0" w:after="120"/>
              <w:jc w:val="start"/>
              <w:rPr/>
            </w:pPr>
            <w:r>
              <w:rPr>
                <w:color w:val="000000"/>
                <w:w w:val="100"/>
              </w:rPr>
              <w:t>Statistics:</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Insertions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299" w:name="Stat_Ins"/>
            <w:r>
              <w:rPr>
                <w:color w:val="000000"/>
                <w:w w:val="100"/>
              </w:rPr>
              <w:t>68</w:t>
            </w:r>
            <w:bookmarkEnd w:id="299"/>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300" w:name="Stat_InsP"/>
            <w:r>
              <w:rPr>
                <w:color w:val="000000"/>
                <w:w w:val="100"/>
              </w:rPr>
              <w:t>3.02</w:t>
            </w:r>
            <w:bookmarkEnd w:id="300"/>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Deletions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301" w:name="Stat_Del"/>
            <w:r>
              <w:rPr>
                <w:color w:val="000000"/>
                <w:w w:val="100"/>
              </w:rPr>
              <w:t>68</w:t>
            </w:r>
            <w:bookmarkEnd w:id="301"/>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302" w:name="Stat_DelP"/>
            <w:r>
              <w:rPr>
                <w:color w:val="000000"/>
                <w:w w:val="100"/>
              </w:rPr>
              <w:t>3.41</w:t>
            </w:r>
            <w:bookmarkEnd w:id="302"/>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Moves</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303" w:name="Stat_Move"/>
            <w:r>
              <w:rPr>
                <w:color w:val="000000"/>
                <w:w w:val="100"/>
              </w:rPr>
              <w:t>0</w:t>
            </w:r>
            <w:bookmarkEnd w:id="303"/>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304" w:name="Stat_MoveP"/>
            <w:r>
              <w:rPr>
                <w:color w:val="000000"/>
                <w:w w:val="100"/>
              </w:rPr>
              <w:t>0.00</w:t>
            </w:r>
            <w:bookmarkEnd w:id="304"/>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Matched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bookmarkStart w:id="305" w:name="Stat_Match"/>
            <w:r>
              <w:rPr>
                <w:color w:val="000000"/>
                <w:w w:val="100"/>
              </w:rPr>
              <w:t>68</w:t>
            </w:r>
            <w:bookmarkEnd w:id="305"/>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widowControl/>
              <w:bidi w:val="0"/>
              <w:jc w:val="start"/>
              <w:rPr/>
            </w:pPr>
            <w:r>
              <w:rPr>
                <w:color w:val="000000"/>
                <w:w w:val="100"/>
              </w:rPr>
              <w:t>(</w:t>
            </w:r>
            <w:bookmarkStart w:id="306" w:name="Stat_MatchP"/>
            <w:r>
              <w:rPr>
                <w:color w:val="000000"/>
                <w:w w:val="100"/>
              </w:rPr>
              <w:t>93.16</w:t>
            </w:r>
            <w:bookmarkEnd w:id="306"/>
            <w:r>
              <w:rPr>
                <w:color w:val="000000"/>
                <w:w w:val="100"/>
              </w:rPr>
              <w:t>%)</w:t>
            </w:r>
          </w:p>
        </w:tc>
      </w:tr>
      <w:tr>
        <w:trPr/>
        <w:tc>
          <w:tcPr>
            <w:tcW w:w="2009"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Format changed</w:t>
            </w:r>
          </w:p>
        </w:tc>
        <w:tc>
          <w:tcPr>
            <w:tcW w:w="1464"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bookmarkStart w:id="307" w:name="Stat_Change"/>
            <w:r>
              <w:rPr>
                <w:color w:val="000000"/>
                <w:w w:val="100"/>
              </w:rPr>
              <w:t>0</w:t>
            </w:r>
            <w:bookmarkEnd w:id="307"/>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start"/>
              <w:rPr/>
            </w:pPr>
            <w:r>
              <w:rPr>
                <w:color w:val="000000"/>
                <w:w w:val="100"/>
              </w:rPr>
              <w:t>(</w:t>
            </w:r>
            <w:bookmarkStart w:id="308" w:name="Stat_ChangeP"/>
            <w:r>
              <w:rPr>
                <w:color w:val="000000"/>
                <w:w w:val="100"/>
              </w:rPr>
              <w:t>0.40</w:t>
            </w:r>
            <w:bookmarkEnd w:id="308"/>
            <w:r>
              <w:rPr>
                <w:color w:val="000000"/>
                <w:w w:val="100"/>
              </w:rPr>
              <w:t>%)</w:t>
            </w:r>
          </w:p>
        </w:tc>
      </w:tr>
    </w:tbl>
    <w:p>
      <w:pPr>
        <w:pStyle w:val="DeltaViewTableBody"/>
        <w:widowControl/>
        <w:bidi w:val="0"/>
        <w:jc w:val="start"/>
        <w:rPr/>
      </w:pPr>
      <w:r>
        <w:rPr/>
      </w:r>
      <w:bookmarkStart w:id="309" w:name="Program_Copy_1"/>
      <w:bookmarkStart w:id="310" w:name="Program_Copy_1"/>
      <w:bookmarkEnd w:id="310"/>
    </w:p>
    <w:sectPr>
      <w:headerReference w:type="default" r:id="rId8"/>
      <w:headerReference w:type="first" r:id="rId9"/>
      <w:footerReference w:type="default" r:id="rId10"/>
      <w:footerReference w:type="first" r:id="rId11"/>
      <w:type w:val="nextPage"/>
      <w:pgSz w:w="12240" w:h="15840"/>
      <w:pgMar w:left="1296" w:right="1296" w:gutter="0" w:header="720" w:top="77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32">
              <wp:simplePos x="0" y="0"/>
              <wp:positionH relativeFrom="column">
                <wp:posOffset>0</wp:posOffset>
              </wp:positionH>
              <wp:positionV relativeFrom="paragraph">
                <wp:posOffset>635</wp:posOffset>
              </wp:positionV>
              <wp:extent cx="2743200" cy="457200"/>
              <wp:effectExtent l="0" t="0" r="635" b="635"/>
              <wp:wrapNone/>
              <wp:docPr id="7" name="Shape 1"/>
              <a:graphic xmlns:a="http://schemas.openxmlformats.org/drawingml/2006/main">
                <a:graphicData uri="http://schemas.microsoft.com/office/word/2010/wordprocessingShape">
                  <wps:wsp>
                    <wps:cNvSpPr/>
                    <wps:spPr>
                      <a:xfrm>
                        <a:off x="0" y="0"/>
                        <a:ext cx="2743200" cy="457200"/>
                      </a:xfrm>
                      <a:prstGeom prst="rect">
                        <a:avLst/>
                      </a:prstGeom>
                      <a:noFill/>
                      <a:ln w="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3">
              <wp:simplePos x="0" y="0"/>
              <wp:positionH relativeFrom="column">
                <wp:posOffset>0</wp:posOffset>
              </wp:positionH>
              <wp:positionV relativeFrom="paragraph">
                <wp:posOffset>635</wp:posOffset>
              </wp:positionV>
              <wp:extent cx="2743200" cy="457200"/>
              <wp:effectExtent l="0" t="0" r="0" b="0"/>
              <wp:wrapNone/>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lang w:val="en-US"/>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4605" cy="146685"/>
              <wp:effectExtent l="0" t="0" r="0" b="0"/>
              <wp:wrapTopAndBottom/>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US"/>
      </w:rPr>
      <w:fldChar w:fldCharType="begin"/>
    </w:r>
    <w:r>
      <w:rPr>
        <w:rStyle w:val="PageNumber"/>
        <w:sz w:val="22"/>
        <w:lang w:val="en-US"/>
      </w:rPr>
      <w:instrText xml:space="preserve"> PAGE </w:instrText>
    </w:r>
    <w:r>
      <w:rPr>
        <w:rStyle w:val="PageNumber"/>
        <w:sz w:val="22"/>
        <w:lang w:val="en-US"/>
      </w:rPr>
      <w:fldChar w:fldCharType="separate"/>
    </w:r>
    <w:r>
      <w:rPr>
        <w:rStyle w:val="PageNumber"/>
        <w:sz w:val="22"/>
        <w:lang w:val="en-US"/>
      </w:rPr>
      <w:t>10</w:t>
    </w:r>
    <w:r>
      <w:rPr>
        <w:rStyle w:val="PageNumber"/>
        <w:sz w:val="22"/>
        <w:lang w:val="en-US"/>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4605" cy="146685"/>
              <wp:effectExtent l="0" t="0" r="0" b="0"/>
              <wp:wrapTopAndBottom/>
              <wp:docPr id="6"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rPr>
                    </w:pPr>
                    <w:r>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US"/>
      </w:rPr>
      <w:fldChar w:fldCharType="begin"/>
    </w:r>
    <w:r>
      <w:rPr>
        <w:rStyle w:val="PageNumber"/>
        <w:sz w:val="22"/>
        <w:lang w:val="en-US"/>
      </w:rPr>
      <w:instrText xml:space="preserve"> PAGE </w:instrText>
    </w:r>
    <w:r>
      <w:rPr>
        <w:rStyle w:val="PageNumber"/>
        <w:sz w:val="22"/>
        <w:lang w:val="en-US"/>
      </w:rPr>
      <w:fldChar w:fldCharType="separate"/>
    </w:r>
    <w:r>
      <w:rPr>
        <w:rStyle w:val="PageNumber"/>
        <w:sz w:val="22"/>
        <w:lang w:val="en-US"/>
      </w:rPr>
      <w:t>11</w:t>
    </w:r>
    <w:r>
      <w:rPr>
        <w:rStyle w:val="PageNumber"/>
        <w:sz w:val="22"/>
        <w:lang w:val="en-US"/>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US"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CommentReference">
    <w:name w:val="annotation reference"/>
    <w:basedOn w:val="DefaultParagraphFont"/>
    <w:qFormat/>
    <w:rPr>
      <w:sz w:val="16"/>
    </w:rPr>
  </w:style>
  <w:style w:type="character" w:styleId="DeltaViewInsertion">
    <w:name w:val="DeltaView Insertion"/>
    <w:qFormat/>
    <w:rPr>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00FF00"/>
    </w:rPr>
  </w:style>
  <w:style w:type="character" w:styleId="DeltaViewMoveDestination">
    <w:name w:val="DeltaView Move Destination"/>
    <w:qFormat/>
    <w:rPr>
      <w:color w:val="00FF00"/>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Tahoma" w:cs="Times New Roman"/>
      <w:color w:val="auto"/>
      <w:kern w:val="2"/>
      <w:sz w:val="24"/>
      <w:szCs w:val="24"/>
      <w:lang w:val="en-GB" w:eastAsia="zh-CN" w:bidi="hi-IN"/>
    </w:rPr>
  </w:style>
  <w:style w:type="paragraph" w:styleId="CommentText">
    <w:name w:val="annotation text"/>
    <w:basedOn w:val="Normal"/>
    <w:pPr>
      <w:widowControl/>
    </w:pPr>
    <w:rPr>
      <w:sz w:val="20"/>
    </w:rPr>
  </w:style>
  <w:style w:type="paragraph" w:styleId="DocumentMap">
    <w:name w:val="Document Map"/>
    <w:basedOn w:val="Normal"/>
    <w:qFormat/>
    <w:pPr>
      <w:widowControl/>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4824</Words>
  <Characters>30466</Characters>
  <CharactersWithSpaces>25735</CharactersWithSpaces>
  <Company>Fulbright &amp; Jaworski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2000-12-19T15:40:00Z</dcterms:created>
  <dc:creator>Carolyn Campbell</dc:creator>
  <dc:description/>
  <dc:language>en-US</dc:language>
  <cp:lastModifiedBy/>
  <cp:lastPrinted>2000-12-08T14:28:00Z</cp:lastPrinted>
  <dcterms:modified xsi:type="dcterms:W3CDTF">2000-12-19T15:58:00Z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Carolyn Campbell</vt:lpwstr>
  </property>
  <property fmtid="{D5CDD505-2E9C-101B-9397-08002B2CF9AE}" pid="4" name="AuthorName">
    <vt:lpwstr>DOCSOpen Info Unavailable</vt:lpwstr>
  </property>
  <property fmtid="{D5CDD505-2E9C-101B-9397-08002B2CF9AE}" pid="5" name="ClientID">
    <vt:lpwstr>DOCSOpen Info Unavailable</vt:lpwstr>
  </property>
  <property fmtid="{D5CDD505-2E9C-101B-9397-08002B2CF9AE}" pid="6" name="ClientName">
    <vt:lpwstr>DOCSOpen Info Unavailable</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DOCSOpen Info Unavailable</vt:lpwstr>
  </property>
  <property fmtid="{D5CDD505-2E9C-101B-9397-08002B2CF9AE}" pid="10" name="DocName">
    <vt:lpwstr>Redline1.rtf</vt:lpwstr>
  </property>
  <property fmtid="{D5CDD505-2E9C-101B-9397-08002B2CF9AE}" pid="11" name="DocNumber">
    <vt:lpwstr>Redline1.rtf</vt:lpwstr>
  </property>
  <property fmtid="{D5CDD505-2E9C-101B-9397-08002B2CF9AE}" pid="12" name="DocTypeDsc">
    <vt:lpwstr>DOCSOpen Info Unavailable</vt:lpwstr>
  </property>
  <property fmtid="{D5CDD505-2E9C-101B-9397-08002B2CF9AE}" pid="13" name="DocTypeID">
    <vt:lpwstr>DOCSOpen Info Unavailable</vt:lpwstr>
  </property>
  <property fmtid="{D5CDD505-2E9C-101B-9397-08002B2CF9AE}" pid="14" name="LastEditDate">
    <vt:lpwstr>DOCSOpen Info Unavailable</vt:lpwstr>
  </property>
  <property fmtid="{D5CDD505-2E9C-101B-9397-08002B2CF9AE}" pid="15" name="MatterID">
    <vt:lpwstr>DOCSOpen Info Unavailable</vt:lpwstr>
  </property>
  <property fmtid="{D5CDD505-2E9C-101B-9397-08002B2CF9AE}" pid="16" name="MatterName">
    <vt:lpwstr>DOCSOpen Info Unavailable</vt:lpwstr>
  </property>
  <property fmtid="{D5CDD505-2E9C-101B-9397-08002B2CF9AE}" pid="17" name="Operator">
    <vt:lpwstr>GFK</vt:lpwstr>
  </property>
  <property fmtid="{D5CDD505-2E9C-101B-9397-08002B2CF9AE}" pid="18" name="Original File">
    <vt:lpwstr>::ODMA\PCDOCS\HOUSTON\44350\2</vt:lpwstr>
  </property>
  <property fmtid="{D5CDD505-2E9C-101B-9397-08002B2CF9AE}" pid="19" name="TypistID">
    <vt:lpwstr>DOCSOpen Info Unavailable</vt:lpwstr>
  </property>
  <property fmtid="{D5CDD505-2E9C-101B-9397-08002B2CF9AE}" pid="20" name="TypistName">
    <vt:lpwstr>DOCSOpen Info Unavailable</vt:lpwstr>
  </property>
</Properties>
</file>