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jpeg" ContentType="image/jpeg"/>
  <Override PartName="/word/media/image2.jpeg" ContentType="image/jpeg"/>
  <Override PartName="/word/media/image3.jpeg" ContentType="image/jpeg"/>
  <Override PartName="/word/media/image4.jpeg" ContentType="image/jpe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1"/>
        <w:spacing w:before="0" w:after="0"/>
        <w:rPr>
          <w:b w:val="false"/>
          <w:i/>
          <w:i/>
          <w:outline/>
          <w:sz w:val="40"/>
        </w:rPr>
      </w:pPr>
      <w:r>
        <w:rPr>
          <w:b w:val="false"/>
          <w:i/>
          <w:outline/>
          <w:sz w:val="40"/>
        </w:rPr>
      </w:r>
    </w:p>
    <w:p>
      <w:pPr>
        <w:pStyle w:val="Title1"/>
        <w:spacing w:before="0" w:after="0"/>
        <w:rPr>
          <w:sz w:val="24"/>
        </w:rPr>
      </w:pPr>
      <w:r>
        <w:rPr>
          <w:sz w:val="24"/>
        </w:rPr>
        <w:t>Environmental Report</w:t>
        <w:br/>
        <w:t>for the</w:t>
        <w:br/>
        <w:t>Red Rock Mainline Expansion</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sz w:val="22"/>
        </w:rPr>
      </w:pPr>
      <w:r>
        <w:rPr>
          <w:rFonts w:cs="Arial" w:ascii="Arial" w:hAnsi="Arial"/>
          <w:sz w:val="22"/>
        </w:rPr>
        <w:t>March 2001</w:t>
      </w:r>
    </w:p>
    <w:p>
      <w:pPr>
        <w:pStyle w:val="Normal"/>
        <w:jc w:val="center"/>
        <w:rPr/>
      </w:pPr>
      <w:r>
        <w:rPr>
          <w:rFonts w:cs="Arial" w:ascii="Arial" w:hAnsi="Arial"/>
        </w:rPr>
        <w:t>Prepared for:</w:t>
        <w:br/>
      </w:r>
      <w:r>
        <w:rPr>
          <w:rFonts w:cs="Arial" w:ascii="Arial" w:hAnsi="Arial"/>
          <w:sz w:val="22"/>
        </w:rPr>
        <w:br/>
      </w:r>
      <w:r>
        <w:rPr>
          <w:rFonts w:cs="Arial" w:ascii="Arial" w:hAnsi="Arial"/>
          <w:sz w:val="24"/>
        </w:rPr>
        <w:t>TRANSWESTERN PIPELINE COMPANY</w:t>
        <w:br/>
        <w:t>6381 North Main Street</w:t>
        <w:br/>
        <w:t>Roswell, New Mexico 88201</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sectPr>
          <w:type w:val="nextPage"/>
          <w:pgSz w:w="12240" w:h="15840"/>
          <w:pgMar w:left="1440" w:right="1440" w:gutter="0" w:header="0" w:top="1440" w:footer="0" w:bottom="1440"/>
          <w:pgNumType w:start="1" w:fmt="lowerRoman"/>
          <w:formProt w:val="false"/>
          <w:vAlign w:val="both"/>
          <w:textDirection w:val="lrTb"/>
          <w:docGrid w:type="default" w:linePitch="360" w:charSpace="0"/>
        </w:sectPr>
        <w:pStyle w:val="Normal"/>
        <w:jc w:val="center"/>
        <w:rPr/>
      </w:pPr>
      <w:r>
        <w:rPr>
          <w:rFonts w:cs="Arial" w:ascii="Arial" w:hAnsi="Arial"/>
        </w:rPr>
        <w:t>Prepared by:</w:t>
        <w:br/>
      </w:r>
      <w:r>
        <w:rPr>
          <w:rFonts w:cs="Arial" w:ascii="Arial" w:hAnsi="Arial"/>
          <w:sz w:val="22"/>
        </w:rPr>
        <w:br/>
        <w:t>ENSR Consulting and Engineering</w:t>
        <w:br/>
        <w:t>2700 Wycliff Road, Suite 200</w:t>
        <w:br/>
        <w:t>Raleigh, North Carolina 27607</w:t>
      </w:r>
    </w:p>
    <w:p>
      <w:pPr>
        <w:pStyle w:val="Title1"/>
        <w:rPr/>
      </w:pPr>
      <w:r>
        <w:rPr/>
        <w:t>Table of Contents</w:t>
      </w:r>
    </w:p>
    <w:p>
      <w:pPr>
        <w:pStyle w:val="BodyText1"/>
        <w:jc w:val="end"/>
        <w:rPr/>
      </w:pPr>
      <w:r>
        <w:rPr/>
        <w:t>Page</w:t>
      </w:r>
    </w:p>
    <w:sdt>
      <w:sdtPr>
        <w:docPartObj>
          <w:docPartGallery w:val="Table of Contents"/>
          <w:docPartUnique w:val="true"/>
        </w:docPartObj>
      </w:sdtPr>
      <w:sdtContent>
        <w:p>
          <w:pPr>
            <w:pStyle w:val="TOC1"/>
            <w:rPr>
              <w:rFonts w:ascii="Arial" w:hAnsi="Arial" w:cs="Arial"/>
              <w:b/>
              <w:sz w:val="22"/>
              <w:lang w:val="en-CA"/>
            </w:rPr>
          </w:pPr>
          <w:r>
            <w:fldChar w:fldCharType="begin"/>
          </w:r>
          <w:r>
            <w:rPr>
              <w:sz w:val="22"/>
              <w:b/>
              <w:rFonts w:cs="Arial"/>
              <w:lang w:val="en-CA"/>
            </w:rPr>
            <w:instrText xml:space="preserve"> TOC \o "1-3" </w:instrText>
          </w:r>
          <w:r>
            <w:rPr>
              <w:sz w:val="22"/>
              <w:b/>
              <w:rFonts w:cs="Arial"/>
              <w:lang w:val="en-CA"/>
            </w:rPr>
            <w:fldChar w:fldCharType="separate"/>
          </w:r>
          <w:r>
            <w:rPr>
              <w:rFonts w:cs="Arial"/>
              <w:b/>
              <w:sz w:val="22"/>
              <w:lang w:val="en-CA"/>
            </w:rPr>
            <w:t>1.0</w:t>
            <w:tab/>
            <w:t>Project Description</w:t>
            <w:tab/>
          </w:r>
          <w:hyperlink w:anchor="__RefHeading___Toc509915811">
            <w:r>
              <w:rPr>
                <w:rStyle w:val="IndexLink"/>
                <w:rFonts w:cs="Arial"/>
                <w:b/>
                <w:sz w:val="22"/>
                <w:lang w:val="en-CA"/>
              </w:rPr>
              <w:t>1</w:t>
            </w:r>
          </w:hyperlink>
        </w:p>
        <w:p>
          <w:pPr>
            <w:pStyle w:val="TOC2"/>
            <w:tabs>
              <w:tab w:val="clear" w:pos="720"/>
              <w:tab w:val="left" w:pos="800" w:leader="none"/>
              <w:tab w:val="right" w:pos="8630" w:leader="dot"/>
            </w:tabs>
            <w:rPr/>
          </w:pPr>
          <w:r>
            <w:rPr/>
            <w:t>1.1</w:t>
            <w:tab/>
            <w:t>Proposed Facilities</w:t>
            <w:tab/>
          </w:r>
          <w:hyperlink w:anchor="__RefHeading___Toc509915812">
            <w:r>
              <w:rPr>
                <w:rStyle w:val="IndexLink"/>
              </w:rPr>
              <w:t>1</w:t>
            </w:r>
          </w:hyperlink>
        </w:p>
        <w:p>
          <w:pPr>
            <w:pStyle w:val="TOC3"/>
            <w:tabs>
              <w:tab w:val="clear" w:pos="720"/>
              <w:tab w:val="left" w:pos="1200" w:leader="none"/>
              <w:tab w:val="right" w:pos="8630" w:leader="dot"/>
            </w:tabs>
            <w:rPr>
              <w:lang w:val="en-CA"/>
            </w:rPr>
          </w:pPr>
          <w:r>
            <w:rPr>
              <w:lang w:val="en-CA"/>
            </w:rPr>
            <w:t>1.1.1</w:t>
            <w:tab/>
            <w:t>Location of Facilities</w:t>
            <w:tab/>
          </w:r>
          <w:hyperlink w:anchor="__RefHeading___Toc509915813">
            <w:r>
              <w:rPr>
                <w:rStyle w:val="IndexLink"/>
                <w:lang w:val="en-CA"/>
              </w:rPr>
              <w:t>1</w:t>
            </w:r>
          </w:hyperlink>
        </w:p>
        <w:p>
          <w:pPr>
            <w:pStyle w:val="TOC3"/>
            <w:tabs>
              <w:tab w:val="clear" w:pos="720"/>
              <w:tab w:val="left" w:pos="1200" w:leader="none"/>
              <w:tab w:val="right" w:pos="8630" w:leader="dot"/>
            </w:tabs>
            <w:rPr>
              <w:lang w:val="en-CA"/>
            </w:rPr>
          </w:pPr>
          <w:r>
            <w:rPr>
              <w:lang w:val="en-CA"/>
            </w:rPr>
            <w:t>1.1.2</w:t>
            <w:tab/>
            <w:t>Detailed Project Activities</w:t>
            <w:tab/>
          </w:r>
          <w:hyperlink w:anchor="__RefHeading___Toc509915814">
            <w:r>
              <w:rPr>
                <w:rStyle w:val="IndexLink"/>
                <w:lang w:val="en-CA"/>
              </w:rPr>
              <w:t>1</w:t>
            </w:r>
          </w:hyperlink>
        </w:p>
        <w:p>
          <w:pPr>
            <w:pStyle w:val="TOC3"/>
            <w:tabs>
              <w:tab w:val="clear" w:pos="720"/>
              <w:tab w:val="left" w:pos="1200" w:leader="none"/>
              <w:tab w:val="right" w:pos="8630" w:leader="dot"/>
            </w:tabs>
            <w:rPr>
              <w:lang w:val="en-CA"/>
            </w:rPr>
          </w:pPr>
          <w:r>
            <w:rPr>
              <w:lang w:val="en-CA"/>
            </w:rPr>
            <w:t>1.1.3</w:t>
            <w:tab/>
            <w:t>Non-Jurisdictional Facilities</w:t>
            <w:tab/>
          </w:r>
          <w:hyperlink w:anchor="__RefHeading___Toc509915815">
            <w:r>
              <w:rPr>
                <w:rStyle w:val="IndexLink"/>
                <w:lang w:val="en-CA"/>
              </w:rPr>
              <w:t>4</w:t>
            </w:r>
          </w:hyperlink>
        </w:p>
        <w:p>
          <w:pPr>
            <w:pStyle w:val="TOC2"/>
            <w:tabs>
              <w:tab w:val="clear" w:pos="720"/>
              <w:tab w:val="left" w:pos="800" w:leader="none"/>
              <w:tab w:val="right" w:pos="8630" w:leader="dot"/>
            </w:tabs>
            <w:rPr/>
          </w:pPr>
          <w:r>
            <w:rPr/>
            <w:t>1.2</w:t>
            <w:tab/>
            <w:t>Land Requirements</w:t>
            <w:tab/>
          </w:r>
          <w:hyperlink w:anchor="__RefHeading___Toc509915816">
            <w:r>
              <w:rPr>
                <w:rStyle w:val="IndexLink"/>
              </w:rPr>
              <w:t>4</w:t>
            </w:r>
          </w:hyperlink>
        </w:p>
        <w:p>
          <w:pPr>
            <w:pStyle w:val="TOC2"/>
            <w:tabs>
              <w:tab w:val="clear" w:pos="720"/>
              <w:tab w:val="left" w:pos="800" w:leader="none"/>
              <w:tab w:val="right" w:pos="8630" w:leader="dot"/>
            </w:tabs>
            <w:rPr/>
          </w:pPr>
          <w:r>
            <w:rPr/>
            <w:t>1.3</w:t>
            <w:tab/>
            <w:t>Construction Procedures</w:t>
            <w:tab/>
          </w:r>
          <w:hyperlink w:anchor="__RefHeading___Toc509915817">
            <w:r>
              <w:rPr>
                <w:rStyle w:val="IndexLink"/>
              </w:rPr>
              <w:t>4</w:t>
            </w:r>
          </w:hyperlink>
        </w:p>
        <w:p>
          <w:pPr>
            <w:pStyle w:val="TOC2"/>
            <w:tabs>
              <w:tab w:val="clear" w:pos="720"/>
              <w:tab w:val="left" w:pos="800" w:leader="none"/>
              <w:tab w:val="right" w:pos="8630" w:leader="dot"/>
            </w:tabs>
            <w:rPr/>
          </w:pPr>
          <w:r>
            <w:rPr/>
            <w:t>1.4</w:t>
            <w:tab/>
            <w:t>Workforce Requirements and Schedule</w:t>
            <w:tab/>
          </w:r>
          <w:hyperlink w:anchor="__RefHeading___Toc509915818">
            <w:r>
              <w:rPr>
                <w:rStyle w:val="IndexLink"/>
              </w:rPr>
              <w:t>5</w:t>
            </w:r>
          </w:hyperlink>
        </w:p>
        <w:p>
          <w:pPr>
            <w:pStyle w:val="TOC2"/>
            <w:tabs>
              <w:tab w:val="clear" w:pos="720"/>
              <w:tab w:val="left" w:pos="800" w:leader="none"/>
              <w:tab w:val="right" w:pos="8630" w:leader="dot"/>
            </w:tabs>
            <w:rPr/>
          </w:pPr>
          <w:r>
            <w:rPr/>
            <w:t>1.5</w:t>
            <w:tab/>
            <w:t>Future Plans</w:t>
            <w:tab/>
          </w:r>
          <w:hyperlink w:anchor="__RefHeading___Toc509915819">
            <w:r>
              <w:rPr>
                <w:rStyle w:val="IndexLink"/>
              </w:rPr>
              <w:t>5</w:t>
            </w:r>
          </w:hyperlink>
        </w:p>
        <w:p>
          <w:pPr>
            <w:pStyle w:val="TOC2"/>
            <w:tabs>
              <w:tab w:val="clear" w:pos="720"/>
              <w:tab w:val="left" w:pos="800" w:leader="none"/>
              <w:tab w:val="right" w:pos="8630" w:leader="dot"/>
            </w:tabs>
            <w:rPr/>
          </w:pPr>
          <w:r>
            <w:rPr/>
            <w:t>1.6</w:t>
            <w:tab/>
            <w:t>Permits, Clearances and Approvals</w:t>
            <w:tab/>
          </w:r>
          <w:hyperlink w:anchor="__RefHeading___Toc509915820">
            <w:r>
              <w:rPr>
                <w:rStyle w:val="IndexLink"/>
              </w:rPr>
              <w:t>5</w:t>
            </w:r>
          </w:hyperlink>
        </w:p>
        <w:p>
          <w:pPr>
            <w:pStyle w:val="TOC2"/>
            <w:tabs>
              <w:tab w:val="clear" w:pos="720"/>
              <w:tab w:val="left" w:pos="800" w:leader="none"/>
              <w:tab w:val="right" w:pos="8630" w:leader="dot"/>
            </w:tabs>
            <w:rPr/>
          </w:pPr>
          <w:r>
            <w:rPr/>
            <w:t>1.7</w:t>
            <w:tab/>
            <w:t>Affected Landowners</w:t>
            <w:tab/>
          </w:r>
          <w:hyperlink w:anchor="__RefHeading___Toc509915821">
            <w:r>
              <w:rPr>
                <w:rStyle w:val="IndexLink"/>
              </w:rPr>
              <w:t>5</w:t>
            </w:r>
          </w:hyperlink>
        </w:p>
        <w:p>
          <w:pPr>
            <w:pStyle w:val="TOC1"/>
            <w:rPr/>
          </w:pPr>
          <w:r>
            <w:rPr/>
            <w:t>2.0</w:t>
            <w:tab/>
            <w:t>Water Use and Quality</w:t>
            <w:tab/>
          </w:r>
          <w:hyperlink w:anchor="__RefHeading___Toc509915822">
            <w:r>
              <w:rPr>
                <w:rStyle w:val="IndexLink"/>
              </w:rPr>
              <w:t>7</w:t>
            </w:r>
          </w:hyperlink>
        </w:p>
        <w:p>
          <w:pPr>
            <w:pStyle w:val="TOC1"/>
            <w:rPr/>
          </w:pPr>
          <w:r>
            <w:rPr/>
            <w:t>3.0</w:t>
            <w:tab/>
            <w:t>Vegetation and Wildlife</w:t>
            <w:tab/>
          </w:r>
          <w:hyperlink w:anchor="__RefHeading___Toc509915823">
            <w:r>
              <w:rPr>
                <w:rStyle w:val="IndexLink"/>
              </w:rPr>
              <w:t>7</w:t>
            </w:r>
          </w:hyperlink>
        </w:p>
        <w:p>
          <w:pPr>
            <w:pStyle w:val="TOC1"/>
            <w:rPr/>
          </w:pPr>
          <w:r>
            <w:rPr/>
            <w:t>4.0</w:t>
            <w:tab/>
            <w:t>Cultural Resources</w:t>
            <w:tab/>
          </w:r>
          <w:hyperlink w:anchor="__RefHeading___Toc509915824">
            <w:r>
              <w:rPr>
                <w:rStyle w:val="IndexLink"/>
              </w:rPr>
              <w:t>8</w:t>
            </w:r>
          </w:hyperlink>
        </w:p>
        <w:p>
          <w:pPr>
            <w:pStyle w:val="TOC1"/>
            <w:rPr/>
          </w:pPr>
          <w:r>
            <w:rPr/>
            <w:t>5.0</w:t>
            <w:tab/>
            <w:t>Socioeconomics</w:t>
            <w:tab/>
          </w:r>
          <w:hyperlink w:anchor="__RefHeading___Toc509915825">
            <w:r>
              <w:rPr>
                <w:rStyle w:val="IndexLink"/>
              </w:rPr>
              <w:t>8</w:t>
            </w:r>
          </w:hyperlink>
        </w:p>
        <w:p>
          <w:pPr>
            <w:pStyle w:val="TOC1"/>
            <w:rPr/>
          </w:pPr>
          <w:r>
            <w:rPr/>
            <w:t>6.0</w:t>
            <w:tab/>
            <w:t>Geological Resources</w:t>
            <w:tab/>
          </w:r>
          <w:hyperlink w:anchor="__RefHeading___Toc509915826">
            <w:r>
              <w:rPr>
                <w:rStyle w:val="IndexLink"/>
              </w:rPr>
              <w:t>8</w:t>
            </w:r>
          </w:hyperlink>
        </w:p>
        <w:p>
          <w:pPr>
            <w:pStyle w:val="TOC1"/>
            <w:rPr/>
          </w:pPr>
          <w:r>
            <w:rPr/>
            <w:t>7.0</w:t>
            <w:tab/>
            <w:t>Soils</w:t>
            <w:tab/>
          </w:r>
          <w:hyperlink w:anchor="__RefHeading___Toc509915827">
            <w:r>
              <w:rPr>
                <w:rStyle w:val="IndexLink"/>
              </w:rPr>
              <w:t>9</w:t>
            </w:r>
          </w:hyperlink>
        </w:p>
        <w:p>
          <w:pPr>
            <w:pStyle w:val="TOC1"/>
            <w:rPr/>
          </w:pPr>
          <w:r>
            <w:rPr/>
            <w:t>8.0</w:t>
            <w:tab/>
            <w:t>Land Use, Recreation and Aesthetics</w:t>
            <w:tab/>
          </w:r>
          <w:hyperlink w:anchor="__RefHeading___Toc509915828">
            <w:r>
              <w:rPr>
                <w:rStyle w:val="IndexLink"/>
              </w:rPr>
              <w:t>9</w:t>
            </w:r>
          </w:hyperlink>
        </w:p>
        <w:p>
          <w:pPr>
            <w:pStyle w:val="TOC1"/>
            <w:rPr/>
          </w:pPr>
          <w:r>
            <w:rPr/>
            <w:t>9.0</w:t>
            <w:tab/>
            <w:t>Air and Noise Quality</w:t>
            <w:tab/>
          </w:r>
          <w:hyperlink w:anchor="__RefHeading___Toc509915829">
            <w:r>
              <w:rPr>
                <w:rStyle w:val="IndexLink"/>
              </w:rPr>
              <w:t>9</w:t>
            </w:r>
          </w:hyperlink>
        </w:p>
        <w:p>
          <w:pPr>
            <w:pStyle w:val="TOC2"/>
            <w:tabs>
              <w:tab w:val="clear" w:pos="720"/>
              <w:tab w:val="left" w:pos="800" w:leader="none"/>
              <w:tab w:val="right" w:pos="8630" w:leader="dot"/>
            </w:tabs>
            <w:rPr/>
          </w:pPr>
          <w:r>
            <w:rPr/>
            <w:t>9.1</w:t>
            <w:tab/>
            <w:t>Air Quality</w:t>
            <w:tab/>
          </w:r>
          <w:hyperlink w:anchor="__RefHeading___Toc509915830">
            <w:r>
              <w:rPr>
                <w:rStyle w:val="IndexLink"/>
              </w:rPr>
              <w:t>9</w:t>
            </w:r>
          </w:hyperlink>
        </w:p>
        <w:p>
          <w:pPr>
            <w:pStyle w:val="TOC3"/>
            <w:tabs>
              <w:tab w:val="clear" w:pos="720"/>
              <w:tab w:val="left" w:pos="1200" w:leader="none"/>
              <w:tab w:val="right" w:pos="8630" w:leader="dot"/>
            </w:tabs>
            <w:rPr>
              <w:lang w:val="en-CA"/>
            </w:rPr>
          </w:pPr>
          <w:r>
            <w:rPr>
              <w:lang w:val="en-CA"/>
            </w:rPr>
            <w:t>9.1.1</w:t>
            <w:tab/>
            <w:t>Existing Air Quality</w:t>
            <w:tab/>
          </w:r>
          <w:hyperlink w:anchor="__RefHeading___Toc509915831">
            <w:r>
              <w:rPr>
                <w:rStyle w:val="IndexLink"/>
                <w:lang w:val="en-CA"/>
              </w:rPr>
              <w:t>9</w:t>
            </w:r>
          </w:hyperlink>
        </w:p>
        <w:p>
          <w:pPr>
            <w:pStyle w:val="TOC3"/>
            <w:tabs>
              <w:tab w:val="clear" w:pos="720"/>
              <w:tab w:val="left" w:pos="1200" w:leader="none"/>
              <w:tab w:val="right" w:pos="8630" w:leader="dot"/>
            </w:tabs>
            <w:rPr>
              <w:lang w:val="en-CA"/>
            </w:rPr>
          </w:pPr>
          <w:r>
            <w:rPr>
              <w:lang w:val="en-CA"/>
            </w:rPr>
            <w:t>9.1.2</w:t>
            <w:tab/>
            <w:t>Operation Impacts on Air Quality</w:t>
            <w:tab/>
          </w:r>
          <w:hyperlink w:anchor="__RefHeading___Toc509915832">
            <w:r>
              <w:rPr>
                <w:rStyle w:val="IndexLink"/>
                <w:lang w:val="en-CA"/>
              </w:rPr>
              <w:t>10</w:t>
            </w:r>
          </w:hyperlink>
        </w:p>
        <w:p>
          <w:pPr>
            <w:pStyle w:val="TOC3"/>
            <w:tabs>
              <w:tab w:val="clear" w:pos="720"/>
              <w:tab w:val="left" w:pos="1200" w:leader="none"/>
              <w:tab w:val="right" w:pos="8630" w:leader="dot"/>
            </w:tabs>
            <w:rPr>
              <w:lang w:val="en-CA"/>
            </w:rPr>
          </w:pPr>
          <w:r>
            <w:rPr>
              <w:lang w:val="en-CA"/>
            </w:rPr>
            <w:t>9.1.3</w:t>
            <w:tab/>
            <w:t>Air Quality Mitigation</w:t>
            <w:tab/>
          </w:r>
          <w:hyperlink w:anchor="__RefHeading___Toc509915833">
            <w:r>
              <w:rPr>
                <w:rStyle w:val="IndexLink"/>
                <w:lang w:val="en-CA"/>
              </w:rPr>
              <w:t>11</w:t>
            </w:r>
          </w:hyperlink>
        </w:p>
        <w:p>
          <w:pPr>
            <w:pStyle w:val="TOC2"/>
            <w:tabs>
              <w:tab w:val="clear" w:pos="720"/>
              <w:tab w:val="left" w:pos="800" w:leader="none"/>
              <w:tab w:val="right" w:pos="8630" w:leader="dot"/>
            </w:tabs>
            <w:rPr/>
          </w:pPr>
          <w:r>
            <w:rPr/>
            <w:t>9.2</w:t>
            <w:tab/>
            <w:t>Noise Quality</w:t>
            <w:tab/>
          </w:r>
          <w:hyperlink w:anchor="__RefHeading___Toc509915834">
            <w:r>
              <w:rPr>
                <w:rStyle w:val="IndexLink"/>
              </w:rPr>
              <w:t>11</w:t>
            </w:r>
          </w:hyperlink>
        </w:p>
        <w:p>
          <w:pPr>
            <w:pStyle w:val="TOC3"/>
            <w:tabs>
              <w:tab w:val="clear" w:pos="720"/>
              <w:tab w:val="left" w:pos="1200" w:leader="none"/>
              <w:tab w:val="right" w:pos="8630" w:leader="dot"/>
            </w:tabs>
            <w:rPr>
              <w:lang w:val="en-CA"/>
            </w:rPr>
          </w:pPr>
          <w:r>
            <w:rPr>
              <w:lang w:val="en-CA"/>
            </w:rPr>
            <w:t>9.2.1</w:t>
            <w:tab/>
            <w:t>Existing Noise Quality</w:t>
            <w:tab/>
          </w:r>
          <w:hyperlink w:anchor="__RefHeading___Toc509915835">
            <w:r>
              <w:rPr>
                <w:rStyle w:val="IndexLink"/>
                <w:lang w:val="en-CA"/>
              </w:rPr>
              <w:t>11</w:t>
            </w:r>
          </w:hyperlink>
        </w:p>
        <w:p>
          <w:pPr>
            <w:pStyle w:val="TOC3"/>
            <w:tabs>
              <w:tab w:val="clear" w:pos="720"/>
              <w:tab w:val="left" w:pos="1200" w:leader="none"/>
              <w:tab w:val="right" w:pos="8630" w:leader="dot"/>
            </w:tabs>
            <w:rPr>
              <w:lang w:val="en-CA"/>
            </w:rPr>
          </w:pPr>
          <w:r>
            <w:rPr>
              <w:lang w:val="en-CA"/>
            </w:rPr>
            <w:t>9.2.2</w:t>
            <w:tab/>
            <w:t>Operation Noise Impacts</w:t>
            <w:tab/>
          </w:r>
          <w:hyperlink w:anchor="__RefHeading___Toc509915836">
            <w:r>
              <w:rPr>
                <w:rStyle w:val="IndexLink"/>
                <w:lang w:val="en-CA"/>
              </w:rPr>
              <w:t>11</w:t>
            </w:r>
          </w:hyperlink>
        </w:p>
        <w:p>
          <w:pPr>
            <w:pStyle w:val="TOC3"/>
            <w:tabs>
              <w:tab w:val="clear" w:pos="720"/>
              <w:tab w:val="left" w:pos="1200" w:leader="none"/>
              <w:tab w:val="right" w:pos="8630" w:leader="dot"/>
            </w:tabs>
            <w:rPr>
              <w:lang w:val="en-CA"/>
            </w:rPr>
          </w:pPr>
          <w:r>
            <w:rPr>
              <w:lang w:val="en-CA"/>
            </w:rPr>
            <w:t>9.2.3</w:t>
            <w:tab/>
            <w:t>Noise Mitigation</w:t>
            <w:tab/>
          </w:r>
          <w:hyperlink w:anchor="__RefHeading___Toc509915837">
            <w:r>
              <w:rPr>
                <w:rStyle w:val="IndexLink"/>
                <w:lang w:val="en-CA"/>
              </w:rPr>
              <w:t>11</w:t>
            </w:r>
          </w:hyperlink>
        </w:p>
        <w:p>
          <w:pPr>
            <w:pStyle w:val="TOC2"/>
            <w:tabs>
              <w:tab w:val="clear" w:pos="720"/>
              <w:tab w:val="left" w:pos="800" w:leader="none"/>
              <w:tab w:val="right" w:pos="8630" w:leader="dot"/>
            </w:tabs>
            <w:rPr/>
          </w:pPr>
          <w:r>
            <w:rPr/>
            <w:t>9.3</w:t>
            <w:tab/>
            <w:t>References</w:t>
            <w:tab/>
          </w:r>
          <w:hyperlink w:anchor="__RefHeading___Toc509915838">
            <w:r>
              <w:rPr>
                <w:rStyle w:val="IndexLink"/>
              </w:rPr>
              <w:t>12</w:t>
            </w:r>
          </w:hyperlink>
        </w:p>
        <w:p>
          <w:pPr>
            <w:pStyle w:val="TOC1"/>
            <w:rPr/>
          </w:pPr>
          <w:r>
            <w:rPr/>
            <w:t>10.0</w:t>
            <w:tab/>
            <w:t>Alternatives</w:t>
            <w:tab/>
          </w:r>
          <w:hyperlink w:anchor="__RefHeading___Toc509915839">
            <w:r>
              <w:rPr>
                <w:rStyle w:val="IndexLink"/>
              </w:rPr>
              <w:t>12</w:t>
            </w:r>
          </w:hyperlink>
        </w:p>
        <w:p>
          <w:pPr>
            <w:pStyle w:val="TOC2"/>
            <w:tabs>
              <w:tab w:val="clear" w:pos="720"/>
              <w:tab w:val="left" w:pos="800" w:leader="none"/>
              <w:tab w:val="right" w:pos="8630" w:leader="dot"/>
            </w:tabs>
            <w:rPr/>
          </w:pPr>
          <w:r>
            <w:rPr/>
            <w:t>10.1</w:t>
            <w:tab/>
            <w:t>No Action Alternative</w:t>
            <w:tab/>
          </w:r>
          <w:hyperlink w:anchor="__RefHeading___Toc509915840">
            <w:r>
              <w:rPr>
                <w:rStyle w:val="IndexLink"/>
              </w:rPr>
              <w:t>12</w:t>
            </w:r>
          </w:hyperlink>
        </w:p>
        <w:p>
          <w:pPr>
            <w:pStyle w:val="TOC2"/>
            <w:tabs>
              <w:tab w:val="clear" w:pos="720"/>
              <w:tab w:val="left" w:pos="800" w:leader="none"/>
              <w:tab w:val="right" w:pos="8630" w:leader="dot"/>
            </w:tabs>
            <w:rPr/>
          </w:pPr>
          <w:r>
            <w:rPr/>
            <w:t>10.2</w:t>
            <w:tab/>
            <w:t>Facility Alternatives</w:t>
            <w:tab/>
          </w:r>
          <w:hyperlink w:anchor="__RefHeading___Toc509915841">
            <w:r>
              <w:rPr>
                <w:rStyle w:val="IndexLink"/>
              </w:rPr>
              <w:t>12</w:t>
            </w:r>
          </w:hyperlink>
        </w:p>
        <w:p>
          <w:pPr>
            <w:pStyle w:val="TOC2"/>
            <w:tabs>
              <w:tab w:val="clear" w:pos="720"/>
              <w:tab w:val="left" w:pos="800" w:leader="none"/>
              <w:tab w:val="right" w:pos="8630" w:leader="dot"/>
            </w:tabs>
            <w:rPr/>
          </w:pPr>
          <w:r>
            <w:rPr/>
            <w:t>10.3</w:t>
            <w:tab/>
            <w:t>Conclusions</w:t>
            <w:tab/>
          </w:r>
          <w:hyperlink w:anchor="__RefHeading___Toc509915842">
            <w:r>
              <w:rPr>
                <w:rStyle w:val="IndexLink"/>
              </w:rPr>
              <w:t>12</w:t>
            </w:r>
          </w:hyperlink>
        </w:p>
        <w:p>
          <w:pPr>
            <w:pStyle w:val="TOC1"/>
            <w:rPr/>
          </w:pPr>
          <w:r>
            <w:rPr/>
            <w:t>11.0</w:t>
            <w:tab/>
            <w:t>Reliability and Safety</w:t>
            <w:tab/>
          </w:r>
          <w:hyperlink w:anchor="__RefHeading___Toc509915843">
            <w:r>
              <w:rPr>
                <w:rStyle w:val="IndexLink"/>
              </w:rPr>
              <w:t>12</w:t>
            </w:r>
          </w:hyperlink>
        </w:p>
        <w:p>
          <w:pPr>
            <w:pStyle w:val="TOC1"/>
            <w:rPr/>
          </w:pPr>
          <w:r>
            <w:rPr/>
            <w:t>12.0</w:t>
            <w:tab/>
            <w:t>PCB Contamination</w:t>
            <w:tab/>
          </w:r>
          <w:hyperlink w:anchor="__RefHeading___Toc509915844">
            <w:r>
              <w:rPr>
                <w:rStyle w:val="IndexLink"/>
              </w:rPr>
              <w:t>13</w:t>
            </w:r>
          </w:hyperlink>
        </w:p>
        <w:p>
          <w:pPr>
            <w:pStyle w:val="TOC2"/>
            <w:tabs>
              <w:tab w:val="clear" w:pos="720"/>
              <w:tab w:val="left" w:pos="800" w:leader="none"/>
              <w:tab w:val="right" w:pos="8630" w:leader="dot"/>
            </w:tabs>
            <w:rPr/>
          </w:pPr>
          <w:r>
            <w:rPr/>
            <w:t>12.1</w:t>
            <w:tab/>
            <w:t>PCB Regulations</w:t>
            <w:tab/>
          </w:r>
          <w:hyperlink w:anchor="__RefHeading___Toc509915845">
            <w:r>
              <w:rPr>
                <w:rStyle w:val="IndexLink"/>
              </w:rPr>
              <w:t>13</w:t>
            </w:r>
          </w:hyperlink>
        </w:p>
        <w:p>
          <w:pPr>
            <w:pStyle w:val="TOC2"/>
            <w:tabs>
              <w:tab w:val="clear" w:pos="720"/>
              <w:tab w:val="left" w:pos="800" w:leader="none"/>
              <w:tab w:val="right" w:pos="8630" w:leader="dot"/>
            </w:tabs>
            <w:rPr/>
          </w:pPr>
          <w:r>
            <w:rPr/>
            <w:t>12.2</w:t>
            <w:tab/>
            <w:t>References</w:t>
            <w:tab/>
          </w:r>
          <w:hyperlink w:anchor="__RefHeading___Toc509915846">
            <w:r>
              <w:rPr>
                <w:rStyle w:val="IndexLink"/>
              </w:rPr>
              <w:t>13</w:t>
            </w:r>
          </w:hyperlink>
        </w:p>
        <w:p>
          <w:pPr>
            <w:pStyle w:val="TOC1"/>
            <w:rPr/>
          </w:pPr>
          <w:r>
            <w:rPr/>
            <w:t>13.0</w:t>
            <w:tab/>
            <w:t>LNG Plants</w:t>
            <w:tab/>
          </w:r>
          <w:hyperlink w:anchor="__RefHeading___Toc509915847">
            <w:r>
              <w:rPr>
                <w:rStyle w:val="IndexLink"/>
              </w:rPr>
              <w:t>13</w:t>
            </w:r>
          </w:hyperlink>
          <w:r>
            <w:rPr>
              <w:rStyle w:val="IndexLink"/>
            </w:rPr>
            <w:fldChar w:fldCharType="end"/>
          </w:r>
        </w:p>
      </w:sdtContent>
    </w:sdt>
    <w:p>
      <w:pPr>
        <w:pStyle w:val="BodyText1"/>
        <w:spacing w:before="0" w:after="120"/>
        <w:jc w:val="both"/>
        <w:rPr>
          <w:rFonts w:ascii="Arial" w:hAnsi="Arial" w:cs="Arial"/>
          <w:sz w:val="22"/>
        </w:rPr>
      </w:pPr>
      <w:r>
        <w:rPr>
          <w:rFonts w:cs="Arial"/>
          <w:sz w:val="22"/>
        </w:rPr>
      </w:r>
      <w:r>
        <w:br w:type="page"/>
      </w:r>
    </w:p>
    <w:p>
      <w:pPr>
        <w:pStyle w:val="Title1"/>
        <w:rPr/>
      </w:pPr>
      <w:r>
        <w:rPr/>
        <w:t>List of Tables</w:t>
      </w:r>
    </w:p>
    <w:p>
      <w:pPr>
        <w:pStyle w:val="BodyText1"/>
        <w:jc w:val="end"/>
        <w:rPr/>
      </w:pPr>
      <w:r>
        <w:rPr/>
        <w:t>Page</w:t>
      </w:r>
    </w:p>
    <w:p>
      <w:pPr>
        <w:pStyle w:val="TableofFigures"/>
        <w:tabs>
          <w:tab w:val="left" w:pos="1080" w:leader="none"/>
          <w:tab w:val="left" w:pos="1200" w:leader="none"/>
          <w:tab w:val="right" w:pos="8640" w:leader="dot"/>
        </w:tabs>
        <w:rPr>
          <w:lang w:val="en-CA"/>
        </w:rPr>
      </w:pPr>
      <w:r>
        <w:fldChar w:fldCharType="begin"/>
      </w:r>
      <w:r>
        <w:rPr>
          <w:lang w:val="en-CA"/>
        </w:rPr>
        <w:instrText xml:space="preserve"> TOC \c "Table" </w:instrText>
      </w:r>
      <w:r>
        <w:rPr>
          <w:lang w:val="en-CA"/>
        </w:rPr>
        <w:fldChar w:fldCharType="separate"/>
      </w:r>
      <w:r>
        <w:rPr>
          <w:lang w:val="en-CA"/>
        </w:rPr>
        <w:t>Table 1</w:t>
        <w:noBreakHyphen/>
        <w:t>1.</w:t>
        <w:tab/>
        <w:t>Project Location Summary.</w:t>
        <w:tab/>
      </w:r>
      <w:hyperlink w:anchor="__RefHeading___Toc509915848">
        <w:r>
          <w:rPr>
            <w:rStyle w:val="IndexLink"/>
            <w:lang w:val="en-CA"/>
          </w:rPr>
          <w:t>1</w:t>
        </w:r>
      </w:hyperlink>
    </w:p>
    <w:p>
      <w:pPr>
        <w:pStyle w:val="TableofFigures"/>
        <w:tabs>
          <w:tab w:val="left" w:pos="1080" w:leader="none"/>
          <w:tab w:val="left" w:pos="1200" w:leader="none"/>
          <w:tab w:val="right" w:pos="8640" w:leader="dot"/>
        </w:tabs>
        <w:rPr>
          <w:lang w:val="en-CA"/>
        </w:rPr>
      </w:pPr>
      <w:r>
        <w:rPr>
          <w:lang w:val="en-CA"/>
        </w:rPr>
        <w:t>Table 1</w:t>
        <w:noBreakHyphen/>
        <w:t>2.</w:t>
        <w:tab/>
        <w:t>Compressor Units to be Abandoned In-place.</w:t>
        <w:tab/>
      </w:r>
      <w:hyperlink w:anchor="__RefHeading___Toc509915849">
        <w:r>
          <w:rPr>
            <w:rStyle w:val="IndexLink"/>
            <w:lang w:val="en-CA"/>
          </w:rPr>
          <w:t>4</w:t>
        </w:r>
      </w:hyperlink>
    </w:p>
    <w:p>
      <w:pPr>
        <w:pStyle w:val="TableofFigures"/>
        <w:tabs>
          <w:tab w:val="left" w:pos="1080" w:leader="none"/>
          <w:tab w:val="left" w:pos="1200" w:leader="none"/>
          <w:tab w:val="right" w:pos="8640" w:leader="dot"/>
        </w:tabs>
        <w:rPr>
          <w:lang w:val="en-CA"/>
        </w:rPr>
      </w:pPr>
      <w:r>
        <w:rPr>
          <w:lang w:val="en-CA"/>
        </w:rPr>
        <w:t>Table 1</w:t>
        <w:noBreakHyphen/>
        <w:t>3.</w:t>
        <w:tab/>
        <w:t>Station Easement Description.</w:t>
        <w:tab/>
      </w:r>
      <w:hyperlink w:anchor="__RefHeading___Toc509915850">
        <w:r>
          <w:rPr>
            <w:rStyle w:val="IndexLink"/>
            <w:lang w:val="en-CA"/>
          </w:rPr>
          <w:t>4</w:t>
        </w:r>
      </w:hyperlink>
    </w:p>
    <w:p>
      <w:pPr>
        <w:pStyle w:val="TableofFigures"/>
        <w:tabs>
          <w:tab w:val="left" w:pos="1080" w:leader="none"/>
          <w:tab w:val="left" w:pos="1200" w:leader="none"/>
          <w:tab w:val="right" w:pos="8640" w:leader="dot"/>
        </w:tabs>
        <w:rPr>
          <w:lang w:val="en-CA"/>
        </w:rPr>
      </w:pPr>
      <w:r>
        <w:rPr>
          <w:lang w:val="en-CA"/>
        </w:rPr>
        <w:t>Table 1</w:t>
        <w:noBreakHyphen/>
        <w:t>4.</w:t>
        <w:tab/>
        <w:t>Permits and Clearances Required for the Project.</w:t>
        <w:tab/>
      </w:r>
      <w:hyperlink w:anchor="__RefHeading___Toc509915851">
        <w:r>
          <w:rPr>
            <w:rStyle w:val="IndexLink"/>
            <w:lang w:val="en-CA"/>
          </w:rPr>
          <w:t>6</w:t>
        </w:r>
      </w:hyperlink>
    </w:p>
    <w:p>
      <w:pPr>
        <w:pStyle w:val="TableofFigures"/>
        <w:tabs>
          <w:tab w:val="left" w:pos="1080" w:leader="none"/>
          <w:tab w:val="left" w:pos="1200" w:leader="none"/>
          <w:tab w:val="right" w:pos="8640" w:leader="dot"/>
        </w:tabs>
        <w:rPr>
          <w:lang w:val="en-CA"/>
        </w:rPr>
      </w:pPr>
      <w:r>
        <w:rPr>
          <w:lang w:val="en-CA"/>
        </w:rPr>
        <w:t>Table 9</w:t>
        <w:noBreakHyphen/>
        <w:t>1.</w:t>
        <w:tab/>
        <w:t>Permitted “Potential to Emit”.</w:t>
        <w:tab/>
      </w:r>
      <w:hyperlink w:anchor="__RefHeading___Toc509915852">
        <w:r>
          <w:rPr>
            <w:rStyle w:val="IndexLink"/>
            <w:lang w:val="en-CA"/>
          </w:rPr>
          <w:t>10</w:t>
        </w:r>
      </w:hyperlink>
    </w:p>
    <w:p>
      <w:pPr>
        <w:pStyle w:val="TableofFigures"/>
        <w:tabs>
          <w:tab w:val="left" w:pos="1080" w:leader="none"/>
          <w:tab w:val="left" w:pos="1200" w:leader="none"/>
          <w:tab w:val="right" w:pos="8640" w:leader="dot"/>
        </w:tabs>
        <w:rPr>
          <w:lang w:val="en-CA"/>
        </w:rPr>
      </w:pPr>
      <w:r>
        <w:rPr>
          <w:lang w:val="en-CA"/>
        </w:rPr>
        <w:t>Table 9</w:t>
        <w:noBreakHyphen/>
        <w:t>2.</w:t>
        <w:tab/>
        <w:t>Projected Turbine Emissions.</w:t>
        <w:tab/>
      </w:r>
      <w:hyperlink w:anchor="__RefHeading___Toc509915853">
        <w:r>
          <w:rPr>
            <w:rStyle w:val="IndexLink"/>
            <w:lang w:val="en-CA"/>
          </w:rPr>
          <w:t>10</w:t>
        </w:r>
      </w:hyperlink>
    </w:p>
    <w:p>
      <w:pPr>
        <w:pStyle w:val="TableofFigures"/>
        <w:tabs>
          <w:tab w:val="left" w:pos="1080" w:leader="none"/>
          <w:tab w:val="left" w:pos="1200" w:leader="none"/>
          <w:tab w:val="right" w:pos="8640" w:leader="dot"/>
        </w:tabs>
        <w:rPr>
          <w:lang w:val="en-CA"/>
        </w:rPr>
      </w:pPr>
      <w:r>
        <w:rPr>
          <w:lang w:val="en-CA"/>
        </w:rPr>
        <w:t>Table 9</w:t>
        <w:noBreakHyphen/>
        <w:t>3.</w:t>
        <w:tab/>
        <w:t>Summary of Noise Quality Analysis.</w:t>
        <w:tab/>
      </w:r>
      <w:hyperlink w:anchor="__RefHeading___Toc509915854">
        <w:r>
          <w:rPr>
            <w:rStyle w:val="IndexLink"/>
            <w:lang w:val="en-CA"/>
          </w:rPr>
          <w:t>11</w:t>
        </w:r>
      </w:hyperlink>
      <w:r>
        <w:rPr>
          <w:rStyle w:val="IndexLink"/>
          <w:lang w:val="en-CA"/>
        </w:rPr>
        <w:fldChar w:fldCharType="end"/>
      </w:r>
    </w:p>
    <w:p>
      <w:pPr>
        <w:pStyle w:val="TableofFigures"/>
        <w:rPr>
          <w:lang w:val="en-CA"/>
        </w:rPr>
      </w:pPr>
      <w:r>
        <w:rPr>
          <w:lang w:val="en-CA"/>
        </w:rPr>
      </w:r>
    </w:p>
    <w:p>
      <w:pPr>
        <w:pStyle w:val="Title1"/>
        <w:rPr/>
      </w:pPr>
      <w:r>
        <w:rPr/>
      </w:r>
    </w:p>
    <w:p>
      <w:pPr>
        <w:pStyle w:val="Title1"/>
        <w:rPr/>
      </w:pPr>
      <w:r>
        <w:rPr/>
        <w:t>List of Figures</w:t>
      </w:r>
    </w:p>
    <w:p>
      <w:pPr>
        <w:pStyle w:val="BodyText1"/>
        <w:tabs>
          <w:tab w:val="clear" w:pos="720"/>
          <w:tab w:val="right" w:pos="8640" w:leader="dot"/>
        </w:tabs>
        <w:rPr/>
      </w:pPr>
      <w:r>
        <w:rPr/>
        <w:t>Figure 1</w:t>
        <w:tab/>
        <w:t>Location of Kingman Compressor Station (Station No. 1)</w:t>
      </w:r>
    </w:p>
    <w:p>
      <w:pPr>
        <w:pStyle w:val="BodyText1"/>
        <w:tabs>
          <w:tab w:val="clear" w:pos="720"/>
          <w:tab w:val="right" w:pos="8640" w:leader="dot"/>
        </w:tabs>
        <w:rPr/>
      </w:pPr>
      <w:r>
        <w:rPr/>
        <w:t>Figure 2</w:t>
        <w:tab/>
        <w:t>Location of Flagstaff Compressor Station (Station No. 2)</w:t>
      </w:r>
    </w:p>
    <w:p>
      <w:pPr>
        <w:pStyle w:val="BodyText1"/>
        <w:tabs>
          <w:tab w:val="clear" w:pos="720"/>
          <w:tab w:val="right" w:pos="8640" w:leader="dot"/>
        </w:tabs>
        <w:rPr/>
      </w:pPr>
      <w:r>
        <w:rPr/>
        <w:t>Figure 3</w:t>
        <w:tab/>
        <w:t>Location of Leupp Compressor Station (Station No. 3)</w:t>
      </w:r>
    </w:p>
    <w:p>
      <w:pPr>
        <w:pStyle w:val="BodyText1"/>
        <w:tabs>
          <w:tab w:val="clear" w:pos="720"/>
          <w:tab w:val="right" w:pos="8640" w:leader="dot"/>
        </w:tabs>
        <w:rPr/>
      </w:pPr>
      <w:r>
        <w:rPr/>
        <w:t>Figure 4</w:t>
        <w:tab/>
        <w:t>Location of Klagetoh Compressor Station (Station No. 4)</w:t>
      </w:r>
    </w:p>
    <w:p>
      <w:pPr>
        <w:pStyle w:val="Title1"/>
        <w:rPr/>
      </w:pPr>
      <w:r>
        <w:rPr/>
      </w:r>
    </w:p>
    <w:p>
      <w:pPr>
        <w:pStyle w:val="Title1"/>
        <w:rPr/>
      </w:pPr>
      <w:r>
        <w:rPr/>
        <w:t>List of Appendices</w:t>
      </w:r>
    </w:p>
    <w:p>
      <w:pPr>
        <w:pStyle w:val="BodyText1"/>
        <w:tabs>
          <w:tab w:val="clear" w:pos="720"/>
          <w:tab w:val="right" w:pos="8640" w:leader="dot"/>
        </w:tabs>
        <w:rPr/>
      </w:pPr>
      <w:r>
        <w:rPr/>
        <w:t>Appendix A</w:t>
        <w:tab/>
        <w:t>Compressor Station Plot Plans</w:t>
      </w:r>
    </w:p>
    <w:p>
      <w:pPr>
        <w:pStyle w:val="BodyText1"/>
        <w:tabs>
          <w:tab w:val="clear" w:pos="720"/>
          <w:tab w:val="right" w:pos="8640" w:leader="dot"/>
        </w:tabs>
        <w:rPr/>
      </w:pPr>
      <w:r>
        <w:rPr/>
        <w:t>Appendix B</w:t>
        <w:tab/>
        <w:t>Agency Correspondence</w:t>
      </w:r>
    </w:p>
    <w:p>
      <w:pPr>
        <w:pStyle w:val="BodyText1"/>
        <w:tabs>
          <w:tab w:val="clear" w:pos="720"/>
          <w:tab w:val="right" w:pos="8640" w:leader="dot"/>
        </w:tabs>
        <w:rPr/>
      </w:pPr>
      <w:r>
        <w:rPr/>
        <w:t>Appendix C</w:t>
        <w:tab/>
        <w:t>Project Upland Erosion Control, Revegetation and Maintenance Plan</w:t>
      </w:r>
    </w:p>
    <w:p>
      <w:pPr>
        <w:pStyle w:val="BodyText1"/>
        <w:tabs>
          <w:tab w:val="clear" w:pos="720"/>
          <w:tab w:val="right" w:pos="8640" w:leader="dot"/>
        </w:tabs>
        <w:rPr/>
      </w:pPr>
      <w:r>
        <w:rPr/>
        <w:t>Appendix D</w:t>
        <w:tab/>
        <w:t>Project Spill Prevention Containment and Countermeasure Plan</w:t>
      </w:r>
    </w:p>
    <w:p>
      <w:pPr>
        <w:pStyle w:val="BodyText1"/>
        <w:tabs>
          <w:tab w:val="clear" w:pos="720"/>
          <w:tab w:val="right" w:pos="8640" w:leader="dot"/>
        </w:tabs>
        <w:rPr/>
      </w:pPr>
      <w:r>
        <w:rPr/>
        <w:t>Appendix E</w:t>
        <w:tab/>
        <w:t>Air Permit Documents</w:t>
      </w:r>
    </w:p>
    <w:p>
      <w:pPr>
        <w:pStyle w:val="BodyText1"/>
        <w:tabs>
          <w:tab w:val="clear" w:pos="720"/>
          <w:tab w:val="right" w:pos="8640" w:leader="dot"/>
        </w:tabs>
        <w:rPr/>
      </w:pPr>
      <w:r>
        <w:rPr/>
        <w:t>Appendix F</w:t>
        <w:tab/>
        <w:t>Noise Analysis Reports</w:t>
      </w:r>
    </w:p>
    <w:p>
      <w:pPr>
        <w:pStyle w:val="BodyText1"/>
        <w:tabs>
          <w:tab w:val="clear" w:pos="720"/>
          <w:tab w:val="right" w:pos="8640" w:leader="dot"/>
        </w:tabs>
        <w:rPr/>
      </w:pPr>
      <w:r>
        <w:rPr/>
        <w:t>Appendix G</w:t>
        <w:tab/>
        <w:t>Project Gantt Chart</w:t>
      </w:r>
    </w:p>
    <w:p>
      <w:pPr>
        <w:sectPr>
          <w:headerReference w:type="default" r:id="rId2"/>
          <w:footerReference w:type="default" r:id="rId3"/>
          <w:type w:val="nextPage"/>
          <w:pgSz w:w="12240" w:h="15840"/>
          <w:pgMar w:left="2160" w:right="1440" w:gutter="0" w:header="720" w:top="1440" w:footer="864" w:bottom="1440"/>
          <w:pgNumType w:start="1" w:fmt="lowerRoman"/>
          <w:formProt w:val="false"/>
          <w:textDirection w:val="lrTb"/>
          <w:docGrid w:type="default" w:linePitch="360" w:charSpace="0"/>
        </w:sectPr>
        <w:pStyle w:val="BodyText1"/>
        <w:rPr/>
      </w:pPr>
      <w:r>
        <w:rPr/>
      </w:r>
    </w:p>
    <w:p>
      <w:pPr>
        <w:pStyle w:val="Heading1"/>
        <w:ind w:hanging="0" w:start="0"/>
        <w:rPr/>
      </w:pPr>
      <w:bookmarkStart w:id="0" w:name="__RefHeading___Toc509915811"/>
      <w:bookmarkEnd w:id="0"/>
      <w:r>
        <w:rPr/>
        <w:t>Project Description</w:t>
      </w:r>
    </w:p>
    <w:p>
      <w:pPr>
        <w:pStyle w:val="Heading2"/>
        <w:ind w:hanging="0" w:start="0"/>
        <w:rPr/>
      </w:pPr>
      <w:bookmarkStart w:id="1" w:name="__RefHeading___Toc509915812"/>
      <w:bookmarkEnd w:id="1"/>
      <w:r>
        <w:rPr/>
        <w:t>Proposed Facilities</w:t>
      </w:r>
    </w:p>
    <w:p>
      <w:pPr>
        <w:pStyle w:val="BodyText1"/>
        <w:rPr/>
      </w:pPr>
      <w:r>
        <w:rPr/>
        <w:t>Transwestern Pipeline Company (Transwestern) is proposing to install a new gas turbine driven compressor unit at each of its existing mainline compressor stations in Arizona.  The new units will replace existing engines and compressors at each station.  The existing compressor units will be abandoned in-place.</w:t>
      </w:r>
    </w:p>
    <w:p>
      <w:pPr>
        <w:pStyle w:val="Heading3"/>
        <w:ind w:hanging="0" w:start="0"/>
        <w:rPr/>
      </w:pPr>
      <w:bookmarkStart w:id="2" w:name="__RefHeading___Toc509915813"/>
      <w:bookmarkEnd w:id="2"/>
      <w:r>
        <w:rPr/>
        <w:t>Location of Facilities</w:t>
      </w:r>
    </w:p>
    <w:p>
      <w:pPr>
        <w:pStyle w:val="BodyText1"/>
        <w:rPr/>
      </w:pPr>
      <w:r>
        <w:rPr/>
        <w:t xml:space="preserve">Location information for each compressor station is summarized in </w:t>
      </w:r>
      <w:r>
        <w:rPr>
          <w:b/>
        </w:rPr>
        <w:t>Table 1-1</w:t>
      </w:r>
      <w:r>
        <w:rPr/>
        <w:t xml:space="preserve">.  In addition, </w:t>
      </w:r>
      <w:r>
        <w:rPr>
          <w:b/>
        </w:rPr>
        <w:t xml:space="preserve">Figures 1 </w:t>
      </w:r>
      <w:r>
        <w:rPr/>
        <w:t xml:space="preserve">through </w:t>
      </w:r>
      <w:r>
        <w:rPr>
          <w:b/>
        </w:rPr>
        <w:t>4</w:t>
      </w:r>
      <w:r>
        <w:rPr/>
        <w:t xml:space="preserve"> show the location of each station on portions of U.S. Geological Survey (USGS) 7.5-minute topographic maps.</w:t>
      </w:r>
    </w:p>
    <w:p>
      <w:pPr>
        <w:pStyle w:val="Caption"/>
        <w:jc w:val="center"/>
        <w:rPr/>
      </w:pPr>
      <w:bookmarkStart w:id="3" w:name="__RefHeading___Toc509915848"/>
      <w:bookmarkEnd w:id="3"/>
      <w:r>
        <w:rPr/>
        <w:t xml:space="preserve">Table </w:t>
      </w:r>
      <w:r>
        <w:fldChar w:fldCharType="begin"/>
      </w:r>
      <w:r>
        <w:rPr>
          <w:lang w:val="en-CA"/>
        </w:rPr>
        <w:instrText xml:space="preserve"> STYLEREF 1 \s </w:instrText>
      </w:r>
      <w:r>
        <w:rPr>
          <w:lang w:val="en-CA"/>
        </w:rPr>
      </w:r>
      <w:r>
        <w:rPr>
          <w:lang w:val="en-CA"/>
        </w:rPr>
        <w:fldChar w:fldCharType="separate"/>
      </w:r>
      <w:r>
        <w:rPr>
          <w:lang w:val="en-CA"/>
        </w:rPr>
        <w:t>1</w:t>
      </w:r>
      <w:r>
        <w:rPr>
          <w:lang w:val="en-CA"/>
        </w:rPr>
      </w:r>
      <w:r>
        <w:rPr>
          <w:lang w:val="en-CA"/>
        </w:rPr>
        <w:fldChar w:fldCharType="end"/>
      </w:r>
      <w:r>
        <w:rPr/>
        <w:noBreakHyphen/>
      </w:r>
      <w:r>
        <w:rPr/>
        <w:fldChar w:fldCharType="begin"/>
      </w:r>
      <w:r>
        <w:rPr/>
        <w:instrText xml:space="preserve"> SEQ Table \* ARABIC </w:instrText>
      </w:r>
      <w:r>
        <w:rPr/>
        <w:fldChar w:fldCharType="separate"/>
      </w:r>
      <w:r>
        <w:rPr/>
        <w:t>1</w:t>
      </w:r>
      <w:r>
        <w:rPr/>
        <w:fldChar w:fldCharType="end"/>
      </w:r>
      <w:r>
        <w:rPr/>
        <w:t>.</w:t>
        <w:tab/>
        <w:t>Project Location Summary.</w:t>
      </w:r>
    </w:p>
    <w:tbl>
      <w:tblPr>
        <w:tblW w:w="8748" w:type="dxa"/>
        <w:jc w:val="start"/>
        <w:tblInd w:w="108" w:type="dxa"/>
        <w:tblLayout w:type="fixed"/>
        <w:tblCellMar>
          <w:top w:w="0" w:type="dxa"/>
          <w:start w:w="108" w:type="dxa"/>
          <w:bottom w:w="0" w:type="dxa"/>
          <w:end w:w="108" w:type="dxa"/>
        </w:tblCellMar>
      </w:tblPr>
      <w:tblGrid>
        <w:gridCol w:w="1297"/>
        <w:gridCol w:w="1268"/>
        <w:gridCol w:w="4083"/>
        <w:gridCol w:w="2100"/>
      </w:tblGrid>
      <w:tr>
        <w:trPr/>
        <w:tc>
          <w:tcPr>
            <w:tcW w:w="1297" w:type="dxa"/>
            <w:tcBorders>
              <w:top w:val="single" w:sz="6" w:space="0" w:color="000000"/>
              <w:start w:val="single" w:sz="6" w:space="0" w:color="000000"/>
              <w:bottom w:val="double" w:sz="4" w:space="0" w:color="000000"/>
              <w:end w:val="single" w:sz="6" w:space="0" w:color="000000"/>
            </w:tcBorders>
          </w:tcPr>
          <w:p>
            <w:pPr>
              <w:pStyle w:val="BodyText1"/>
              <w:spacing w:before="60" w:after="60"/>
              <w:jc w:val="center"/>
              <w:rPr>
                <w:b/>
                <w:sz w:val="20"/>
              </w:rPr>
            </w:pPr>
            <w:r>
              <w:rPr>
                <w:b/>
                <w:sz w:val="20"/>
              </w:rPr>
              <w:t>Station</w:t>
            </w:r>
          </w:p>
        </w:tc>
        <w:tc>
          <w:tcPr>
            <w:tcW w:w="1268" w:type="dxa"/>
            <w:tcBorders>
              <w:top w:val="single" w:sz="6" w:space="0" w:color="000000"/>
              <w:start w:val="single" w:sz="6" w:space="0" w:color="000000"/>
              <w:bottom w:val="double" w:sz="4" w:space="0" w:color="000000"/>
              <w:end w:val="single" w:sz="6" w:space="0" w:color="000000"/>
            </w:tcBorders>
          </w:tcPr>
          <w:p>
            <w:pPr>
              <w:pStyle w:val="BodyText1"/>
              <w:spacing w:before="60" w:after="60"/>
              <w:rPr>
                <w:b/>
                <w:sz w:val="20"/>
              </w:rPr>
            </w:pPr>
            <w:r>
              <w:rPr>
                <w:b/>
                <w:sz w:val="20"/>
              </w:rPr>
              <w:t>County</w:t>
            </w:r>
          </w:p>
        </w:tc>
        <w:tc>
          <w:tcPr>
            <w:tcW w:w="4083" w:type="dxa"/>
            <w:tcBorders>
              <w:top w:val="single" w:sz="6" w:space="0" w:color="000000"/>
              <w:start w:val="single" w:sz="6" w:space="0" w:color="000000"/>
              <w:bottom w:val="double" w:sz="4" w:space="0" w:color="000000"/>
              <w:end w:val="single" w:sz="6" w:space="0" w:color="000000"/>
            </w:tcBorders>
          </w:tcPr>
          <w:p>
            <w:pPr>
              <w:pStyle w:val="BodyText1"/>
              <w:spacing w:before="60" w:after="60"/>
              <w:rPr>
                <w:b/>
                <w:sz w:val="20"/>
              </w:rPr>
            </w:pPr>
            <w:r>
              <w:rPr>
                <w:b/>
                <w:sz w:val="20"/>
              </w:rPr>
              <w:t>Legal Description</w:t>
            </w:r>
          </w:p>
        </w:tc>
        <w:tc>
          <w:tcPr>
            <w:tcW w:w="2100" w:type="dxa"/>
            <w:tcBorders>
              <w:top w:val="single" w:sz="6" w:space="0" w:color="000000"/>
              <w:start w:val="single" w:sz="6" w:space="0" w:color="000000"/>
              <w:bottom w:val="double" w:sz="4" w:space="0" w:color="000000"/>
              <w:end w:val="single" w:sz="6" w:space="0" w:color="000000"/>
            </w:tcBorders>
          </w:tcPr>
          <w:p>
            <w:pPr>
              <w:pStyle w:val="BodyText1"/>
              <w:spacing w:before="60" w:after="60"/>
              <w:rPr>
                <w:b/>
                <w:sz w:val="20"/>
              </w:rPr>
            </w:pPr>
            <w:r>
              <w:rPr>
                <w:b/>
                <w:sz w:val="20"/>
              </w:rPr>
              <w:t>USGS Quad</w:t>
            </w:r>
          </w:p>
        </w:tc>
      </w:tr>
      <w:tr>
        <w:trPr/>
        <w:tc>
          <w:tcPr>
            <w:tcW w:w="1297" w:type="dxa"/>
            <w:tcBorders>
              <w:start w:val="single" w:sz="6" w:space="0" w:color="000000"/>
              <w:bottom w:val="single" w:sz="6" w:space="0" w:color="000000"/>
              <w:end w:val="single" w:sz="6" w:space="0" w:color="000000"/>
            </w:tcBorders>
          </w:tcPr>
          <w:p>
            <w:pPr>
              <w:pStyle w:val="BodyText1"/>
              <w:spacing w:before="60" w:after="60"/>
              <w:jc w:val="center"/>
              <w:rPr>
                <w:sz w:val="20"/>
              </w:rPr>
            </w:pPr>
            <w:r>
              <w:rPr>
                <w:sz w:val="20"/>
              </w:rPr>
              <w:t>Kingman</w:t>
              <w:br/>
              <w:t>Station 1</w:t>
            </w:r>
          </w:p>
        </w:tc>
        <w:tc>
          <w:tcPr>
            <w:tcW w:w="1268" w:type="dxa"/>
            <w:tcBorders>
              <w:start w:val="single" w:sz="6" w:space="0" w:color="000000"/>
              <w:bottom w:val="single" w:sz="6" w:space="0" w:color="000000"/>
              <w:end w:val="single" w:sz="6" w:space="0" w:color="000000"/>
            </w:tcBorders>
          </w:tcPr>
          <w:p>
            <w:pPr>
              <w:pStyle w:val="BodyText1"/>
              <w:spacing w:before="60" w:after="60"/>
              <w:rPr>
                <w:sz w:val="20"/>
              </w:rPr>
            </w:pPr>
            <w:r>
              <w:rPr>
                <w:sz w:val="20"/>
              </w:rPr>
              <w:t>Mohave</w:t>
            </w:r>
          </w:p>
        </w:tc>
        <w:tc>
          <w:tcPr>
            <w:tcW w:w="4083" w:type="dxa"/>
            <w:tcBorders>
              <w:start w:val="single" w:sz="6" w:space="0" w:color="000000"/>
              <w:bottom w:val="single" w:sz="6" w:space="0" w:color="000000"/>
              <w:end w:val="single" w:sz="6" w:space="0" w:color="000000"/>
            </w:tcBorders>
          </w:tcPr>
          <w:p>
            <w:pPr>
              <w:pStyle w:val="BodyText1"/>
              <w:spacing w:before="60" w:after="60"/>
              <w:jc w:val="start"/>
              <w:rPr>
                <w:sz w:val="20"/>
              </w:rPr>
            </w:pPr>
            <w:r>
              <w:rPr>
                <w:sz w:val="20"/>
              </w:rPr>
              <w:t>NW ¼, S20 &amp; SW ¼, S17, T21N, R10W</w:t>
            </w:r>
          </w:p>
        </w:tc>
        <w:tc>
          <w:tcPr>
            <w:tcW w:w="2100" w:type="dxa"/>
            <w:tcBorders>
              <w:start w:val="single" w:sz="6" w:space="0" w:color="000000"/>
              <w:bottom w:val="single" w:sz="6" w:space="0" w:color="000000"/>
              <w:end w:val="single" w:sz="6" w:space="0" w:color="000000"/>
            </w:tcBorders>
          </w:tcPr>
          <w:p>
            <w:pPr>
              <w:pStyle w:val="BodyText1"/>
              <w:spacing w:before="60" w:after="60"/>
              <w:rPr>
                <w:sz w:val="20"/>
              </w:rPr>
            </w:pPr>
            <w:r>
              <w:rPr>
                <w:sz w:val="20"/>
              </w:rPr>
              <w:t>Fort Rock Ranch</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Flagstaff</w:t>
              <w:br/>
              <w:t>Station 2</w:t>
            </w:r>
          </w:p>
        </w:tc>
        <w:tc>
          <w:tcPr>
            <w:tcW w:w="1268"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Coconino</w:t>
            </w:r>
          </w:p>
        </w:tc>
        <w:tc>
          <w:tcPr>
            <w:tcW w:w="4083"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 xml:space="preserve">SE ¼, S16, T22N, R5E </w:t>
            </w:r>
          </w:p>
        </w:tc>
        <w:tc>
          <w:tcPr>
            <w:tcW w:w="2100"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Wing Mountain</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Leupp</w:t>
              <w:br/>
              <w:t>Station 3</w:t>
            </w:r>
          </w:p>
        </w:tc>
        <w:tc>
          <w:tcPr>
            <w:tcW w:w="1268"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Coconino</w:t>
            </w:r>
          </w:p>
        </w:tc>
        <w:tc>
          <w:tcPr>
            <w:tcW w:w="4083" w:type="dxa"/>
            <w:tcBorders>
              <w:top w:val="single" w:sz="6" w:space="0" w:color="000000"/>
              <w:start w:val="single" w:sz="6" w:space="0" w:color="000000"/>
              <w:bottom w:val="single" w:sz="6" w:space="0" w:color="000000"/>
              <w:end w:val="single" w:sz="6" w:space="0" w:color="000000"/>
            </w:tcBorders>
          </w:tcPr>
          <w:p>
            <w:pPr>
              <w:pStyle w:val="BodyText1"/>
              <w:spacing w:before="60" w:after="60"/>
              <w:rPr/>
            </w:pPr>
            <w:r>
              <w:rPr>
                <w:lang w:eastAsia="en-US"/>
              </w:rPr>
              <w:t xml:space="preserve">SW ¼ S15, </w:t>
            </w:r>
            <w:r>
              <w:rPr>
                <w:sz w:val="20"/>
              </w:rPr>
              <w:t>T22N, R14E</w:t>
            </w:r>
          </w:p>
        </w:tc>
        <w:tc>
          <w:tcPr>
            <w:tcW w:w="2100"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East of Old Luepp</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Klagetoh</w:t>
              <w:br/>
              <w:t>Station 4</w:t>
            </w:r>
          </w:p>
        </w:tc>
        <w:tc>
          <w:tcPr>
            <w:tcW w:w="1268"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Apache</w:t>
            </w:r>
          </w:p>
        </w:tc>
        <w:tc>
          <w:tcPr>
            <w:tcW w:w="4083"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SW ¼, S18, T25N, R28E</w:t>
            </w:r>
          </w:p>
        </w:tc>
        <w:tc>
          <w:tcPr>
            <w:tcW w:w="2100"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Tudecoz Spring</w:t>
            </w:r>
          </w:p>
        </w:tc>
      </w:tr>
    </w:tbl>
    <w:p>
      <w:pPr>
        <w:pStyle w:val="BodyText1"/>
        <w:rPr/>
      </w:pPr>
      <w:r>
        <w:rPr/>
      </w:r>
    </w:p>
    <w:p>
      <w:pPr>
        <w:pStyle w:val="Heading3"/>
        <w:ind w:hanging="0" w:start="0"/>
        <w:rPr/>
      </w:pPr>
      <w:bookmarkStart w:id="4" w:name="__RefHeading___Toc509915814"/>
      <w:bookmarkEnd w:id="4"/>
      <w:r>
        <w:rPr/>
        <w:t>Detailed Project Activities</w:t>
      </w:r>
    </w:p>
    <w:p>
      <w:pPr>
        <w:pStyle w:val="BodyText1"/>
        <w:rPr/>
      </w:pPr>
      <w:r>
        <w:rPr/>
        <w:t xml:space="preserve">Transwestern is proposing to install one nominally rated ISO 41,500 horsepower (hp) General Electric PGT 25+ turbine/compressor unit at each of its four mainline stations in Arizona.  The installation will include the turbine driven centrifugal compressor, automated unit valves, station piping and a compressor building. Plot plans showing the new compressor station lay out have been included in </w:t>
      </w:r>
      <w:r>
        <w:rPr>
          <w:b/>
        </w:rPr>
        <w:t>Appendix A</w:t>
      </w:r>
      <w:r>
        <w:rPr/>
        <w:t>.</w:t>
      </w:r>
    </w:p>
    <w:p>
      <w:pPr>
        <w:pStyle w:val="BodyText1"/>
        <w:rPr/>
      </w:pPr>
      <w:r>
        <w:rPr/>
        <w:t>Additional equipment to be installed includes station and unit control systems, backup power generator and associated control system, lube oil cooler, gas cooler with electric driven fans, new scrubbers and associated piping, and valves for tie-ins into the existing station yard piping.  Existing fuel, water, oil, air and electrical sub-systems will be modified for the new unit installation.</w:t>
      </w:r>
    </w:p>
    <w:p>
      <w:pPr>
        <w:pStyle w:val="BodyText1"/>
        <w:rPr/>
      </w:pPr>
      <w:r>
        <w:rPr/>
        <w:t xml:space="preserve">To ensure a smooth transition to the new compressor units, the existing units at each station will remain operational for approximately six months.  Should the new units experience operational problems, the existing units will be utilized.  After this transition period, the old units will be permanently taken out of service and abandoned in-place.  </w:t>
      </w:r>
      <w:r>
        <w:rPr>
          <w:b/>
        </w:rPr>
        <w:t>Table 1-2</w:t>
      </w:r>
      <w:r>
        <w:rPr/>
        <w:t xml:space="preserve"> lists the units to be abandoned in-place at each station.</w:t>
      </w:r>
      <w:r>
        <w:br w:type="page"/>
      </w:r>
    </w:p>
    <w:p>
      <w:pPr>
        <w:pStyle w:val="BodyText1"/>
        <w:rPr/>
      </w:pPr>
      <w:r>
        <w:rPr/>
      </w:r>
    </w:p>
    <w:p>
      <w:pPr>
        <w:pStyle w:val="BodyText1"/>
        <w:spacing w:before="0" w:after="0"/>
        <w:rPr>
          <w:lang w:val="en-CA"/>
        </w:rPr>
      </w:pPr>
      <w:r>
        <w:rPr>
          <w:lang w:val="en-CA"/>
        </w:rPr>
        <mc:AlternateContent>
          <mc:Choice Requires="wpg">
            <w:drawing>
              <wp:anchor behindDoc="0" distT="0" distB="0" distL="114935" distR="114935" simplePos="0" locked="0" layoutInCell="1" allowOverlap="1" relativeHeight="18">
                <wp:simplePos x="0" y="0"/>
                <wp:positionH relativeFrom="column">
                  <wp:posOffset>457200</wp:posOffset>
                </wp:positionH>
                <wp:positionV relativeFrom="paragraph">
                  <wp:posOffset>3810</wp:posOffset>
                </wp:positionV>
                <wp:extent cx="4800600" cy="3858895"/>
                <wp:effectExtent l="12700" t="12700" r="12700" b="0"/>
                <wp:wrapNone/>
                <wp:docPr id="2" name=""/>
                <a:graphic xmlns:a="http://schemas.openxmlformats.org/drawingml/2006/main">
                  <a:graphicData uri="http://schemas.microsoft.com/office/word/2010/wordprocessingGroup">
                    <wpg:wgp>
                      <wpg:cNvGrpSpPr/>
                      <wpg:grpSpPr>
                        <a:xfrm>
                          <a:off x="0" y="0"/>
                          <a:ext cx="4800600" cy="3858840"/>
                          <a:chOff x="0" y="0"/>
                          <a:chExt cx="4800600" cy="3858840"/>
                        </a:xfrm>
                      </wpg:grpSpPr>
                      <wps:wsp>
                        <wps:cNvSpPr txBox="1"/>
                        <wps:spPr>
                          <a:xfrm>
                            <a:off x="457200" y="3584520"/>
                            <a:ext cx="4023360" cy="274320"/>
                          </a:xfrm>
                          <a:prstGeom prst="rect">
                            <a:avLst/>
                          </a:prstGeom>
                          <a:noFill/>
                          <a:ln w="0">
                            <a:noFill/>
                          </a:ln>
                        </wps:spPr>
                        <wps:txbx>
                          <w:txbxContent>
                            <w:p>
                              <w:pPr>
                                <w:overflowPunct w:val="false"/>
                                <w:bidi w:val="0"/>
                                <w:ind w:start="720" w:end="0" w:hanging="720"/>
                                <w:rPr/>
                              </w:pPr>
                              <w:r>
                                <w:rPr>
                                  <w:kern w:val="2"/>
                                  <w:sz w:val="20"/>
                                  <w:szCs w:val="20"/>
                                  <w:rFonts w:ascii="Arial" w:hAnsi="Arial" w:eastAsia="Times New Roman" w:cs="Arial"/>
                                  <w:color w:val="auto"/>
                                  <w:lang w:val="en-US"/>
                                </w:rPr>
                                <w:t>Figure 1. Location of Kingman Compressor Station (Station No. 1)</w:t>
                              </w:r>
                            </w:p>
                          </w:txbxContent>
                        </wps:txbx>
                        <wps:bodyPr wrap="square" anchor="t">
                          <a:noAutofit/>
                        </wps:bodyPr>
                      </wps:wsp>
                      <pic:pic xmlns:pic="http://schemas.openxmlformats.org/drawingml/2006/picture">
                        <pic:nvPicPr>
                          <pic:cNvPr id="3" name="" descr=""/>
                          <pic:cNvPicPr/>
                        </pic:nvPicPr>
                        <pic:blipFill>
                          <a:blip r:embed="rId4"/>
                          <a:stretch/>
                        </pic:blipFill>
                        <pic:spPr>
                          <a:xfrm>
                            <a:off x="0" y="0"/>
                            <a:ext cx="4800600" cy="3599640"/>
                          </a:xfrm>
                          <a:prstGeom prst="rect">
                            <a:avLst/>
                          </a:prstGeom>
                          <a:noFill/>
                          <a:ln w="12600">
                            <a:solidFill>
                              <a:srgbClr val="000000"/>
                            </a:solidFill>
                            <a:miter/>
                          </a:ln>
                        </pic:spPr>
                      </pic:pic>
                      <wps:wsp>
                        <wps:cNvPr id="4" name=""/>
                        <wps:cNvSpPr/>
                        <wps:spPr>
                          <a:xfrm>
                            <a:off x="3420000" y="799560"/>
                            <a:ext cx="548640" cy="594360"/>
                          </a:xfrm>
                          <a:prstGeom prst="rect">
                            <a:avLst/>
                          </a:prstGeom>
                          <a:noFill/>
                          <a:ln w="9360">
                            <a:solidFill>
                              <a:srgbClr val="000000"/>
                            </a:solidFill>
                            <a:miter/>
                          </a:ln>
                        </wps:spPr>
                        <wps:style>
                          <a:lnRef idx="0"/>
                          <a:fillRef idx="0"/>
                          <a:effectRef idx="0"/>
                          <a:fontRef idx="minor"/>
                        </wps:style>
                        <wps:bodyPr/>
                      </wps:wsp>
                      <wps:wsp>
                        <wps:cNvPr id="5" name=""/>
                        <wps:cNvSpPr/>
                        <wps:spPr>
                          <a:xfrm>
                            <a:off x="1828800" y="658440"/>
                            <a:ext cx="1052280" cy="254160"/>
                          </a:xfrm>
                          <a:custGeom>
                            <a:avLst/>
                            <a:gdLst/>
                            <a:ahLst/>
                            <a:rect l="0" t="0" r="r" b="b"/>
                            <a:pathLst/>
                          </a:custGeom>
                          <a:noFill/>
                          <a:ln w="9360">
                            <a:solidFill>
                              <a:srgbClr val="000000"/>
                            </a:solidFill>
                            <a:miter/>
                            <a:headEnd len="med" type="stealth" w="med"/>
                          </a:ln>
                        </wps:spPr>
                        <wps:style>
                          <a:lnRef idx="0"/>
                          <a:fillRef idx="0"/>
                          <a:effectRef idx="0"/>
                          <a:fontRef idx="minor"/>
                        </wps:style>
                        <wps:txbx>
                          <w:txbxContent>
                            <w:p>
                              <w:pPr>
                                <w:overflowPunct w:val="false"/>
                                <w:bidi w:val="0"/>
                                <w:jc w:val="end"/>
                                <w:rPr/>
                              </w:pPr>
                              <w:r>
                                <w:rPr>
                                  <w:kern w:val="2"/>
                                  <w:sz w:val="20"/>
                                  <w:b/>
                                  <w:szCs w:val="20"/>
                                  <w:rFonts w:ascii="Arial" w:hAnsi="Arial" w:eastAsia="Times New Roman" w:cs="Arial"/>
                                  <w:color w:val="auto"/>
                                  <w:lang w:val="en-US"/>
                                </w:rPr>
                                <w:t>Station No. 1</w:t>
                              </w:r>
                            </w:p>
                          </w:txbxContent>
                        </wps:txbx>
                        <wps:bodyPr rIns="0" anchor="t">
                          <a:noAutofit/>
                        </wps:bodyPr>
                      </wps:wsp>
                    </wpg:wgp>
                  </a:graphicData>
                </a:graphic>
              </wp:anchor>
            </w:drawing>
          </mc:Choice>
          <mc:Fallback>
            <w:pict>
              <v:group id="shape_0" style="position:absolute;margin-left:36pt;margin-top:0.3pt;width:378pt;height:303.85pt" coordorigin="720,6" coordsize="7560,6077">
                <v:shapetype id="_x0000_t202" coordsize="21600,21600" o:spt="202" path="m,l,21600l21600,21600l21600,xe">
                  <v:stroke joinstyle="miter"/>
                  <v:path gradientshapeok="t" o:connecttype="rect"/>
                </v:shapetype>
                <v:shape id="shape_0" stroked="f" o:allowincell="f" style="position:absolute;left:1440;top:5651;width:6335;height:431;mso-wrap-style:square;v-text-anchor:top" type="_x0000_t202">
                  <v:textbox>
                    <w:txbxContent>
                      <w:p>
                        <w:pPr>
                          <w:overflowPunct w:val="false"/>
                          <w:bidi w:val="0"/>
                          <w:ind w:start="720" w:end="0" w:hanging="720"/>
                          <w:rPr/>
                        </w:pPr>
                        <w:r>
                          <w:rPr>
                            <w:kern w:val="2"/>
                            <w:sz w:val="20"/>
                            <w:szCs w:val="20"/>
                            <w:rFonts w:ascii="Arial" w:hAnsi="Arial" w:eastAsia="Times New Roman" w:cs="Arial"/>
                            <w:color w:val="auto"/>
                            <w:lang w:val="en-US"/>
                          </w:rPr>
                          <w:t>Figure 1. Location of Kingman Compressor Station (Station No. 1)</w:t>
                        </w:r>
                      </w:p>
                    </w:txbxContent>
                  </v:textbox>
                  <v:fill o:detectmouseclick="t" on="false"/>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t" o:allowincell="f" style="position:absolute;left:720;top:6;width:7559;height:5668;mso-wrap-style:none;v-text-anchor:middle" type="_x0000_t75">
                  <v:imagedata r:id="rId5" o:detectmouseclick="t"/>
                  <v:stroke color="black" weight="12600" joinstyle="miter" endcap="flat"/>
                  <w10:wrap type="none"/>
                </v:shape>
                <v:rect id="shape_0" stroked="t" o:allowincell="f" style="position:absolute;left:6106;top:1265;width:863;height:935;mso-wrap-style:none;v-text-anchor:middle">
                  <v:fill o:detectmouseclick="t" on="false"/>
                  <v:stroke color="black" weight="9360" joinstyle="miter" endcap="flat"/>
                  <w10:wrap type="none"/>
                </v:rect>
                <v:shapetype id="_x0000_t42" coordsize="21600,21600" o:spt="42" adj="-10080,24300,-3600,4050,-1800,4050" path="m,l21600,l21600,21600l,21600xnsem@1@0l@3@2l@5@4nfe">
                  <v:stroke joinstyle="miter"/>
                  <v:formulas>
                    <v:f eqn="val #5"/>
                    <v:f eqn="val #4"/>
                    <v:f eqn="val #3"/>
                    <v:f eqn="val #2"/>
                    <v:f eqn="val #1"/>
                    <v:f eqn="val #0"/>
                  </v:formulas>
                  <v:path gradientshapeok="t" o:connecttype="rect" textboxrect="0,0,21600,21600"/>
                  <v:handles>
                    <v:h position="@1,@0"/>
                    <v:h position="@3,@2"/>
                    <v:h position="@5,@4"/>
                  </v:handles>
                </v:shapetype>
                <v:shape id="shape_0" stroked="t" o:allowincell="f" style="position:absolute;left:3600;top:1043;width:1656;height:399;mso-wrap-style:square;v-text-anchor:top" type="_x0000_t42">
                  <v:textbox>
                    <w:txbxContent>
                      <w:p>
                        <w:pPr>
                          <w:overflowPunct w:val="false"/>
                          <w:bidi w:val="0"/>
                          <w:jc w:val="end"/>
                          <w:rPr/>
                        </w:pPr>
                        <w:r>
                          <w:rPr>
                            <w:kern w:val="2"/>
                            <w:sz w:val="20"/>
                            <w:b/>
                            <w:szCs w:val="20"/>
                            <w:rFonts w:ascii="Arial" w:hAnsi="Arial" w:eastAsia="Times New Roman" w:cs="Arial"/>
                            <w:color w:val="auto"/>
                            <w:lang w:val="en-US"/>
                          </w:rPr>
                          <w:t>Station No. 1</w:t>
                        </w:r>
                      </w:p>
                    </w:txbxContent>
                  </v:textbox>
                  <v:fill o:detectmouseclick="t" on="false"/>
                  <v:stroke color="black" weight="9360" startarrow="classic" startarrowwidth="medium" startarrowlength="medium" joinstyle="miter" endcap="flat"/>
                  <w10:wrap type="none"/>
                </v:shape>
              </v:group>
            </w:pict>
          </mc:Fallback>
        </mc:AlternateContent>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Caption"/>
        <w:rPr/>
      </w:pPr>
      <w:r>
        <w:rPr/>
      </w:r>
    </w:p>
    <w:p>
      <w:pPr>
        <w:pStyle w:val="BodyText1"/>
        <w:spacing w:before="0" w:after="0"/>
        <w:rPr/>
      </w:pPr>
      <w:r>
        <w:rPr/>
      </w:r>
    </w:p>
    <w:p>
      <w:pPr>
        <w:pStyle w:val="BodyText1"/>
        <w:spacing w:before="0" w:after="0"/>
        <w:rPr/>
      </w:pPr>
      <w:r>
        <w:rPr/>
      </w:r>
    </w:p>
    <w:p>
      <w:pPr>
        <w:pStyle w:val="BodyText1"/>
        <w:spacing w:before="0" w:after="0"/>
        <w:rPr>
          <w:lang w:val="en-CA"/>
        </w:rPr>
      </w:pPr>
      <w:r>
        <w:rPr>
          <w:lang w:val="en-CA"/>
        </w:rPr>
        <mc:AlternateContent>
          <mc:Choice Requires="wpg">
            <w:drawing>
              <wp:anchor behindDoc="0" distT="0" distB="0" distL="114935" distR="114935" simplePos="0" locked="0" layoutInCell="1" allowOverlap="1" relativeHeight="19">
                <wp:simplePos x="0" y="0"/>
                <wp:positionH relativeFrom="column">
                  <wp:posOffset>457200</wp:posOffset>
                </wp:positionH>
                <wp:positionV relativeFrom="paragraph">
                  <wp:posOffset>76200</wp:posOffset>
                </wp:positionV>
                <wp:extent cx="4800600" cy="3869690"/>
                <wp:effectExtent l="12700" t="12700" r="12700" b="0"/>
                <wp:wrapNone/>
                <wp:docPr id="6" name=""/>
                <a:graphic xmlns:a="http://schemas.openxmlformats.org/drawingml/2006/main">
                  <a:graphicData uri="http://schemas.microsoft.com/office/word/2010/wordprocessingGroup">
                    <wpg:wgp>
                      <wpg:cNvGrpSpPr/>
                      <wpg:grpSpPr>
                        <a:xfrm>
                          <a:off x="0" y="0"/>
                          <a:ext cx="4800600" cy="3869640"/>
                          <a:chOff x="0" y="0"/>
                          <a:chExt cx="4800600" cy="3869640"/>
                        </a:xfrm>
                      </wpg:grpSpPr>
                      <pic:pic xmlns:pic="http://schemas.openxmlformats.org/drawingml/2006/picture">
                        <pic:nvPicPr>
                          <pic:cNvPr id="7" name="" descr=""/>
                          <pic:cNvPicPr/>
                        </pic:nvPicPr>
                        <pic:blipFill>
                          <a:blip r:embed="rId6"/>
                          <a:stretch/>
                        </pic:blipFill>
                        <pic:spPr>
                          <a:xfrm>
                            <a:off x="0" y="0"/>
                            <a:ext cx="4800600" cy="3599640"/>
                          </a:xfrm>
                          <a:prstGeom prst="rect">
                            <a:avLst/>
                          </a:prstGeom>
                          <a:noFill/>
                          <a:ln w="12600">
                            <a:solidFill>
                              <a:srgbClr val="000000"/>
                            </a:solidFill>
                            <a:miter/>
                          </a:ln>
                        </pic:spPr>
                      </pic:pic>
                      <wps:wsp>
                        <wps:cNvPr id="8" name=""/>
                        <wps:cNvSpPr/>
                        <wps:spPr>
                          <a:xfrm>
                            <a:off x="2532960" y="1530360"/>
                            <a:ext cx="640080" cy="548640"/>
                          </a:xfrm>
                          <a:prstGeom prst="rect">
                            <a:avLst/>
                          </a:prstGeom>
                          <a:noFill/>
                          <a:ln w="9360">
                            <a:solidFill>
                              <a:srgbClr val="000000"/>
                            </a:solidFill>
                            <a:miter/>
                          </a:ln>
                        </wps:spPr>
                        <wps:style>
                          <a:lnRef idx="0"/>
                          <a:fillRef idx="0"/>
                          <a:effectRef idx="0"/>
                          <a:fontRef idx="minor"/>
                        </wps:style>
                        <wps:bodyPr/>
                      </wps:wsp>
                      <wps:wsp>
                        <wps:cNvSpPr txBox="1"/>
                        <wps:spPr>
                          <a:xfrm>
                            <a:off x="457200" y="3595320"/>
                            <a:ext cx="4032360" cy="274320"/>
                          </a:xfrm>
                          <a:prstGeom prst="rect">
                            <a:avLst/>
                          </a:prstGeom>
                          <a:noFill/>
                          <a:ln w="0">
                            <a:noFill/>
                          </a:ln>
                        </wps:spPr>
                        <wps:txbx>
                          <w:txbxContent>
                            <w:p>
                              <w:pPr>
                                <w:overflowPunct w:val="false"/>
                                <w:bidi w:val="0"/>
                                <w:rPr/>
                              </w:pPr>
                              <w:r>
                                <w:rPr>
                                  <w:kern w:val="2"/>
                                  <w:sz w:val="20"/>
                                  <w:szCs w:val="20"/>
                                  <w:rFonts w:ascii="Arial" w:hAnsi="Arial" w:eastAsia="Times New Roman" w:cs="Arial"/>
                                  <w:color w:val="auto"/>
                                  <w:lang w:val="en-US"/>
                                </w:rPr>
                                <w:t>Figure 2. Location of Flagstaff Compressor Station (Station No. 2)</w:t>
                              </w:r>
                            </w:p>
                          </w:txbxContent>
                        </wps:txbx>
                        <wps:bodyPr wrap="square" anchor="t">
                          <a:noAutofit/>
                        </wps:bodyPr>
                      </wps:wsp>
                      <wps:wsp>
                        <wps:cNvPr id="9" name=""/>
                        <wps:cNvSpPr/>
                        <wps:spPr>
                          <a:xfrm>
                            <a:off x="1371600" y="898560"/>
                            <a:ext cx="1052280" cy="254160"/>
                          </a:xfrm>
                          <a:custGeom>
                            <a:avLst/>
                            <a:gdLst/>
                            <a:ahLst/>
                            <a:rect l="0" t="0" r="r" b="b"/>
                            <a:pathLst/>
                          </a:custGeom>
                          <a:noFill/>
                          <a:ln w="9360">
                            <a:solidFill>
                              <a:srgbClr val="000000"/>
                            </a:solidFill>
                            <a:miter/>
                            <a:headEnd len="med" type="stealth" w="med"/>
                          </a:ln>
                        </wps:spPr>
                        <wps:style>
                          <a:lnRef idx="0"/>
                          <a:fillRef idx="0"/>
                          <a:effectRef idx="0"/>
                          <a:fontRef idx="minor"/>
                        </wps:style>
                        <wps:txbx>
                          <w:txbxContent>
                            <w:p>
                              <w:pPr>
                                <w:overflowPunct w:val="false"/>
                                <w:bidi w:val="0"/>
                                <w:jc w:val="end"/>
                                <w:rPr/>
                              </w:pPr>
                              <w:r>
                                <w:rPr>
                                  <w:kern w:val="2"/>
                                  <w:sz w:val="20"/>
                                  <w:b/>
                                  <w:szCs w:val="20"/>
                                  <w:rFonts w:ascii="Arial" w:hAnsi="Arial" w:eastAsia="Times New Roman" w:cs="Arial"/>
                                  <w:color w:val="auto"/>
                                  <w:lang w:val="en-US"/>
                                </w:rPr>
                                <w:t>Station No. 2</w:t>
                              </w:r>
                            </w:p>
                          </w:txbxContent>
                        </wps:txbx>
                        <wps:bodyPr rIns="0" anchor="t">
                          <a:noAutofit/>
                        </wps:bodyPr>
                      </wps:wsp>
                    </wpg:wgp>
                  </a:graphicData>
                </a:graphic>
              </wp:anchor>
            </w:drawing>
          </mc:Choice>
          <mc:Fallback>
            <w:pict>
              <v:group id="shape_0" style="position:absolute;margin-left:36pt;margin-top:6pt;width:378pt;height:304.7pt" coordorigin="720,120" coordsize="7560,6094">
                <v:shape id="shape_0" stroked="t" o:allowincell="f" style="position:absolute;left:720;top:120;width:7559;height:5668;mso-wrap-style:none;v-text-anchor:middle" type="_x0000_t75">
                  <v:imagedata r:id="rId7" o:detectmouseclick="t"/>
                  <v:stroke color="black" weight="12600" joinstyle="miter" endcap="flat"/>
                  <w10:wrap type="none"/>
                </v:shape>
                <v:rect id="shape_0" stroked="t" o:allowincell="f" style="position:absolute;left:4709;top:2530;width:1007;height:863;mso-wrap-style:none;v-text-anchor:middle">
                  <v:fill o:detectmouseclick="t" on="false"/>
                  <v:stroke color="black" weight="9360" joinstyle="miter" endcap="flat"/>
                  <w10:wrap type="none"/>
                </v:rect>
                <v:shape id="shape_0" stroked="f" o:allowincell="f" style="position:absolute;left:1440;top:5782;width:6349;height:431;mso-wrap-style:square;v-text-anchor:top" type="_x0000_t202">
                  <v:textbox>
                    <w:txbxContent>
                      <w:p>
                        <w:pPr>
                          <w:overflowPunct w:val="false"/>
                          <w:bidi w:val="0"/>
                          <w:rPr/>
                        </w:pPr>
                        <w:r>
                          <w:rPr>
                            <w:kern w:val="2"/>
                            <w:sz w:val="20"/>
                            <w:szCs w:val="20"/>
                            <w:rFonts w:ascii="Arial" w:hAnsi="Arial" w:eastAsia="Times New Roman" w:cs="Arial"/>
                            <w:color w:val="auto"/>
                            <w:lang w:val="en-US"/>
                          </w:rPr>
                          <w:t>Figure 2. Location of Flagstaff Compressor Station (Station No. 2)</w:t>
                        </w:r>
                      </w:p>
                    </w:txbxContent>
                  </v:textbox>
                  <v:fill o:detectmouseclick="t" on="false"/>
                  <v:stroke color="#3465a4" joinstyle="round" endcap="flat"/>
                  <w10:wrap type="none"/>
                </v:shape>
                <v:shape id="shape_0" stroked="t" o:allowincell="f" style="position:absolute;left:2880;top:1535;width:1656;height:399;mso-wrap-style:square;v-text-anchor:top" type="_x0000_t42">
                  <v:textbox>
                    <w:txbxContent>
                      <w:p>
                        <w:pPr>
                          <w:overflowPunct w:val="false"/>
                          <w:bidi w:val="0"/>
                          <w:jc w:val="end"/>
                          <w:rPr/>
                        </w:pPr>
                        <w:r>
                          <w:rPr>
                            <w:kern w:val="2"/>
                            <w:sz w:val="20"/>
                            <w:b/>
                            <w:szCs w:val="20"/>
                            <w:rFonts w:ascii="Arial" w:hAnsi="Arial" w:eastAsia="Times New Roman" w:cs="Arial"/>
                            <w:color w:val="auto"/>
                            <w:lang w:val="en-US"/>
                          </w:rPr>
                          <w:t>Station No. 2</w:t>
                        </w:r>
                      </w:p>
                    </w:txbxContent>
                  </v:textbox>
                  <v:fill o:detectmouseclick="t" on="false"/>
                  <v:stroke color="black" weight="9360" startarrow="classic" startarrowwidth="medium" startarrowlength="medium" joinstyle="miter" endcap="flat"/>
                  <w10:wrap type="none"/>
                </v:shape>
              </v:group>
            </w:pict>
          </mc:Fallback>
        </mc:AlternateContent>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numPr>
          <w:ilvl w:val="0"/>
          <w:numId w:val="0"/>
        </w:numPr>
        <w:rPr/>
      </w:pPr>
      <w:r>
        <w:rPr/>
      </w:r>
      <w:r>
        <w:br w:type="page"/>
      </w:r>
      <w:r>
        <mc:AlternateContent>
          <mc:Choice Requires="wps">
            <w:drawing>
              <wp:anchor behindDoc="0" distT="0" distB="0" distL="114935" distR="114935" simplePos="0" locked="0" layoutInCell="1" allowOverlap="1" relativeHeight="17">
                <wp:simplePos x="0" y="0"/>
                <wp:positionH relativeFrom="column">
                  <wp:posOffset>3653155</wp:posOffset>
                </wp:positionH>
                <wp:positionV relativeFrom="paragraph">
                  <wp:posOffset>6920230</wp:posOffset>
                </wp:positionV>
                <wp:extent cx="923290" cy="283210"/>
                <wp:effectExtent l="0" t="0" r="0" b="0"/>
                <wp:wrapNone/>
                <wp:docPr id="10" name="Frame1"/>
                <a:graphic xmlns:a="http://schemas.openxmlformats.org/drawingml/2006/main">
                  <a:graphicData uri="http://schemas.microsoft.com/office/word/2010/wordprocessingShape">
                    <wps:wsp>
                      <wps:cNvSpPr txBox="1"/>
                      <wps:spPr>
                        <a:xfrm>
                          <a:off x="0" y="0"/>
                          <a:ext cx="923290" cy="283210"/>
                        </a:xfrm>
                        <a:prstGeom prst="rect"/>
                        <a:solidFill>
                          <a:srgbClr val="FFFFFF"/>
                        </a:solidFill>
                        <a:ln w="9525">
                          <a:solidFill>
                            <a:srgbClr val="000000"/>
                          </a:solidFill>
                        </a:ln>
                      </wps:spPr>
                      <wps:txbx>
                        <w:txbxContent>
                          <w:p>
                            <w:pPr>
                              <w:pStyle w:val="Normal"/>
                              <w:rPr/>
                            </w:pPr>
                            <w:r>
                              <w:rPr/>
                              <w:t>Station 2</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2.3pt;mso-wrap-distance-left:9.05pt;mso-wrap-distance-right:9.05pt;mso-wrap-distance-top:0pt;mso-wrap-distance-bottom:0pt;margin-top:544.9pt;mso-position-vertical-relative:text;margin-left:287.65pt;mso-position-horizontal-relative:text">
                <v:textbox>
                  <w:txbxContent>
                    <w:p>
                      <w:pPr>
                        <w:pStyle w:val="Normal"/>
                        <w:rPr/>
                      </w:pPr>
                      <w:r>
                        <w:rPr/>
                        <w:t>Station 2</w:t>
                      </w:r>
                    </w:p>
                  </w:txbxContent>
                </v:textbox>
                <w10:wrap type="none"/>
              </v:rect>
            </w:pict>
          </mc:Fallback>
        </mc:AlternateContent>
      </w:r>
    </w:p>
    <w:p>
      <w:pPr>
        <w:pStyle w:val="BodyText1"/>
        <w:rPr/>
      </w:pPr>
      <w:r>
        <w:rPr/>
      </w:r>
    </w:p>
    <w:p>
      <w:pPr>
        <w:pStyle w:val="BodyText1"/>
        <w:rPr>
          <w:lang w:val="en-CA"/>
        </w:rPr>
      </w:pPr>
      <w:r>
        <w:rPr>
          <w:lang w:val="en-CA"/>
        </w:rPr>
        <mc:AlternateContent>
          <mc:Choice Requires="wpg">
            <w:drawing>
              <wp:anchor behindDoc="0" distT="0" distB="0" distL="114935" distR="114935" simplePos="0" locked="0" layoutInCell="1" allowOverlap="1" relativeHeight="20">
                <wp:simplePos x="0" y="0"/>
                <wp:positionH relativeFrom="column">
                  <wp:posOffset>457200</wp:posOffset>
                </wp:positionH>
                <wp:positionV relativeFrom="paragraph">
                  <wp:posOffset>-90805</wp:posOffset>
                </wp:positionV>
                <wp:extent cx="4800600" cy="3863975"/>
                <wp:effectExtent l="12700" t="12700" r="12700" b="0"/>
                <wp:wrapNone/>
                <wp:docPr id="11" name=""/>
                <a:graphic xmlns:a="http://schemas.openxmlformats.org/drawingml/2006/main">
                  <a:graphicData uri="http://schemas.microsoft.com/office/word/2010/wordprocessingGroup">
                    <wpg:wgp>
                      <wpg:cNvGrpSpPr/>
                      <wpg:grpSpPr>
                        <a:xfrm>
                          <a:off x="0" y="0"/>
                          <a:ext cx="4800600" cy="3863880"/>
                          <a:chOff x="0" y="0"/>
                          <a:chExt cx="4800600" cy="3863880"/>
                        </a:xfrm>
                      </wpg:grpSpPr>
                      <pic:pic xmlns:pic="http://schemas.openxmlformats.org/drawingml/2006/picture">
                        <pic:nvPicPr>
                          <pic:cNvPr id="12" name="TW%20Station%203" descr=""/>
                          <pic:cNvPicPr/>
                        </pic:nvPicPr>
                        <pic:blipFill>
                          <a:blip r:embed="rId8"/>
                          <a:stretch/>
                        </pic:blipFill>
                        <pic:spPr>
                          <a:xfrm>
                            <a:off x="0" y="0"/>
                            <a:ext cx="4800600" cy="3599640"/>
                          </a:xfrm>
                          <a:prstGeom prst="rect">
                            <a:avLst/>
                          </a:prstGeom>
                          <a:noFill/>
                          <a:ln w="12600">
                            <a:solidFill>
                              <a:srgbClr val="000000"/>
                            </a:solidFill>
                            <a:miter/>
                          </a:ln>
                        </pic:spPr>
                      </pic:pic>
                      <wps:wsp>
                        <wps:cNvSpPr txBox="1"/>
                        <wps:spPr>
                          <a:xfrm>
                            <a:off x="457200" y="3589560"/>
                            <a:ext cx="3886200" cy="274320"/>
                          </a:xfrm>
                          <a:prstGeom prst="rect">
                            <a:avLst/>
                          </a:prstGeom>
                          <a:noFill/>
                          <a:ln w="0">
                            <a:noFill/>
                          </a:ln>
                        </wps:spPr>
                        <wps:txbx>
                          <w:txbxContent>
                            <w:p>
                              <w:pPr>
                                <w:overflowPunct w:val="false"/>
                                <w:bidi w:val="0"/>
                                <w:rPr/>
                              </w:pPr>
                              <w:r>
                                <w:rPr>
                                  <w:kern w:val="2"/>
                                  <w:sz w:val="20"/>
                                  <w:szCs w:val="20"/>
                                  <w:rFonts w:ascii="Arial" w:hAnsi="Arial" w:eastAsia="Times New Roman" w:cs="Arial"/>
                                  <w:color w:val="auto"/>
                                  <w:lang w:val="en-US"/>
                                </w:rPr>
                                <w:t>Figure 3. Location of Leupp Compressor Station (Station No. 3)</w:t>
                              </w:r>
                            </w:p>
                          </w:txbxContent>
                        </wps:txbx>
                        <wps:bodyPr wrap="square" anchor="t">
                          <a:noAutofit/>
                        </wps:bodyPr>
                      </wps:wsp>
                      <wps:wsp>
                        <wps:cNvPr id="13" name=""/>
                        <wps:cNvSpPr/>
                        <wps:spPr>
                          <a:xfrm>
                            <a:off x="2468880" y="1408320"/>
                            <a:ext cx="640080" cy="548640"/>
                          </a:xfrm>
                          <a:prstGeom prst="rect">
                            <a:avLst/>
                          </a:prstGeom>
                          <a:noFill/>
                          <a:ln w="9360">
                            <a:solidFill>
                              <a:srgbClr val="000000"/>
                            </a:solidFill>
                            <a:miter/>
                          </a:ln>
                        </wps:spPr>
                        <wps:style>
                          <a:lnRef idx="0"/>
                          <a:fillRef idx="0"/>
                          <a:effectRef idx="0"/>
                          <a:fontRef idx="minor"/>
                        </wps:style>
                        <wps:bodyPr/>
                      </wps:wsp>
                      <wps:wsp>
                        <wps:cNvPr id="14" name=""/>
                        <wps:cNvSpPr/>
                        <wps:spPr>
                          <a:xfrm>
                            <a:off x="1005840" y="859680"/>
                            <a:ext cx="1059120" cy="274320"/>
                          </a:xfrm>
                          <a:custGeom>
                            <a:avLst/>
                            <a:gdLst/>
                            <a:ahLst/>
                            <a:rect l="0" t="0" r="r" b="b"/>
                            <a:pathLst/>
                          </a:custGeom>
                          <a:noFill/>
                          <a:ln w="9360">
                            <a:solidFill>
                              <a:srgbClr val="000000"/>
                            </a:solidFill>
                            <a:miter/>
                            <a:headEnd len="med" type="stealth" w="med"/>
                          </a:ln>
                        </wps:spPr>
                        <wps:style>
                          <a:lnRef idx="0"/>
                          <a:fillRef idx="0"/>
                          <a:effectRef idx="0"/>
                          <a:fontRef idx="minor"/>
                        </wps:style>
                        <wps:txbx>
                          <w:txbxContent>
                            <w:p>
                              <w:pPr>
                                <w:overflowPunct w:val="false"/>
                                <w:bidi w:val="0"/>
                                <w:jc w:val="end"/>
                                <w:rPr/>
                              </w:pPr>
                              <w:r>
                                <w:rPr>
                                  <w:kern w:val="2"/>
                                  <w:sz w:val="20"/>
                                  <w:b/>
                                  <w:szCs w:val="20"/>
                                  <w:rFonts w:ascii="Arial" w:hAnsi="Arial" w:eastAsia="Times New Roman" w:cs="Arial"/>
                                  <w:color w:val="auto"/>
                                  <w:lang w:val="en-US"/>
                                </w:rPr>
                                <w:t>Station No. 3</w:t>
                              </w:r>
                            </w:p>
                          </w:txbxContent>
                        </wps:txbx>
                        <wps:bodyPr rIns="0" anchor="t">
                          <a:noAutofit/>
                        </wps:bodyPr>
                      </wps:wsp>
                    </wpg:wgp>
                  </a:graphicData>
                </a:graphic>
              </wp:anchor>
            </w:drawing>
          </mc:Choice>
          <mc:Fallback>
            <w:pict>
              <v:group id="shape_0" style="position:absolute;margin-left:36pt;margin-top:-7.15pt;width:378pt;height:304.25pt" coordorigin="720,-143" coordsize="7560,6085">
                <v:shape id="shape_0" ID="TW%20Station%203" stroked="t" o:allowincell="f" style="position:absolute;left:720;top:-143;width:7559;height:5668;mso-wrap-style:none;v-text-anchor:middle" type="_x0000_t75">
                  <v:imagedata r:id="rId9" o:detectmouseclick="t"/>
                  <v:stroke color="black" weight="12600" joinstyle="miter" endcap="flat"/>
                  <w10:wrap type="none"/>
                </v:shape>
                <v:shape id="shape_0" stroked="f" o:allowincell="f" style="position:absolute;left:1440;top:5510;width:6119;height:431;mso-wrap-style:square;v-text-anchor:top" type="_x0000_t202">
                  <v:textbox>
                    <w:txbxContent>
                      <w:p>
                        <w:pPr>
                          <w:overflowPunct w:val="false"/>
                          <w:bidi w:val="0"/>
                          <w:rPr/>
                        </w:pPr>
                        <w:r>
                          <w:rPr>
                            <w:kern w:val="2"/>
                            <w:sz w:val="20"/>
                            <w:szCs w:val="20"/>
                            <w:rFonts w:ascii="Arial" w:hAnsi="Arial" w:eastAsia="Times New Roman" w:cs="Arial"/>
                            <w:color w:val="auto"/>
                            <w:lang w:val="en-US"/>
                          </w:rPr>
                          <w:t>Figure 3. Location of Leupp Compressor Station (Station No. 3)</w:t>
                        </w:r>
                      </w:p>
                    </w:txbxContent>
                  </v:textbox>
                  <v:fill o:detectmouseclick="t" on="false"/>
                  <v:stroke color="#3465a4" joinstyle="round" endcap="flat"/>
                  <w10:wrap type="none"/>
                </v:shape>
                <v:rect id="shape_0" stroked="t" o:allowincell="f" style="position:absolute;left:4608;top:2075;width:1007;height:863;mso-wrap-style:none;v-text-anchor:middle">
                  <v:fill o:detectmouseclick="t" on="false"/>
                  <v:stroke color="black" weight="9360" joinstyle="miter" endcap="flat"/>
                  <w10:wrap type="none"/>
                </v:rect>
                <v:shape id="shape_0" stroked="t" o:allowincell="f" style="position:absolute;left:2304;top:1211;width:1667;height:431;mso-wrap-style:square;v-text-anchor:top" type="_x0000_t42">
                  <v:textbox>
                    <w:txbxContent>
                      <w:p>
                        <w:pPr>
                          <w:overflowPunct w:val="false"/>
                          <w:bidi w:val="0"/>
                          <w:jc w:val="end"/>
                          <w:rPr/>
                        </w:pPr>
                        <w:r>
                          <w:rPr>
                            <w:kern w:val="2"/>
                            <w:sz w:val="20"/>
                            <w:b/>
                            <w:szCs w:val="20"/>
                            <w:rFonts w:ascii="Arial" w:hAnsi="Arial" w:eastAsia="Times New Roman" w:cs="Arial"/>
                            <w:color w:val="auto"/>
                            <w:lang w:val="en-US"/>
                          </w:rPr>
                          <w:t>Station No. 3</w:t>
                        </w:r>
                      </w:p>
                    </w:txbxContent>
                  </v:textbox>
                  <v:fill o:detectmouseclick="t" on="false"/>
                  <v:stroke color="black" weight="9360" startarrow="classic" startarrowwidth="medium" startarrowlength="medium" joinstyle="miter" endcap="flat"/>
                  <w10:wrap type="none"/>
                </v:shape>
              </v:group>
            </w:pict>
          </mc:Fallback>
        </mc:AlternateContent>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lang w:val="en-CA"/>
        </w:rPr>
      </w:pPr>
      <w:r>
        <w:rPr>
          <w:lang w:val="en-CA"/>
        </w:rPr>
        <mc:AlternateContent>
          <mc:Choice Requires="wpg">
            <w:drawing>
              <wp:anchor behindDoc="0" distT="0" distB="0" distL="114935" distR="114935" simplePos="0" locked="0" layoutInCell="1" allowOverlap="1" relativeHeight="21">
                <wp:simplePos x="0" y="0"/>
                <wp:positionH relativeFrom="column">
                  <wp:posOffset>457200</wp:posOffset>
                </wp:positionH>
                <wp:positionV relativeFrom="paragraph">
                  <wp:posOffset>73025</wp:posOffset>
                </wp:positionV>
                <wp:extent cx="4800600" cy="3872230"/>
                <wp:effectExtent l="12700" t="12700" r="12700" b="0"/>
                <wp:wrapNone/>
                <wp:docPr id="15" name=""/>
                <a:graphic xmlns:a="http://schemas.openxmlformats.org/drawingml/2006/main">
                  <a:graphicData uri="http://schemas.microsoft.com/office/word/2010/wordprocessingGroup">
                    <wpg:wgp>
                      <wpg:cNvGrpSpPr/>
                      <wpg:grpSpPr>
                        <a:xfrm>
                          <a:off x="0" y="0"/>
                          <a:ext cx="4800600" cy="3872160"/>
                          <a:chOff x="0" y="0"/>
                          <a:chExt cx="4800600" cy="3872160"/>
                        </a:xfrm>
                      </wpg:grpSpPr>
                      <pic:pic xmlns:pic="http://schemas.openxmlformats.org/drawingml/2006/picture">
                        <pic:nvPicPr>
                          <pic:cNvPr id="16" name="TW%20Station%204b" descr=""/>
                          <pic:cNvPicPr/>
                        </pic:nvPicPr>
                        <pic:blipFill>
                          <a:blip r:embed="rId10"/>
                          <a:stretch/>
                        </pic:blipFill>
                        <pic:spPr>
                          <a:xfrm>
                            <a:off x="0" y="0"/>
                            <a:ext cx="4800600" cy="3599640"/>
                          </a:xfrm>
                          <a:prstGeom prst="rect">
                            <a:avLst/>
                          </a:prstGeom>
                          <a:noFill/>
                          <a:ln w="12600">
                            <a:solidFill>
                              <a:srgbClr val="000000"/>
                            </a:solidFill>
                            <a:miter/>
                          </a:ln>
                        </pic:spPr>
                      </pic:pic>
                      <wps:wsp>
                        <wps:cNvSpPr txBox="1"/>
                        <wps:spPr>
                          <a:xfrm>
                            <a:off x="457200" y="3597840"/>
                            <a:ext cx="4023360" cy="274320"/>
                          </a:xfrm>
                          <a:prstGeom prst="rect">
                            <a:avLst/>
                          </a:prstGeom>
                          <a:noFill/>
                          <a:ln w="0">
                            <a:noFill/>
                          </a:ln>
                        </wps:spPr>
                        <wps:txbx>
                          <w:txbxContent>
                            <w:p>
                              <w:pPr>
                                <w:overflowPunct w:val="false"/>
                                <w:bidi w:val="0"/>
                                <w:rPr/>
                              </w:pPr>
                              <w:r>
                                <w:rPr>
                                  <w:kern w:val="2"/>
                                  <w:sz w:val="20"/>
                                  <w:szCs w:val="20"/>
                                  <w:rFonts w:ascii="Arial" w:hAnsi="Arial" w:eastAsia="Times New Roman" w:cs="Arial"/>
                                  <w:color w:val="auto"/>
                                  <w:lang w:val="en-US"/>
                                </w:rPr>
                                <w:t>Figure 4.  Location of Klagetoh Compressor Station (Station No. 4)</w:t>
                              </w:r>
                            </w:p>
                          </w:txbxContent>
                        </wps:txbx>
                        <wps:bodyPr wrap="square" anchor="t">
                          <a:noAutofit/>
                        </wps:bodyPr>
                      </wps:wsp>
                      <wps:wsp>
                        <wps:cNvPr id="17" name=""/>
                        <wps:cNvSpPr/>
                        <wps:spPr>
                          <a:xfrm>
                            <a:off x="1737360" y="1149840"/>
                            <a:ext cx="1059120" cy="274320"/>
                          </a:xfrm>
                          <a:custGeom>
                            <a:avLst/>
                            <a:gdLst/>
                            <a:ahLst/>
                            <a:rect l="0" t="0" r="r" b="b"/>
                            <a:pathLst/>
                          </a:custGeom>
                          <a:noFill/>
                          <a:ln w="9360">
                            <a:solidFill>
                              <a:srgbClr val="000000"/>
                            </a:solidFill>
                            <a:miter/>
                            <a:headEnd len="med" type="stealth" w="med"/>
                          </a:ln>
                        </wps:spPr>
                        <wps:style>
                          <a:lnRef idx="0"/>
                          <a:fillRef idx="0"/>
                          <a:effectRef idx="0"/>
                          <a:fontRef idx="minor"/>
                        </wps:style>
                        <wps:txbx>
                          <w:txbxContent>
                            <w:p>
                              <w:pPr>
                                <w:overflowPunct w:val="false"/>
                                <w:bidi w:val="0"/>
                                <w:jc w:val="end"/>
                                <w:rPr/>
                              </w:pPr>
                              <w:r>
                                <w:rPr>
                                  <w:kern w:val="2"/>
                                  <w:sz w:val="20"/>
                                  <w:b/>
                                  <w:szCs w:val="20"/>
                                  <w:rFonts w:ascii="Arial" w:hAnsi="Arial" w:eastAsia="Times New Roman" w:cs="Arial"/>
                                  <w:color w:val="auto"/>
                                  <w:lang w:val="en-US"/>
                                </w:rPr>
                                <w:t>Station No. 4</w:t>
                              </w:r>
                            </w:p>
                          </w:txbxContent>
                        </wps:txbx>
                        <wps:bodyPr rIns="0" anchor="t">
                          <a:noAutofit/>
                        </wps:bodyPr>
                      </wps:wsp>
                      <wps:wsp>
                        <wps:cNvPr id="18" name=""/>
                        <wps:cNvSpPr/>
                        <wps:spPr>
                          <a:xfrm>
                            <a:off x="3200400" y="1721520"/>
                            <a:ext cx="640080" cy="548640"/>
                          </a:xfrm>
                          <a:prstGeom prst="rect">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6pt;margin-top:5.75pt;width:378pt;height:304.9pt" coordorigin="720,115" coordsize="7560,6098">
                <v:shape id="shape_0" ID="TW%20Station%204b" stroked="t" o:allowincell="f" style="position:absolute;left:720;top:115;width:7559;height:5668;mso-wrap-style:none;v-text-anchor:middle" type="_x0000_t75">
                  <v:imagedata r:id="rId11" o:detectmouseclick="t"/>
                  <v:stroke color="black" weight="12600" joinstyle="miter" endcap="flat"/>
                  <w10:wrap type="none"/>
                </v:shape>
                <v:shape id="shape_0" stroked="f" o:allowincell="f" style="position:absolute;left:1440;top:5781;width:6335;height:431;mso-wrap-style:square;v-text-anchor:top" type="_x0000_t202">
                  <v:textbox>
                    <w:txbxContent>
                      <w:p>
                        <w:pPr>
                          <w:overflowPunct w:val="false"/>
                          <w:bidi w:val="0"/>
                          <w:rPr/>
                        </w:pPr>
                        <w:r>
                          <w:rPr>
                            <w:kern w:val="2"/>
                            <w:sz w:val="20"/>
                            <w:szCs w:val="20"/>
                            <w:rFonts w:ascii="Arial" w:hAnsi="Arial" w:eastAsia="Times New Roman" w:cs="Arial"/>
                            <w:color w:val="auto"/>
                            <w:lang w:val="en-US"/>
                          </w:rPr>
                          <w:t>Figure 4.  Location of Klagetoh Compressor Station (Station No. 4)</w:t>
                        </w:r>
                      </w:p>
                    </w:txbxContent>
                  </v:textbox>
                  <v:fill o:detectmouseclick="t" on="false"/>
                  <v:stroke color="#3465a4" joinstyle="round" endcap="flat"/>
                  <w10:wrap type="none"/>
                </v:shape>
                <v:shape id="shape_0" stroked="t" o:allowincell="f" style="position:absolute;left:3456;top:1926;width:1667;height:431;mso-wrap-style:square;v-text-anchor:top" type="_x0000_t42">
                  <v:textbox>
                    <w:txbxContent>
                      <w:p>
                        <w:pPr>
                          <w:overflowPunct w:val="false"/>
                          <w:bidi w:val="0"/>
                          <w:jc w:val="end"/>
                          <w:rPr/>
                        </w:pPr>
                        <w:r>
                          <w:rPr>
                            <w:kern w:val="2"/>
                            <w:sz w:val="20"/>
                            <w:b/>
                            <w:szCs w:val="20"/>
                            <w:rFonts w:ascii="Arial" w:hAnsi="Arial" w:eastAsia="Times New Roman" w:cs="Arial"/>
                            <w:color w:val="auto"/>
                            <w:lang w:val="en-US"/>
                          </w:rPr>
                          <w:t>Station No. 4</w:t>
                        </w:r>
                      </w:p>
                    </w:txbxContent>
                  </v:textbox>
                  <v:fill o:detectmouseclick="t" on="false"/>
                  <v:stroke color="black" weight="9360" startarrow="classic" startarrowwidth="medium" startarrowlength="medium" joinstyle="miter" endcap="flat"/>
                  <w10:wrap type="none"/>
                </v:shape>
                <v:rect id="shape_0" stroked="t" o:allowincell="f" style="position:absolute;left:5760;top:2826;width:1007;height:863;mso-wrap-style:none;v-text-anchor:middle">
                  <v:fill o:detectmouseclick="t" on="false"/>
                  <v:stroke color="black" weight="9360" joinstyle="miter" endcap="flat"/>
                  <w10:wrap type="none"/>
                </v:rect>
              </v:group>
            </w:pict>
          </mc:Fallback>
        </mc:AlternateContent>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Caption"/>
        <w:jc w:val="center"/>
        <w:rPr/>
      </w:pPr>
      <w:bookmarkStart w:id="5" w:name="__RefHeading___Toc509915849"/>
      <w:bookmarkEnd w:id="5"/>
      <w:r>
        <w:rPr/>
        <w:t xml:space="preserve">Table </w:t>
      </w:r>
      <w:r>
        <w:fldChar w:fldCharType="begin"/>
      </w:r>
      <w:r>
        <w:rPr>
          <w:lang w:val="en-CA"/>
        </w:rPr>
        <w:instrText xml:space="preserve"> STYLEREF 1 \s </w:instrText>
      </w:r>
      <w:r>
        <w:rPr>
          <w:lang w:val="en-CA"/>
        </w:rPr>
      </w:r>
      <w:r>
        <w:rPr>
          <w:lang w:val="en-CA"/>
        </w:rPr>
        <w:fldChar w:fldCharType="separate"/>
      </w:r>
      <w:r>
        <w:rPr>
          <w:lang w:val="en-CA"/>
        </w:rPr>
        <w:t>1</w:t>
      </w:r>
      <w:r>
        <w:rPr>
          <w:lang w:val="en-CA"/>
        </w:rPr>
      </w:r>
      <w:r>
        <w:rPr>
          <w:lang w:val="en-CA"/>
        </w:rPr>
        <w:fldChar w:fldCharType="end"/>
      </w:r>
      <w:r>
        <w:rPr/>
        <w:noBreakHyphen/>
      </w:r>
      <w:r>
        <w:rPr/>
        <w:fldChar w:fldCharType="begin"/>
      </w:r>
      <w:r>
        <w:rPr/>
        <w:instrText xml:space="preserve"> SEQ Table \* ARABIC </w:instrText>
      </w:r>
      <w:r>
        <w:rPr/>
        <w:fldChar w:fldCharType="separate"/>
      </w:r>
      <w:r>
        <w:rPr/>
        <w:t>2</w:t>
      </w:r>
      <w:r>
        <w:rPr/>
        <w:fldChar w:fldCharType="end"/>
      </w:r>
      <w:r>
        <w:rPr/>
        <w:t>.</w:t>
        <w:tab/>
        <w:t>Compressor Units to be Abandoned In-place.</w:t>
      </w:r>
    </w:p>
    <w:tbl>
      <w:tblPr>
        <w:tblW w:w="6165" w:type="dxa"/>
        <w:jc w:val="center"/>
        <w:tblInd w:w="0" w:type="dxa"/>
        <w:tblLayout w:type="fixed"/>
        <w:tblCellMar>
          <w:top w:w="0" w:type="dxa"/>
          <w:start w:w="108" w:type="dxa"/>
          <w:bottom w:w="0" w:type="dxa"/>
          <w:end w:w="108" w:type="dxa"/>
        </w:tblCellMar>
      </w:tblPr>
      <w:tblGrid>
        <w:gridCol w:w="1710"/>
        <w:gridCol w:w="3330"/>
        <w:gridCol w:w="1125"/>
      </w:tblGrid>
      <w:tr>
        <w:trPr/>
        <w:tc>
          <w:tcPr>
            <w:tcW w:w="1710" w:type="dxa"/>
            <w:tcBorders>
              <w:top w:val="single" w:sz="6" w:space="0" w:color="000000"/>
              <w:start w:val="single" w:sz="6" w:space="0" w:color="000000"/>
              <w:bottom w:val="double" w:sz="4" w:space="0" w:color="000000"/>
              <w:end w:val="single" w:sz="6" w:space="0" w:color="000000"/>
            </w:tcBorders>
          </w:tcPr>
          <w:p>
            <w:pPr>
              <w:pStyle w:val="BodyText1"/>
              <w:spacing w:before="60" w:after="60"/>
              <w:jc w:val="center"/>
              <w:rPr>
                <w:b/>
                <w:sz w:val="20"/>
              </w:rPr>
            </w:pPr>
            <w:r>
              <w:rPr>
                <w:b/>
                <w:sz w:val="20"/>
              </w:rPr>
              <w:t>Station</w:t>
            </w:r>
          </w:p>
        </w:tc>
        <w:tc>
          <w:tcPr>
            <w:tcW w:w="3330" w:type="dxa"/>
            <w:tcBorders>
              <w:top w:val="single" w:sz="6" w:space="0" w:color="000000"/>
              <w:start w:val="single" w:sz="6" w:space="0" w:color="000000"/>
              <w:bottom w:val="double" w:sz="4" w:space="0" w:color="000000"/>
              <w:end w:val="single" w:sz="6" w:space="0" w:color="000000"/>
            </w:tcBorders>
          </w:tcPr>
          <w:p>
            <w:pPr>
              <w:pStyle w:val="BodyText1"/>
              <w:spacing w:before="60" w:after="60"/>
              <w:rPr>
                <w:b/>
                <w:sz w:val="20"/>
              </w:rPr>
            </w:pPr>
            <w:r>
              <w:rPr>
                <w:b/>
                <w:sz w:val="20"/>
              </w:rPr>
              <w:t>Compressor Unit</w:t>
            </w:r>
          </w:p>
        </w:tc>
        <w:tc>
          <w:tcPr>
            <w:tcW w:w="1125" w:type="dxa"/>
            <w:tcBorders>
              <w:top w:val="single" w:sz="6" w:space="0" w:color="000000"/>
              <w:start w:val="single" w:sz="6" w:space="0" w:color="000000"/>
              <w:bottom w:val="double" w:sz="4" w:space="0" w:color="000000"/>
              <w:end w:val="single" w:sz="6" w:space="0" w:color="000000"/>
            </w:tcBorders>
          </w:tcPr>
          <w:p>
            <w:pPr>
              <w:pStyle w:val="BodyText1"/>
              <w:spacing w:before="60" w:after="60"/>
              <w:jc w:val="center"/>
              <w:rPr>
                <w:b/>
                <w:sz w:val="20"/>
              </w:rPr>
            </w:pPr>
            <w:r>
              <w:rPr>
                <w:b/>
                <w:sz w:val="20"/>
              </w:rPr>
              <w:t>Quantity</w:t>
            </w:r>
          </w:p>
        </w:tc>
      </w:tr>
      <w:tr>
        <w:trPr/>
        <w:tc>
          <w:tcPr>
            <w:tcW w:w="1710" w:type="dxa"/>
            <w:tcBorders>
              <w:start w:val="single" w:sz="6" w:space="0" w:color="000000"/>
              <w:bottom w:val="single" w:sz="6" w:space="0" w:color="000000"/>
              <w:end w:val="single" w:sz="6" w:space="0" w:color="000000"/>
            </w:tcBorders>
          </w:tcPr>
          <w:p>
            <w:pPr>
              <w:pStyle w:val="BodyText1"/>
              <w:spacing w:before="60" w:after="60"/>
              <w:jc w:val="center"/>
              <w:rPr>
                <w:sz w:val="20"/>
              </w:rPr>
            </w:pPr>
            <w:r>
              <w:rPr>
                <w:sz w:val="20"/>
              </w:rPr>
              <w:t>Kingman</w:t>
              <w:br/>
              <w:t>Station 1</w:t>
            </w:r>
          </w:p>
        </w:tc>
        <w:tc>
          <w:tcPr>
            <w:tcW w:w="3330" w:type="dxa"/>
            <w:tcBorders>
              <w:start w:val="single" w:sz="6" w:space="0" w:color="000000"/>
              <w:bottom w:val="single" w:sz="6" w:space="0" w:color="000000"/>
              <w:end w:val="single" w:sz="6" w:space="0" w:color="000000"/>
            </w:tcBorders>
          </w:tcPr>
          <w:p>
            <w:pPr>
              <w:pStyle w:val="BodyText1"/>
              <w:spacing w:before="120" w:after="60"/>
              <w:rPr>
                <w:sz w:val="20"/>
              </w:rPr>
            </w:pPr>
            <w:r>
              <w:rPr>
                <w:sz w:val="20"/>
                <w:lang w:eastAsia="en-US"/>
              </w:rPr>
              <w:t>Ingersoll Rand type 616-KVT</w:t>
            </w:r>
          </w:p>
        </w:tc>
        <w:tc>
          <w:tcPr>
            <w:tcW w:w="1125" w:type="dxa"/>
            <w:tcBorders>
              <w:start w:val="single" w:sz="6" w:space="0" w:color="000000"/>
              <w:bottom w:val="single" w:sz="6" w:space="0" w:color="000000"/>
              <w:end w:val="single" w:sz="6" w:space="0" w:color="000000"/>
            </w:tcBorders>
          </w:tcPr>
          <w:p>
            <w:pPr>
              <w:pStyle w:val="BodyText1"/>
              <w:spacing w:before="120" w:after="60"/>
              <w:jc w:val="center"/>
              <w:rPr>
                <w:sz w:val="20"/>
                <w:lang w:eastAsia="en-US"/>
              </w:rPr>
            </w:pPr>
            <w:r>
              <w:rPr>
                <w:sz w:val="20"/>
                <w:lang w:eastAsia="en-US"/>
              </w:rPr>
              <w:t>3</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Flagstaff</w:t>
              <w:br/>
              <w:t>Station 2</w:t>
            </w:r>
          </w:p>
        </w:tc>
        <w:tc>
          <w:tcPr>
            <w:tcW w:w="3330" w:type="dxa"/>
            <w:tcBorders>
              <w:top w:val="single" w:sz="6" w:space="0" w:color="000000"/>
              <w:start w:val="single" w:sz="6" w:space="0" w:color="000000"/>
              <w:bottom w:val="single" w:sz="6" w:space="0" w:color="000000"/>
              <w:end w:val="single" w:sz="6" w:space="0" w:color="000000"/>
            </w:tcBorders>
          </w:tcPr>
          <w:p>
            <w:pPr>
              <w:pStyle w:val="BodyText1"/>
              <w:spacing w:before="120" w:after="60"/>
              <w:rPr>
                <w:sz w:val="20"/>
              </w:rPr>
            </w:pPr>
            <w:r>
              <w:rPr>
                <w:sz w:val="20"/>
                <w:lang w:eastAsia="en-US"/>
              </w:rPr>
              <w:t>Ingersoll Rand type 616-KVT</w:t>
            </w:r>
          </w:p>
        </w:tc>
        <w:tc>
          <w:tcPr>
            <w:tcW w:w="1125" w:type="dxa"/>
            <w:tcBorders>
              <w:top w:val="single" w:sz="6" w:space="0" w:color="000000"/>
              <w:start w:val="single" w:sz="6" w:space="0" w:color="000000"/>
              <w:bottom w:val="single" w:sz="6" w:space="0" w:color="000000"/>
              <w:end w:val="single" w:sz="6" w:space="0" w:color="000000"/>
            </w:tcBorders>
          </w:tcPr>
          <w:p>
            <w:pPr>
              <w:pStyle w:val="BodyText1"/>
              <w:spacing w:before="120" w:after="60"/>
              <w:jc w:val="center"/>
              <w:rPr>
                <w:sz w:val="20"/>
                <w:lang w:eastAsia="en-US"/>
              </w:rPr>
            </w:pPr>
            <w:r>
              <w:rPr>
                <w:sz w:val="20"/>
                <w:lang w:eastAsia="en-US"/>
              </w:rPr>
              <w:t>3</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Leupp</w:t>
              <w:br/>
              <w:t>Station 3</w:t>
            </w:r>
          </w:p>
        </w:tc>
        <w:tc>
          <w:tcPr>
            <w:tcW w:w="3330" w:type="dxa"/>
            <w:tcBorders>
              <w:top w:val="single" w:sz="6" w:space="0" w:color="000000"/>
              <w:start w:val="single" w:sz="6" w:space="0" w:color="000000"/>
              <w:bottom w:val="single" w:sz="6" w:space="0" w:color="000000"/>
              <w:end w:val="single" w:sz="6" w:space="0" w:color="000000"/>
            </w:tcBorders>
          </w:tcPr>
          <w:p>
            <w:pPr>
              <w:pStyle w:val="BodyText1"/>
              <w:spacing w:before="120" w:after="60"/>
              <w:rPr>
                <w:sz w:val="20"/>
              </w:rPr>
            </w:pPr>
            <w:r>
              <w:rPr>
                <w:sz w:val="20"/>
                <w:lang w:eastAsia="en-US"/>
              </w:rPr>
              <w:t xml:space="preserve">Cooper Bessemers LSV with </w:t>
              <w:br/>
              <w:t>RFB-24 centrifugal compressor</w:t>
            </w:r>
          </w:p>
        </w:tc>
        <w:tc>
          <w:tcPr>
            <w:tcW w:w="1125" w:type="dxa"/>
            <w:tcBorders>
              <w:top w:val="single" w:sz="6" w:space="0" w:color="000000"/>
              <w:start w:val="single" w:sz="6" w:space="0" w:color="000000"/>
              <w:bottom w:val="single" w:sz="6" w:space="0" w:color="000000"/>
              <w:end w:val="single" w:sz="6" w:space="0" w:color="000000"/>
            </w:tcBorders>
          </w:tcPr>
          <w:p>
            <w:pPr>
              <w:pStyle w:val="BodyText1"/>
              <w:spacing w:before="120" w:after="60"/>
              <w:jc w:val="center"/>
              <w:rPr>
                <w:sz w:val="20"/>
                <w:lang w:eastAsia="en-US"/>
              </w:rPr>
            </w:pPr>
            <w:r>
              <w:rPr>
                <w:sz w:val="20"/>
                <w:lang w:eastAsia="en-US"/>
              </w:rPr>
              <w:t>3</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0"/>
              <w:jc w:val="center"/>
              <w:rPr>
                <w:sz w:val="20"/>
              </w:rPr>
            </w:pPr>
            <w:r>
              <w:rPr>
                <w:sz w:val="20"/>
              </w:rPr>
              <w:t>Klagetoh</w:t>
              <w:br/>
              <w:t>Station 4</w:t>
            </w:r>
          </w:p>
        </w:tc>
        <w:tc>
          <w:tcPr>
            <w:tcW w:w="3330" w:type="dxa"/>
            <w:tcBorders>
              <w:top w:val="single" w:sz="6" w:space="0" w:color="000000"/>
              <w:start w:val="single" w:sz="6" w:space="0" w:color="000000"/>
              <w:bottom w:val="single" w:sz="6" w:space="0" w:color="000000"/>
              <w:end w:val="single" w:sz="6" w:space="0" w:color="000000"/>
            </w:tcBorders>
          </w:tcPr>
          <w:p>
            <w:pPr>
              <w:pStyle w:val="BodyText1"/>
              <w:spacing w:before="120" w:after="60"/>
              <w:rPr>
                <w:sz w:val="20"/>
              </w:rPr>
            </w:pPr>
            <w:r>
              <w:rPr>
                <w:sz w:val="20"/>
                <w:lang w:eastAsia="en-US"/>
              </w:rPr>
              <w:t>Clark type TCV-12</w:t>
            </w:r>
          </w:p>
        </w:tc>
        <w:tc>
          <w:tcPr>
            <w:tcW w:w="1125" w:type="dxa"/>
            <w:tcBorders>
              <w:top w:val="single" w:sz="6" w:space="0" w:color="000000"/>
              <w:start w:val="single" w:sz="6" w:space="0" w:color="000000"/>
              <w:bottom w:val="single" w:sz="6" w:space="0" w:color="000000"/>
              <w:end w:val="single" w:sz="6" w:space="0" w:color="000000"/>
            </w:tcBorders>
          </w:tcPr>
          <w:p>
            <w:pPr>
              <w:pStyle w:val="BodyText1"/>
              <w:spacing w:before="120" w:after="60"/>
              <w:jc w:val="center"/>
              <w:rPr>
                <w:sz w:val="20"/>
                <w:lang w:eastAsia="en-US"/>
              </w:rPr>
            </w:pPr>
            <w:r>
              <w:rPr>
                <w:sz w:val="20"/>
                <w:lang w:eastAsia="en-US"/>
              </w:rPr>
              <w:t>3</w:t>
            </w:r>
          </w:p>
        </w:tc>
      </w:tr>
    </w:tbl>
    <w:p>
      <w:pPr>
        <w:pStyle w:val="BodyText1"/>
        <w:rPr/>
      </w:pPr>
      <w:r>
        <w:rPr/>
      </w:r>
    </w:p>
    <w:p>
      <w:pPr>
        <w:pStyle w:val="Heading3"/>
        <w:ind w:hanging="0" w:start="0"/>
        <w:rPr/>
      </w:pPr>
      <w:bookmarkStart w:id="6" w:name="__RefHeading___Toc509915815"/>
      <w:bookmarkEnd w:id="6"/>
      <w:r>
        <w:rPr/>
        <w:t>Non-Jurisdictional Facilities</w:t>
      </w:r>
    </w:p>
    <w:p>
      <w:pPr>
        <w:pStyle w:val="BodyText1"/>
        <w:rPr/>
      </w:pPr>
      <w:r>
        <w:rPr/>
        <w:t>There are no non-jurisdictional facilities associated with this project.</w:t>
      </w:r>
    </w:p>
    <w:p>
      <w:pPr>
        <w:pStyle w:val="Heading2"/>
        <w:ind w:hanging="0" w:start="0"/>
        <w:rPr/>
      </w:pPr>
      <w:bookmarkStart w:id="7" w:name="__RefHeading___Toc509915816"/>
      <w:bookmarkEnd w:id="7"/>
      <w:r>
        <w:rPr/>
        <w:t>Land Requirements</w:t>
      </w:r>
    </w:p>
    <w:p>
      <w:pPr>
        <w:pStyle w:val="BodyText1"/>
        <w:rPr/>
      </w:pPr>
      <w:r>
        <w:rPr/>
        <w:t xml:space="preserve">All work will occur within Transwestern’s existing fenced compressor station facilities.  No additional land will be required.  The Kingman (Station No. 1) station is located on private and state land.  The Flagstaff (Station No. 2) station is located on national forest land. The Leupp (Station No. 3) and Klagetoh (Station No. 4) stations are both located on Navajo Nation land.  Station easement descriptions are listed in </w:t>
      </w:r>
      <w:r>
        <w:rPr>
          <w:b/>
        </w:rPr>
        <w:t>Table 1-3</w:t>
      </w:r>
      <w:r>
        <w:rPr/>
        <w:t>.</w:t>
      </w:r>
    </w:p>
    <w:p>
      <w:pPr>
        <w:pStyle w:val="Caption"/>
        <w:jc w:val="center"/>
        <w:rPr/>
      </w:pPr>
      <w:bookmarkStart w:id="8" w:name="__RefHeading___Toc509915850"/>
      <w:bookmarkEnd w:id="8"/>
      <w:r>
        <w:rPr/>
        <w:t xml:space="preserve">Table </w:t>
      </w:r>
      <w:r>
        <w:fldChar w:fldCharType="begin"/>
      </w:r>
      <w:r>
        <w:rPr>
          <w:lang w:val="en-CA"/>
        </w:rPr>
        <w:instrText xml:space="preserve"> STYLEREF 1 \s </w:instrText>
      </w:r>
      <w:r>
        <w:rPr>
          <w:lang w:val="en-CA"/>
        </w:rPr>
      </w:r>
      <w:r>
        <w:rPr>
          <w:lang w:val="en-CA"/>
        </w:rPr>
        <w:fldChar w:fldCharType="separate"/>
      </w:r>
      <w:r>
        <w:rPr>
          <w:lang w:val="en-CA"/>
        </w:rPr>
        <w:t>1</w:t>
      </w:r>
      <w:r>
        <w:rPr>
          <w:lang w:val="en-CA"/>
        </w:rPr>
      </w:r>
      <w:r>
        <w:rPr>
          <w:lang w:val="en-CA"/>
        </w:rPr>
        <w:fldChar w:fldCharType="end"/>
      </w:r>
      <w:r>
        <w:rPr/>
        <w:noBreakHyphen/>
      </w:r>
      <w:r>
        <w:rPr/>
        <w:fldChar w:fldCharType="begin"/>
      </w:r>
      <w:r>
        <w:rPr/>
        <w:instrText xml:space="preserve"> SEQ Table \* ARABIC </w:instrText>
      </w:r>
      <w:r>
        <w:rPr/>
        <w:fldChar w:fldCharType="separate"/>
      </w:r>
      <w:r>
        <w:rPr/>
        <w:t>3</w:t>
      </w:r>
      <w:r>
        <w:rPr/>
        <w:fldChar w:fldCharType="end"/>
      </w:r>
      <w:r>
        <w:rPr/>
        <w:t>.</w:t>
        <w:tab/>
        <w:t>Station Easement Description.</w:t>
      </w:r>
    </w:p>
    <w:tbl>
      <w:tblPr>
        <w:tblW w:w="8640" w:type="dxa"/>
        <w:jc w:val="start"/>
        <w:tblInd w:w="108" w:type="dxa"/>
        <w:tblLayout w:type="fixed"/>
        <w:tblCellMar>
          <w:top w:w="0" w:type="dxa"/>
          <w:start w:w="108" w:type="dxa"/>
          <w:bottom w:w="0" w:type="dxa"/>
          <w:end w:w="108" w:type="dxa"/>
        </w:tblCellMar>
      </w:tblPr>
      <w:tblGrid>
        <w:gridCol w:w="1710"/>
        <w:gridCol w:w="6930"/>
      </w:tblGrid>
      <w:tr>
        <w:trPr/>
        <w:tc>
          <w:tcPr>
            <w:tcW w:w="1710" w:type="dxa"/>
            <w:tcBorders>
              <w:top w:val="single" w:sz="6" w:space="0" w:color="000000"/>
              <w:start w:val="single" w:sz="6" w:space="0" w:color="000000"/>
              <w:bottom w:val="double" w:sz="4" w:space="0" w:color="000000"/>
              <w:end w:val="single" w:sz="6" w:space="0" w:color="000000"/>
            </w:tcBorders>
          </w:tcPr>
          <w:p>
            <w:pPr>
              <w:pStyle w:val="BodyText1"/>
              <w:spacing w:before="60" w:after="60"/>
              <w:jc w:val="center"/>
              <w:rPr>
                <w:b/>
                <w:sz w:val="20"/>
              </w:rPr>
            </w:pPr>
            <w:r>
              <w:rPr>
                <w:b/>
                <w:sz w:val="20"/>
              </w:rPr>
              <w:t>Station</w:t>
            </w:r>
          </w:p>
        </w:tc>
        <w:tc>
          <w:tcPr>
            <w:tcW w:w="6930" w:type="dxa"/>
            <w:tcBorders>
              <w:top w:val="single" w:sz="6" w:space="0" w:color="000000"/>
              <w:start w:val="single" w:sz="6" w:space="0" w:color="000000"/>
              <w:bottom w:val="double" w:sz="4" w:space="0" w:color="000000"/>
              <w:end w:val="single" w:sz="6" w:space="0" w:color="000000"/>
            </w:tcBorders>
          </w:tcPr>
          <w:p>
            <w:pPr>
              <w:pStyle w:val="BodyText1"/>
              <w:spacing w:before="60" w:after="60"/>
              <w:rPr>
                <w:b/>
                <w:sz w:val="20"/>
              </w:rPr>
            </w:pPr>
            <w:r>
              <w:rPr>
                <w:b/>
                <w:sz w:val="20"/>
              </w:rPr>
              <w:t>Easement Description</w:t>
            </w:r>
          </w:p>
        </w:tc>
      </w:tr>
      <w:tr>
        <w:trPr/>
        <w:tc>
          <w:tcPr>
            <w:tcW w:w="1710" w:type="dxa"/>
            <w:tcBorders>
              <w:start w:val="single" w:sz="6" w:space="0" w:color="000000"/>
              <w:bottom w:val="single" w:sz="6" w:space="0" w:color="000000"/>
              <w:end w:val="single" w:sz="6" w:space="0" w:color="000000"/>
            </w:tcBorders>
          </w:tcPr>
          <w:p>
            <w:pPr>
              <w:pStyle w:val="BodyText1"/>
              <w:spacing w:before="60" w:after="60"/>
              <w:jc w:val="center"/>
              <w:rPr>
                <w:sz w:val="20"/>
              </w:rPr>
            </w:pPr>
            <w:r>
              <w:rPr>
                <w:sz w:val="20"/>
              </w:rPr>
              <w:t>Kingman</w:t>
              <w:br/>
              <w:t>Station 1</w:t>
            </w:r>
          </w:p>
        </w:tc>
        <w:tc>
          <w:tcPr>
            <w:tcW w:w="6930" w:type="dxa"/>
            <w:tcBorders>
              <w:start w:val="single" w:sz="6" w:space="0" w:color="000000"/>
              <w:bottom w:val="single" w:sz="6" w:space="0" w:color="000000"/>
              <w:end w:val="single" w:sz="6" w:space="0" w:color="000000"/>
            </w:tcBorders>
          </w:tcPr>
          <w:p>
            <w:pPr>
              <w:pStyle w:val="BodyText1"/>
              <w:spacing w:before="60" w:after="60"/>
              <w:jc w:val="start"/>
              <w:rPr>
                <w:sz w:val="20"/>
              </w:rPr>
            </w:pPr>
            <w:r>
              <w:rPr>
                <w:sz w:val="20"/>
              </w:rPr>
              <w:t>Section 17, Transwestern purchased a fee easement from private owners.</w:t>
              <w:br/>
              <w:t>Section 20, right of grant from the State of Arizona (RW#14-52330).</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Flagstaff</w:t>
              <w:br/>
              <w:t>Station 2</w:t>
            </w:r>
          </w:p>
        </w:tc>
        <w:tc>
          <w:tcPr>
            <w:tcW w:w="6930"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Special Use Permit from U.S. Forest Service, Kaibab and Coconino National Forest.  File No. A-73 and A-73A.</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Leupp</w:t>
              <w:br/>
              <w:t>Station 3</w:t>
            </w:r>
          </w:p>
        </w:tc>
        <w:tc>
          <w:tcPr>
            <w:tcW w:w="6930" w:type="dxa"/>
            <w:tcBorders>
              <w:top w:val="single" w:sz="6" w:space="0" w:color="000000"/>
              <w:start w:val="single" w:sz="6" w:space="0" w:color="000000"/>
              <w:bottom w:val="single" w:sz="6" w:space="0" w:color="000000"/>
              <w:end w:val="single" w:sz="6" w:space="0" w:color="000000"/>
            </w:tcBorders>
          </w:tcPr>
          <w:p>
            <w:pPr>
              <w:pStyle w:val="BodyText1"/>
              <w:spacing w:before="60" w:after="60"/>
              <w:jc w:val="start"/>
              <w:rPr>
                <w:sz w:val="20"/>
              </w:rPr>
            </w:pPr>
            <w:r>
              <w:rPr>
                <w:sz w:val="20"/>
              </w:rPr>
              <w:t>Site owned by Navajo Nation, Transwestern easement and site agreement No. A-40.</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0"/>
              <w:jc w:val="center"/>
              <w:rPr>
                <w:sz w:val="20"/>
              </w:rPr>
            </w:pPr>
            <w:r>
              <w:rPr>
                <w:sz w:val="20"/>
              </w:rPr>
              <w:t>Klagetoh</w:t>
              <w:br/>
              <w:t>Station 4</w:t>
            </w:r>
          </w:p>
        </w:tc>
        <w:tc>
          <w:tcPr>
            <w:tcW w:w="6930" w:type="dxa"/>
            <w:tcBorders>
              <w:top w:val="single" w:sz="6" w:space="0" w:color="000000"/>
              <w:start w:val="single" w:sz="6" w:space="0" w:color="000000"/>
              <w:bottom w:val="single" w:sz="6" w:space="0" w:color="000000"/>
              <w:end w:val="single" w:sz="6" w:space="0" w:color="000000"/>
            </w:tcBorders>
          </w:tcPr>
          <w:p>
            <w:pPr>
              <w:pStyle w:val="BodyText1"/>
              <w:spacing w:before="60" w:after="0"/>
              <w:rPr>
                <w:sz w:val="20"/>
              </w:rPr>
            </w:pPr>
            <w:r>
              <w:rPr>
                <w:sz w:val="20"/>
              </w:rPr>
              <w:t>Site owned by Navajo Nation, Transwestern easement and site agreement No. A-9.</w:t>
            </w:r>
          </w:p>
        </w:tc>
      </w:tr>
    </w:tbl>
    <w:p>
      <w:pPr>
        <w:pStyle w:val="BodyText1"/>
        <w:rPr/>
      </w:pPr>
      <w:r>
        <w:rPr/>
      </w:r>
    </w:p>
    <w:p>
      <w:pPr>
        <w:pStyle w:val="Heading2"/>
        <w:ind w:hanging="0" w:start="0"/>
        <w:rPr/>
      </w:pPr>
      <w:bookmarkStart w:id="9" w:name="__RefHeading___Toc509915817"/>
      <w:bookmarkEnd w:id="9"/>
      <w:r>
        <w:rPr/>
        <w:t>Construction Procedures</w:t>
      </w:r>
    </w:p>
    <w:p>
      <w:pPr>
        <w:pStyle w:val="BodyText1"/>
        <w:rPr/>
      </w:pPr>
      <w:r>
        <w:rPr/>
        <w:t xml:space="preserve">Construction activities will be limited to the existing fenced-in compressor station yards. Less than five acres at each station will be disturbed.  Minimal grading is anticipated and generally will conform to the existing topography. Transwestern will follow guidelines described in its </w:t>
      </w:r>
      <w:r>
        <w:rPr>
          <w:i/>
        </w:rPr>
        <w:t>Upland Erosion Control, Revegetation, and Maintenance Plan</w:t>
      </w:r>
      <w:r>
        <w:rPr/>
        <w:t xml:space="preserve"> (</w:t>
      </w:r>
      <w:r>
        <w:rPr>
          <w:i/>
        </w:rPr>
        <w:t>Plan</w:t>
      </w:r>
      <w:r>
        <w:rPr/>
        <w:t xml:space="preserve">).  A copy of the </w:t>
      </w:r>
      <w:r>
        <w:rPr>
          <w:i/>
        </w:rPr>
        <w:t>Plan</w:t>
      </w:r>
      <w:r>
        <w:rPr/>
        <w:t xml:space="preserve"> is provided in </w:t>
      </w:r>
      <w:r>
        <w:rPr>
          <w:b/>
        </w:rPr>
        <w:t>Appendix C</w:t>
      </w:r>
      <w:r>
        <w:rPr/>
        <w:t xml:space="preserve">.  Transwestern’s </w:t>
      </w:r>
      <w:r>
        <w:rPr>
          <w:i/>
        </w:rPr>
        <w:t>Plan</w:t>
      </w:r>
      <w:r>
        <w:rPr/>
        <w:t xml:space="preserve"> will provide equal or greater protection than the Federal Energy Regulatory Commission’s (FERC) plan.  During construction, Transwestern will also follow procedures outlined in its Spill Prevention, Containment and Countermeasure Plan (</w:t>
      </w:r>
      <w:r>
        <w:rPr>
          <w:i/>
        </w:rPr>
        <w:t>SPCC</w:t>
      </w:r>
      <w:r>
        <w:rPr/>
        <w:t xml:space="preserve">).  A copy of the </w:t>
      </w:r>
      <w:r>
        <w:rPr>
          <w:i/>
        </w:rPr>
        <w:t>SPCC</w:t>
      </w:r>
      <w:r>
        <w:rPr/>
        <w:t xml:space="preserve"> plan is included in </w:t>
      </w:r>
      <w:r>
        <w:rPr>
          <w:b/>
        </w:rPr>
        <w:t>Appendix D</w:t>
      </w:r>
      <w:r>
        <w:rPr/>
        <w:t>.</w:t>
      </w:r>
    </w:p>
    <w:p>
      <w:pPr>
        <w:pStyle w:val="BodyText1"/>
        <w:rPr/>
      </w:pPr>
      <w:r>
        <w:rPr/>
        <w:t>Construction of the buildings, foundations and related systems will be completed in accordance with applicable local codes.  The compressor units and related station piping will be installed in accordance with applicable Department of Transportation (DOT) safety regulations.</w:t>
      </w:r>
    </w:p>
    <w:p>
      <w:pPr>
        <w:pStyle w:val="BodyText1"/>
        <w:rPr/>
      </w:pPr>
      <w:r>
        <w:rPr/>
        <w:t>Each station will be designed so that storm water runoff will conform to applicable regulations for each site.  Culverts will be provided where necessary to carry flow under roads and walks.  Any culverts installed will be made of corrugated steel or reinforced concrete as allowed by local codes.</w:t>
      </w:r>
    </w:p>
    <w:p>
      <w:pPr>
        <w:pStyle w:val="BodyText1"/>
        <w:rPr/>
      </w:pPr>
      <w:r>
        <w:rPr/>
        <w:t>Compacted rock roads will be constructed within each station to provide access to new compressor and auxiliary buildings.  Access to each station will be via existing highways or county roads.  No new access roads outside of the stations will be required.  Any remaining areas within each station disturbed by construction will be restored and planted with native grasses.</w:t>
      </w:r>
    </w:p>
    <w:p>
      <w:pPr>
        <w:pStyle w:val="Heading2"/>
        <w:ind w:hanging="0" w:start="0"/>
        <w:rPr/>
      </w:pPr>
      <w:bookmarkStart w:id="10" w:name="__RefHeading___Toc509915818"/>
      <w:bookmarkEnd w:id="10"/>
      <w:r>
        <w:rPr/>
        <w:t>Workforce Requirements and Schedule</w:t>
      </w:r>
    </w:p>
    <w:p>
      <w:pPr>
        <w:pStyle w:val="BodyText1"/>
        <w:rPr/>
      </w:pPr>
      <w:r>
        <w:rPr/>
        <w:t xml:space="preserve">Construction is scheduled to begin in August of 2001, with operation of the new compressor units to begin in the spring of 2002.  Construction is expected to last nine months and will require approximately 80 to 100 personnel during the peak construction period.  A Gantt chart has been included in </w:t>
      </w:r>
      <w:r>
        <w:rPr>
          <w:b/>
        </w:rPr>
        <w:t>Appendix G</w:t>
      </w:r>
      <w:r>
        <w:rPr/>
        <w:t xml:space="preserve"> detailing the proposed schedule.</w:t>
      </w:r>
    </w:p>
    <w:p>
      <w:pPr>
        <w:pStyle w:val="Heading2"/>
        <w:ind w:hanging="0" w:start="0"/>
        <w:rPr/>
      </w:pPr>
      <w:bookmarkStart w:id="11" w:name="__RefHeading___Toc509915819"/>
      <w:bookmarkEnd w:id="11"/>
      <w:r>
        <w:rPr/>
        <w:t>Future Plans</w:t>
      </w:r>
    </w:p>
    <w:p>
      <w:pPr>
        <w:pStyle w:val="BodyText1"/>
        <w:rPr/>
      </w:pPr>
      <w:r>
        <w:rPr/>
        <w:t>Transwestern has no additional plans for any of these compressor stations at this time.</w:t>
      </w:r>
    </w:p>
    <w:p>
      <w:pPr>
        <w:pStyle w:val="Heading2"/>
        <w:ind w:hanging="0" w:start="0"/>
        <w:rPr/>
      </w:pPr>
      <w:bookmarkStart w:id="12" w:name="__RefHeading___Toc509915820"/>
      <w:bookmarkEnd w:id="12"/>
      <w:r>
        <w:rPr/>
        <w:t>Permits, Clearances and Approvals</w:t>
      </w:r>
    </w:p>
    <w:p>
      <w:pPr>
        <w:pStyle w:val="BodyText1"/>
        <w:rPr/>
      </w:pPr>
      <w:r>
        <w:rPr>
          <w:b/>
        </w:rPr>
        <w:t>Table 1-4</w:t>
      </w:r>
      <w:r>
        <w:rPr/>
        <w:t xml:space="preserve"> lists the environmental permits and clearances required for the proposed project.  The table also includes the current status of each application.  Copies of correspondence with these agencies have been included in </w:t>
      </w:r>
      <w:r>
        <w:rPr>
          <w:b/>
        </w:rPr>
        <w:t>Appendix B</w:t>
      </w:r>
      <w:r>
        <w:rPr/>
        <w:t>.</w:t>
      </w:r>
    </w:p>
    <w:p>
      <w:pPr>
        <w:pStyle w:val="Heading2"/>
        <w:ind w:hanging="0" w:start="0"/>
        <w:rPr/>
      </w:pPr>
      <w:bookmarkStart w:id="13" w:name="__RefHeading___Toc509915821"/>
      <w:bookmarkEnd w:id="13"/>
      <w:r>
        <w:rPr/>
        <w:t>Affected Landowners</w:t>
      </w:r>
    </w:p>
    <w:p>
      <w:pPr>
        <w:pStyle w:val="BodyText1"/>
        <w:rPr/>
      </w:pPr>
      <w:r>
        <w:rPr/>
        <w:t>A list of potentially affected landowners and their mailing addresses are included in Exhibit Z-1 of Transwestern’s application.  Transwestern will notify these landowners as required pursuant to FERC regulations.</w:t>
      </w:r>
      <w:r>
        <w:br w:type="page"/>
      </w:r>
    </w:p>
    <w:p>
      <w:pPr>
        <w:pStyle w:val="BodyText1"/>
        <w:jc w:val="center"/>
        <w:rPr/>
      </w:pPr>
      <w:r>
        <w:rPr/>
      </w:r>
    </w:p>
    <w:p>
      <w:pPr>
        <w:pStyle w:val="BodyText1"/>
        <w:jc w:val="center"/>
        <w:rPr/>
      </w:pPr>
      <w:bookmarkStart w:id="14" w:name="__RefHeading___Toc509915851"/>
      <w:bookmarkEnd w:id="14"/>
      <w:r>
        <w:rPr/>
        <w:t xml:space="preserve">Table </w:t>
      </w:r>
      <w:r>
        <w:fldChar w:fldCharType="begin"/>
      </w:r>
      <w:r>
        <w:rPr>
          <w:lang w:val="en-CA"/>
        </w:rPr>
        <w:instrText xml:space="preserve"> STYLEREF 1 \s </w:instrText>
      </w:r>
      <w:r>
        <w:rPr>
          <w:lang w:val="en-CA"/>
        </w:rPr>
      </w:r>
      <w:r>
        <w:rPr>
          <w:lang w:val="en-CA"/>
        </w:rPr>
        <w:fldChar w:fldCharType="separate"/>
      </w:r>
      <w:r>
        <w:rPr>
          <w:lang w:val="en-CA"/>
        </w:rPr>
        <w:t>1</w:t>
      </w:r>
      <w:r>
        <w:rPr>
          <w:lang w:val="en-CA"/>
        </w:rPr>
      </w:r>
      <w:r>
        <w:rPr>
          <w:lang w:val="en-CA"/>
        </w:rPr>
        <w:fldChar w:fldCharType="end"/>
      </w:r>
      <w:r>
        <w:rPr/>
        <w:noBreakHyphen/>
      </w:r>
      <w:r>
        <w:rPr/>
        <w:fldChar w:fldCharType="begin"/>
      </w:r>
      <w:r>
        <w:rPr/>
        <w:instrText xml:space="preserve"> SEQ Table \* ARABIC </w:instrText>
      </w:r>
      <w:r>
        <w:rPr/>
        <w:fldChar w:fldCharType="separate"/>
      </w:r>
      <w:r>
        <w:rPr/>
        <w:t>4</w:t>
      </w:r>
      <w:r>
        <w:rPr/>
        <w:fldChar w:fldCharType="end"/>
      </w:r>
      <w:r>
        <w:rPr/>
        <w:t>.</w:t>
        <w:tab/>
        <w:t>Permits and Clearances Required for the Project.</w:t>
      </w:r>
    </w:p>
    <w:tbl>
      <w:tblPr>
        <w:tblW w:w="8694" w:type="dxa"/>
        <w:jc w:val="center"/>
        <w:tblInd w:w="0" w:type="dxa"/>
        <w:tblLayout w:type="fixed"/>
        <w:tblCellMar>
          <w:top w:w="0" w:type="dxa"/>
          <w:start w:w="72" w:type="dxa"/>
          <w:bottom w:w="0" w:type="dxa"/>
          <w:end w:w="72" w:type="dxa"/>
        </w:tblCellMar>
      </w:tblPr>
      <w:tblGrid>
        <w:gridCol w:w="4950"/>
        <w:gridCol w:w="3744"/>
      </w:tblGrid>
      <w:tr>
        <w:trPr/>
        <w:tc>
          <w:tcPr>
            <w:tcW w:w="4950" w:type="dxa"/>
            <w:tcBorders>
              <w:top w:val="single" w:sz="4" w:space="0" w:color="000000"/>
              <w:start w:val="single" w:sz="4" w:space="0" w:color="000000"/>
              <w:bottom w:val="double" w:sz="4" w:space="0" w:color="000000"/>
              <w:end w:val="single" w:sz="4" w:space="0" w:color="000000"/>
            </w:tcBorders>
          </w:tcPr>
          <w:p>
            <w:pPr>
              <w:pStyle w:val="BodyText1"/>
              <w:spacing w:before="120" w:after="120"/>
              <w:rPr>
                <w:b/>
                <w:sz w:val="20"/>
              </w:rPr>
            </w:pPr>
            <w:r>
              <w:rPr>
                <w:b/>
                <w:sz w:val="20"/>
              </w:rPr>
              <w:t>Agency – Permit/Clearance</w:t>
            </w:r>
          </w:p>
        </w:tc>
        <w:tc>
          <w:tcPr>
            <w:tcW w:w="3744" w:type="dxa"/>
            <w:tcBorders>
              <w:top w:val="single" w:sz="4" w:space="0" w:color="000000"/>
              <w:bottom w:val="double" w:sz="4" w:space="0" w:color="000000"/>
              <w:end w:val="single" w:sz="4" w:space="0" w:color="000000"/>
            </w:tcBorders>
          </w:tcPr>
          <w:p>
            <w:pPr>
              <w:pStyle w:val="BodyText1"/>
              <w:spacing w:before="120" w:after="120"/>
              <w:rPr>
                <w:b/>
                <w:sz w:val="20"/>
              </w:rPr>
            </w:pPr>
            <w:r>
              <w:rPr>
                <w:b/>
                <w:sz w:val="20"/>
              </w:rPr>
              <w:t>Status</w:t>
            </w:r>
          </w:p>
        </w:tc>
      </w:tr>
      <w:tr>
        <w:trPr/>
        <w:tc>
          <w:tcPr>
            <w:tcW w:w="4950" w:type="dxa"/>
            <w:tcBorders>
              <w:start w:val="single" w:sz="4" w:space="0" w:color="000000"/>
              <w:end w:val="single" w:sz="4" w:space="0" w:color="000000"/>
            </w:tcBorders>
          </w:tcPr>
          <w:p>
            <w:pPr>
              <w:pStyle w:val="BodyText1"/>
              <w:spacing w:before="120" w:after="0"/>
              <w:jc w:val="start"/>
              <w:rPr>
                <w:sz w:val="20"/>
              </w:rPr>
            </w:pPr>
            <w:r>
              <w:rPr>
                <w:sz w:val="20"/>
              </w:rPr>
              <w:t>Federal Energy Regulatory Commission</w:t>
            </w:r>
          </w:p>
        </w:tc>
        <w:tc>
          <w:tcPr>
            <w:tcW w:w="3744" w:type="dxa"/>
            <w:tcBorders>
              <w:end w:val="single" w:sz="4" w:space="0" w:color="000000"/>
            </w:tcBorders>
          </w:tcPr>
          <w:p>
            <w:pPr>
              <w:pStyle w:val="BodyText1"/>
              <w:snapToGrid w:val="false"/>
              <w:spacing w:before="120" w:after="0"/>
              <w:rPr>
                <w:sz w:val="20"/>
              </w:rPr>
            </w:pPr>
            <w:r>
              <w:rPr>
                <w:sz w:val="20"/>
              </w:rPr>
            </w:r>
          </w:p>
        </w:tc>
      </w:tr>
      <w:tr>
        <w:trPr/>
        <w:tc>
          <w:tcPr>
            <w:tcW w:w="495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Certificate of Public Convenience and Necessity</w:t>
            </w:r>
          </w:p>
        </w:tc>
        <w:tc>
          <w:tcPr>
            <w:tcW w:w="3744" w:type="dxa"/>
            <w:tcBorders>
              <w:bottom w:val="single" w:sz="4" w:space="0" w:color="000000"/>
              <w:end w:val="single" w:sz="4" w:space="0" w:color="000000"/>
            </w:tcBorders>
          </w:tcPr>
          <w:p>
            <w:pPr>
              <w:pStyle w:val="BodyText1"/>
              <w:spacing w:before="60" w:after="0"/>
              <w:rPr>
                <w:i/>
                <w:i/>
                <w:sz w:val="20"/>
              </w:rPr>
            </w:pPr>
            <w:r>
              <w:rPr>
                <w:i/>
                <w:sz w:val="20"/>
              </w:rPr>
              <w:t>Pending.</w:t>
            </w:r>
          </w:p>
        </w:tc>
      </w:tr>
      <w:tr>
        <w:trPr/>
        <w:tc>
          <w:tcPr>
            <w:tcW w:w="4950" w:type="dxa"/>
            <w:tcBorders>
              <w:start w:val="single" w:sz="4" w:space="0" w:color="000000"/>
              <w:end w:val="single" w:sz="4" w:space="0" w:color="000000"/>
            </w:tcBorders>
          </w:tcPr>
          <w:p>
            <w:pPr>
              <w:pStyle w:val="BodyText1"/>
              <w:spacing w:before="120" w:after="0"/>
              <w:jc w:val="start"/>
              <w:rPr>
                <w:sz w:val="20"/>
              </w:rPr>
            </w:pPr>
            <w:r>
              <w:rPr>
                <w:sz w:val="20"/>
              </w:rPr>
              <w:t>U.S. Fish and Wildlife Service</w:t>
            </w:r>
          </w:p>
        </w:tc>
        <w:tc>
          <w:tcPr>
            <w:tcW w:w="3744" w:type="dxa"/>
            <w:tcBorders>
              <w:end w:val="single" w:sz="4" w:space="0" w:color="000000"/>
            </w:tcBorders>
          </w:tcPr>
          <w:p>
            <w:pPr>
              <w:pStyle w:val="BodyText1"/>
              <w:snapToGrid w:val="false"/>
              <w:spacing w:before="120" w:after="0"/>
              <w:rPr>
                <w:sz w:val="20"/>
              </w:rPr>
            </w:pPr>
            <w:r>
              <w:rPr>
                <w:sz w:val="20"/>
              </w:rPr>
            </w:r>
          </w:p>
        </w:tc>
      </w:tr>
      <w:tr>
        <w:trPr/>
        <w:tc>
          <w:tcPr>
            <w:tcW w:w="495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Federal threatened/endangered species clearance</w:t>
            </w:r>
          </w:p>
        </w:tc>
        <w:tc>
          <w:tcPr>
            <w:tcW w:w="3744" w:type="dxa"/>
            <w:tcBorders>
              <w:bottom w:val="single" w:sz="4" w:space="0" w:color="000000"/>
              <w:end w:val="single" w:sz="4" w:space="0" w:color="000000"/>
            </w:tcBorders>
          </w:tcPr>
          <w:p>
            <w:pPr>
              <w:pStyle w:val="BodyText1"/>
              <w:spacing w:before="60" w:after="0"/>
              <w:rPr>
                <w:i/>
                <w:i/>
                <w:sz w:val="20"/>
              </w:rPr>
            </w:pPr>
            <w:r>
              <w:rPr>
                <w:i/>
                <w:sz w:val="20"/>
              </w:rPr>
              <w:t>Clearance Request submitted February 15, 2001, verbal clearance obtained from Tom Gatz on March 15, 2001..</w:t>
            </w:r>
          </w:p>
        </w:tc>
      </w:tr>
      <w:tr>
        <w:trPr/>
        <w:tc>
          <w:tcPr>
            <w:tcW w:w="4950" w:type="dxa"/>
            <w:tcBorders>
              <w:start w:val="single" w:sz="4" w:space="0" w:color="000000"/>
              <w:end w:val="single" w:sz="4" w:space="0" w:color="000000"/>
            </w:tcBorders>
          </w:tcPr>
          <w:p>
            <w:pPr>
              <w:pStyle w:val="BodyText1"/>
              <w:spacing w:before="120" w:after="0"/>
              <w:jc w:val="start"/>
              <w:rPr>
                <w:sz w:val="20"/>
              </w:rPr>
            </w:pPr>
            <w:r>
              <w:rPr>
                <w:sz w:val="20"/>
              </w:rPr>
              <w:t>U.S. Forest Service</w:t>
            </w:r>
          </w:p>
        </w:tc>
        <w:tc>
          <w:tcPr>
            <w:tcW w:w="3744" w:type="dxa"/>
            <w:tcBorders>
              <w:end w:val="single" w:sz="4" w:space="0" w:color="000000"/>
            </w:tcBorders>
          </w:tcPr>
          <w:p>
            <w:pPr>
              <w:pStyle w:val="BodyText1"/>
              <w:snapToGrid w:val="false"/>
              <w:spacing w:before="120" w:after="0"/>
              <w:rPr>
                <w:sz w:val="20"/>
              </w:rPr>
            </w:pPr>
            <w:r>
              <w:rPr>
                <w:sz w:val="20"/>
              </w:rPr>
            </w:r>
          </w:p>
        </w:tc>
      </w:tr>
      <w:tr>
        <w:trPr/>
        <w:tc>
          <w:tcPr>
            <w:tcW w:w="4950" w:type="dxa"/>
            <w:tcBorders>
              <w:start w:val="single" w:sz="4" w:space="0" w:color="000000"/>
              <w:end w:val="single" w:sz="4" w:space="0" w:color="000000"/>
            </w:tcBorders>
          </w:tcPr>
          <w:p>
            <w:pPr>
              <w:pStyle w:val="BodyText1"/>
              <w:spacing w:before="60" w:after="0"/>
              <w:ind w:start="288" w:end="0"/>
              <w:jc w:val="start"/>
              <w:rPr>
                <w:i/>
                <w:i/>
                <w:sz w:val="20"/>
              </w:rPr>
            </w:pPr>
            <w:r>
              <w:rPr>
                <w:i/>
                <w:sz w:val="20"/>
              </w:rPr>
              <w:t>Pre-construction notification pursuant to existing special use permit.</w:t>
            </w:r>
          </w:p>
        </w:tc>
        <w:tc>
          <w:tcPr>
            <w:tcW w:w="3744" w:type="dxa"/>
            <w:tcBorders>
              <w:end w:val="single" w:sz="4" w:space="0" w:color="000000"/>
            </w:tcBorders>
          </w:tcPr>
          <w:p>
            <w:pPr>
              <w:pStyle w:val="BodyText1"/>
              <w:spacing w:before="60" w:after="0"/>
              <w:rPr>
                <w:i/>
                <w:i/>
                <w:sz w:val="20"/>
              </w:rPr>
            </w:pPr>
            <w:r>
              <w:rPr>
                <w:i/>
                <w:sz w:val="20"/>
              </w:rPr>
              <w:t>Transwestern submitted notification on March 21, 2001.  Approval expected by April 5, 2001.</w:t>
            </w:r>
          </w:p>
        </w:tc>
      </w:tr>
      <w:tr>
        <w:trPr/>
        <w:tc>
          <w:tcPr>
            <w:tcW w:w="4950" w:type="dxa"/>
            <w:tcBorders>
              <w:start w:val="single" w:sz="4" w:space="0" w:color="000000"/>
              <w:end w:val="single" w:sz="4" w:space="0" w:color="000000"/>
            </w:tcBorders>
          </w:tcPr>
          <w:p>
            <w:pPr>
              <w:pStyle w:val="BodyText1"/>
              <w:spacing w:before="120" w:after="0"/>
              <w:jc w:val="start"/>
              <w:rPr>
                <w:sz w:val="20"/>
              </w:rPr>
            </w:pPr>
            <w:r>
              <w:rPr>
                <w:sz w:val="20"/>
              </w:rPr>
              <w:t>Arizona Department of Fish and Game</w:t>
            </w:r>
          </w:p>
        </w:tc>
        <w:tc>
          <w:tcPr>
            <w:tcW w:w="3744" w:type="dxa"/>
            <w:tcBorders>
              <w:end w:val="single" w:sz="4" w:space="0" w:color="000000"/>
            </w:tcBorders>
          </w:tcPr>
          <w:p>
            <w:pPr>
              <w:pStyle w:val="BodyText1"/>
              <w:snapToGrid w:val="false"/>
              <w:spacing w:before="120" w:after="0"/>
              <w:rPr>
                <w:sz w:val="20"/>
              </w:rPr>
            </w:pPr>
            <w:r>
              <w:rPr>
                <w:sz w:val="20"/>
              </w:rPr>
            </w:r>
          </w:p>
        </w:tc>
      </w:tr>
      <w:tr>
        <w:trPr/>
        <w:tc>
          <w:tcPr>
            <w:tcW w:w="495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State threatened/endangered species clearance</w:t>
            </w:r>
          </w:p>
        </w:tc>
        <w:tc>
          <w:tcPr>
            <w:tcW w:w="3744" w:type="dxa"/>
            <w:tcBorders>
              <w:bottom w:val="single" w:sz="4" w:space="0" w:color="000000"/>
              <w:end w:val="single" w:sz="4" w:space="0" w:color="000000"/>
            </w:tcBorders>
          </w:tcPr>
          <w:p>
            <w:pPr>
              <w:pStyle w:val="BodyText1"/>
              <w:spacing w:before="60" w:after="0"/>
              <w:rPr>
                <w:i/>
                <w:i/>
                <w:sz w:val="20"/>
              </w:rPr>
            </w:pPr>
            <w:r>
              <w:rPr>
                <w:i/>
                <w:sz w:val="20"/>
              </w:rPr>
              <w:t>Clearance Request submitted February 15, 2001.</w:t>
            </w:r>
          </w:p>
        </w:tc>
      </w:tr>
      <w:tr>
        <w:trPr/>
        <w:tc>
          <w:tcPr>
            <w:tcW w:w="4950" w:type="dxa"/>
            <w:tcBorders>
              <w:start w:val="single" w:sz="4" w:space="0" w:color="000000"/>
              <w:end w:val="single" w:sz="4" w:space="0" w:color="000000"/>
            </w:tcBorders>
          </w:tcPr>
          <w:p>
            <w:pPr>
              <w:pStyle w:val="BodyText1"/>
              <w:spacing w:before="120" w:after="0"/>
              <w:jc w:val="start"/>
              <w:rPr>
                <w:sz w:val="20"/>
              </w:rPr>
            </w:pPr>
            <w:r>
              <w:rPr>
                <w:sz w:val="20"/>
              </w:rPr>
              <w:t>Arizona State Historic Preservation Office</w:t>
            </w:r>
          </w:p>
        </w:tc>
        <w:tc>
          <w:tcPr>
            <w:tcW w:w="3744" w:type="dxa"/>
            <w:tcBorders>
              <w:end w:val="single" w:sz="4" w:space="0" w:color="000000"/>
            </w:tcBorders>
          </w:tcPr>
          <w:p>
            <w:pPr>
              <w:pStyle w:val="BodyText1"/>
              <w:snapToGrid w:val="false"/>
              <w:spacing w:before="120" w:after="0"/>
              <w:rPr>
                <w:sz w:val="20"/>
              </w:rPr>
            </w:pPr>
            <w:r>
              <w:rPr>
                <w:sz w:val="20"/>
              </w:rPr>
            </w:r>
          </w:p>
        </w:tc>
      </w:tr>
      <w:tr>
        <w:trPr/>
        <w:tc>
          <w:tcPr>
            <w:tcW w:w="495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Cultural resource clearance</w:t>
            </w:r>
          </w:p>
        </w:tc>
        <w:tc>
          <w:tcPr>
            <w:tcW w:w="3744" w:type="dxa"/>
            <w:tcBorders>
              <w:bottom w:val="single" w:sz="4" w:space="0" w:color="000000"/>
              <w:end w:val="single" w:sz="4" w:space="0" w:color="000000"/>
            </w:tcBorders>
          </w:tcPr>
          <w:p>
            <w:pPr>
              <w:pStyle w:val="BodyText1"/>
              <w:spacing w:before="60" w:after="0"/>
              <w:rPr>
                <w:i/>
                <w:i/>
                <w:sz w:val="20"/>
              </w:rPr>
            </w:pPr>
            <w:r>
              <w:rPr>
                <w:i/>
                <w:sz w:val="20"/>
              </w:rPr>
              <w:t>Clearance Request submitted February 15, 2001.  Surveys completed, reports pending.</w:t>
            </w:r>
          </w:p>
        </w:tc>
      </w:tr>
      <w:tr>
        <w:trPr/>
        <w:tc>
          <w:tcPr>
            <w:tcW w:w="4950" w:type="dxa"/>
            <w:tcBorders>
              <w:start w:val="single" w:sz="4" w:space="0" w:color="000000"/>
              <w:end w:val="single" w:sz="4" w:space="0" w:color="000000"/>
            </w:tcBorders>
          </w:tcPr>
          <w:p>
            <w:pPr>
              <w:pStyle w:val="BodyText1"/>
              <w:spacing w:before="120" w:after="0"/>
              <w:jc w:val="start"/>
              <w:rPr>
                <w:sz w:val="20"/>
              </w:rPr>
            </w:pPr>
            <w:r>
              <w:rPr>
                <w:sz w:val="20"/>
              </w:rPr>
              <w:t>Navajo Nation, Department of Fish and Wildlife</w:t>
            </w:r>
          </w:p>
        </w:tc>
        <w:tc>
          <w:tcPr>
            <w:tcW w:w="3744" w:type="dxa"/>
            <w:tcBorders>
              <w:end w:val="single" w:sz="4" w:space="0" w:color="000000"/>
            </w:tcBorders>
          </w:tcPr>
          <w:p>
            <w:pPr>
              <w:pStyle w:val="BodyText1"/>
              <w:snapToGrid w:val="false"/>
              <w:spacing w:before="120" w:after="0"/>
              <w:rPr>
                <w:sz w:val="20"/>
              </w:rPr>
            </w:pPr>
            <w:r>
              <w:rPr>
                <w:sz w:val="20"/>
              </w:rPr>
            </w:r>
          </w:p>
        </w:tc>
      </w:tr>
      <w:tr>
        <w:trPr/>
        <w:tc>
          <w:tcPr>
            <w:tcW w:w="495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Threatened/endangered species clearance.</w:t>
            </w:r>
          </w:p>
        </w:tc>
        <w:tc>
          <w:tcPr>
            <w:tcW w:w="3744" w:type="dxa"/>
            <w:tcBorders>
              <w:bottom w:val="single" w:sz="4" w:space="0" w:color="000000"/>
              <w:end w:val="single" w:sz="4" w:space="0" w:color="000000"/>
            </w:tcBorders>
          </w:tcPr>
          <w:p>
            <w:pPr>
              <w:pStyle w:val="BodyText1"/>
              <w:spacing w:before="60" w:after="0"/>
              <w:rPr>
                <w:i/>
                <w:i/>
                <w:sz w:val="20"/>
              </w:rPr>
            </w:pPr>
            <w:r>
              <w:rPr>
                <w:i/>
                <w:sz w:val="20"/>
              </w:rPr>
              <w:t>Clearance Request submitted February 15, 2001, verbal clearance obtained from John Nystedt on March 12, 2001.</w:t>
            </w:r>
          </w:p>
        </w:tc>
      </w:tr>
      <w:tr>
        <w:trPr/>
        <w:tc>
          <w:tcPr>
            <w:tcW w:w="4950" w:type="dxa"/>
            <w:tcBorders>
              <w:start w:val="single" w:sz="4" w:space="0" w:color="000000"/>
              <w:end w:val="single" w:sz="4" w:space="0" w:color="000000"/>
            </w:tcBorders>
          </w:tcPr>
          <w:p>
            <w:pPr>
              <w:pStyle w:val="BodyText1"/>
              <w:spacing w:before="120" w:after="0"/>
              <w:jc w:val="start"/>
              <w:rPr>
                <w:sz w:val="20"/>
              </w:rPr>
            </w:pPr>
            <w:r>
              <w:rPr>
                <w:sz w:val="20"/>
              </w:rPr>
              <w:t>Navajo Nation, Department of Navajo Archeology</w:t>
            </w:r>
          </w:p>
        </w:tc>
        <w:tc>
          <w:tcPr>
            <w:tcW w:w="3744" w:type="dxa"/>
            <w:tcBorders>
              <w:end w:val="single" w:sz="4" w:space="0" w:color="000000"/>
            </w:tcBorders>
          </w:tcPr>
          <w:p>
            <w:pPr>
              <w:pStyle w:val="BodyText1"/>
              <w:snapToGrid w:val="false"/>
              <w:spacing w:before="120" w:after="0"/>
              <w:rPr>
                <w:sz w:val="20"/>
              </w:rPr>
            </w:pPr>
            <w:r>
              <w:rPr>
                <w:sz w:val="20"/>
              </w:rPr>
            </w:r>
          </w:p>
        </w:tc>
      </w:tr>
      <w:tr>
        <w:trPr/>
        <w:tc>
          <w:tcPr>
            <w:tcW w:w="495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Cultural resource clearance</w:t>
            </w:r>
          </w:p>
        </w:tc>
        <w:tc>
          <w:tcPr>
            <w:tcW w:w="3744" w:type="dxa"/>
            <w:tcBorders>
              <w:bottom w:val="single" w:sz="4" w:space="0" w:color="000000"/>
              <w:end w:val="single" w:sz="4" w:space="0" w:color="000000"/>
            </w:tcBorders>
          </w:tcPr>
          <w:p>
            <w:pPr>
              <w:pStyle w:val="BodyText1"/>
              <w:spacing w:before="60" w:after="0"/>
              <w:rPr>
                <w:i/>
                <w:i/>
                <w:sz w:val="20"/>
              </w:rPr>
            </w:pPr>
            <w:r>
              <w:rPr>
                <w:i/>
                <w:sz w:val="20"/>
              </w:rPr>
              <w:t>Clearance Request submitted February 15, 2001.  Surveys completed, reports pending.</w:t>
            </w:r>
          </w:p>
        </w:tc>
      </w:tr>
      <w:tr>
        <w:trPr/>
        <w:tc>
          <w:tcPr>
            <w:tcW w:w="4950" w:type="dxa"/>
            <w:tcBorders>
              <w:start w:val="single" w:sz="4" w:space="0" w:color="000000"/>
              <w:end w:val="single" w:sz="4" w:space="0" w:color="000000"/>
            </w:tcBorders>
          </w:tcPr>
          <w:p>
            <w:pPr>
              <w:pStyle w:val="BodyText1"/>
              <w:spacing w:before="120" w:after="0"/>
              <w:jc w:val="start"/>
              <w:rPr>
                <w:sz w:val="20"/>
              </w:rPr>
            </w:pPr>
            <w:r>
              <w:rPr>
                <w:sz w:val="20"/>
              </w:rPr>
              <w:t>Arizona Department of Environmental Quality</w:t>
            </w:r>
          </w:p>
        </w:tc>
        <w:tc>
          <w:tcPr>
            <w:tcW w:w="3744" w:type="dxa"/>
            <w:tcBorders>
              <w:end w:val="single" w:sz="4" w:space="0" w:color="000000"/>
            </w:tcBorders>
          </w:tcPr>
          <w:p>
            <w:pPr>
              <w:pStyle w:val="BodyText1"/>
              <w:snapToGrid w:val="false"/>
              <w:spacing w:before="120" w:after="0"/>
              <w:rPr>
                <w:sz w:val="20"/>
              </w:rPr>
            </w:pPr>
            <w:r>
              <w:rPr>
                <w:sz w:val="20"/>
              </w:rPr>
            </w:r>
          </w:p>
        </w:tc>
      </w:tr>
      <w:tr>
        <w:trPr/>
        <w:tc>
          <w:tcPr>
            <w:tcW w:w="495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Air permit (Station 3 and 4)</w:t>
            </w:r>
          </w:p>
        </w:tc>
        <w:tc>
          <w:tcPr>
            <w:tcW w:w="3744" w:type="dxa"/>
            <w:tcBorders>
              <w:bottom w:val="single" w:sz="4" w:space="0" w:color="000000"/>
              <w:end w:val="single" w:sz="4" w:space="0" w:color="000000"/>
            </w:tcBorders>
          </w:tcPr>
          <w:p>
            <w:pPr>
              <w:pStyle w:val="BodyText1"/>
              <w:spacing w:before="60" w:after="0"/>
              <w:rPr>
                <w:i/>
                <w:i/>
                <w:sz w:val="20"/>
              </w:rPr>
            </w:pPr>
            <w:r>
              <w:rPr>
                <w:i/>
                <w:sz w:val="20"/>
              </w:rPr>
              <w:t>Air permit applications for Station 3 and 4 to be submitted by March 26, 2001.  Permit expected by October 1, 2001.</w:t>
            </w:r>
          </w:p>
        </w:tc>
      </w:tr>
      <w:tr>
        <w:trPr/>
        <w:tc>
          <w:tcPr>
            <w:tcW w:w="4950" w:type="dxa"/>
            <w:tcBorders>
              <w:start w:val="single" w:sz="4" w:space="0" w:color="000000"/>
              <w:end w:val="single" w:sz="4" w:space="0" w:color="000000"/>
            </w:tcBorders>
          </w:tcPr>
          <w:p>
            <w:pPr>
              <w:pStyle w:val="BodyText1"/>
              <w:spacing w:before="120" w:after="0"/>
              <w:jc w:val="start"/>
              <w:rPr>
                <w:sz w:val="20"/>
              </w:rPr>
            </w:pPr>
            <w:r>
              <w:rPr>
                <w:sz w:val="20"/>
              </w:rPr>
              <w:t>Environmental Protection Agency</w:t>
            </w:r>
          </w:p>
        </w:tc>
        <w:tc>
          <w:tcPr>
            <w:tcW w:w="3744" w:type="dxa"/>
            <w:tcBorders>
              <w:end w:val="single" w:sz="4" w:space="0" w:color="000000"/>
            </w:tcBorders>
          </w:tcPr>
          <w:p>
            <w:pPr>
              <w:pStyle w:val="BodyText1"/>
              <w:snapToGrid w:val="false"/>
              <w:spacing w:before="120" w:after="0"/>
              <w:rPr>
                <w:sz w:val="20"/>
              </w:rPr>
            </w:pPr>
            <w:r>
              <w:rPr>
                <w:sz w:val="20"/>
              </w:rPr>
            </w:r>
          </w:p>
        </w:tc>
      </w:tr>
      <w:tr>
        <w:trPr/>
        <w:tc>
          <w:tcPr>
            <w:tcW w:w="495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Air permit (Station 1 and 2)</w:t>
            </w:r>
          </w:p>
        </w:tc>
        <w:tc>
          <w:tcPr>
            <w:tcW w:w="3744" w:type="dxa"/>
            <w:tcBorders>
              <w:bottom w:val="single" w:sz="4" w:space="0" w:color="000000"/>
              <w:end w:val="single" w:sz="4" w:space="0" w:color="000000"/>
            </w:tcBorders>
          </w:tcPr>
          <w:p>
            <w:pPr>
              <w:pStyle w:val="BodyText1"/>
              <w:spacing w:before="60" w:after="0"/>
              <w:rPr>
                <w:i/>
                <w:i/>
                <w:sz w:val="20"/>
              </w:rPr>
            </w:pPr>
            <w:r>
              <w:rPr>
                <w:i/>
                <w:sz w:val="20"/>
              </w:rPr>
              <w:t>Transwestern attended a pre-application meeting with EPA on March 20, 2001.  Permit applications are being prepared based on the meeting and are expected to be submitted by April 2001.</w:t>
            </w:r>
          </w:p>
        </w:tc>
      </w:tr>
    </w:tbl>
    <w:p>
      <w:pPr>
        <w:pStyle w:val="BodyText1"/>
        <w:rPr/>
      </w:pPr>
      <w:r>
        <w:rPr/>
      </w:r>
      <w:r>
        <w:br w:type="page"/>
      </w:r>
    </w:p>
    <w:p>
      <w:pPr>
        <w:pStyle w:val="Heading1"/>
        <w:ind w:hanging="0" w:start="0"/>
        <w:rPr/>
      </w:pPr>
      <w:bookmarkStart w:id="15" w:name="__RefHeading___Toc509915822"/>
      <w:bookmarkEnd w:id="15"/>
      <w:r>
        <w:rPr/>
        <w:t>Water Use and Quality</w:t>
      </w:r>
    </w:p>
    <w:p>
      <w:pPr>
        <w:pStyle w:val="BodyText1"/>
        <w:rPr/>
      </w:pPr>
      <w:r>
        <w:rPr/>
        <w:t>All work will be conducted within existing fenced-in compressor station facilities.  No surface waters occur within the proposed construction areas.  Consequently, no adverse impacts to surface or ground water are expected.  Therefore no detailed discussion has been presented.</w:t>
      </w:r>
    </w:p>
    <w:p>
      <w:pPr>
        <w:pStyle w:val="BodyText1"/>
        <w:rPr/>
      </w:pPr>
      <w:r>
        <w:rPr/>
        <w:t xml:space="preserve">Transwestern will hydrostatically test station piping.  At this time, Transwestern proposes to use nearby municipal water or a local potable well.  Water will be tested prior to usage to ensure that there are no contamination concerns.  Test water will be discharged within each station yard and allowed to soak into the ground.  Transwestern will use an appropriate dissipation device to control potential erosion.  Other sediment and erosion controls as outlined in Transwestern’s </w:t>
      </w:r>
      <w:r>
        <w:rPr>
          <w:i/>
        </w:rPr>
        <w:t>Plan</w:t>
      </w:r>
      <w:r>
        <w:rPr/>
        <w:t xml:space="preserve"> will be utilized to maintain test water on-site.</w:t>
      </w:r>
    </w:p>
    <w:p>
      <w:pPr>
        <w:pStyle w:val="Heading1"/>
        <w:ind w:hanging="0" w:start="0"/>
        <w:rPr/>
      </w:pPr>
      <w:bookmarkStart w:id="16" w:name="__RefHeading___Toc509915823"/>
      <w:bookmarkEnd w:id="16"/>
      <w:r>
        <w:rPr/>
        <w:t>Vegetation and Wildlife</w:t>
      </w:r>
    </w:p>
    <w:p>
      <w:pPr>
        <w:pStyle w:val="BodyText1"/>
        <w:rPr/>
      </w:pPr>
      <w:r>
        <w:rPr/>
        <w:t>All work will be conducted within existing fenced-in compressor station facilities.  Previous construction and operation activities have disturbed the majority of each site.  On going operations, including vehicular traffic, foot traffic and vegetation maintenance (such as mowing), have also disturbed each site.  Consequently, no significant adverse impacts to vegetation or wildlife are expected.  Therefore only a brief overview has been presented.</w:t>
      </w:r>
    </w:p>
    <w:p>
      <w:pPr>
        <w:pStyle w:val="BodyText1"/>
        <w:rPr/>
      </w:pPr>
      <w:r>
        <w:rPr/>
        <w:t>Vegetation types in and around each compressor station site were determined based on a review of available USGS aerial photographs, published maps and previous knowledge of the ecosystems present near the compressor stations.  Vegetation types have been summarized below.</w:t>
      </w:r>
    </w:p>
    <w:p>
      <w:pPr>
        <w:pStyle w:val="BodyText1"/>
        <w:numPr>
          <w:ilvl w:val="0"/>
          <w:numId w:val="6"/>
        </w:numPr>
        <w:rPr/>
      </w:pPr>
      <w:r>
        <w:rPr>
          <w:i/>
        </w:rPr>
        <w:t>Station 1</w:t>
      </w:r>
      <w:r>
        <w:rPr/>
        <w:t>.  Vegetation near the Kingman Compressor Station is dominantly Mohave Desert scrub species such as creosotebush (</w:t>
      </w:r>
      <w:r>
        <w:rPr>
          <w:i/>
        </w:rPr>
        <w:t>Larrea tridentata</w:t>
      </w:r>
      <w:r>
        <w:rPr/>
        <w:t>), all-scale (</w:t>
      </w:r>
      <w:r>
        <w:rPr>
          <w:i/>
        </w:rPr>
        <w:t>Atriplex polycarpa</w:t>
      </w:r>
      <w:r>
        <w:rPr/>
        <w:t>), brittlebush (</w:t>
      </w:r>
      <w:r>
        <w:rPr>
          <w:i/>
        </w:rPr>
        <w:t>Encelia farinosa</w:t>
      </w:r>
      <w:r>
        <w:rPr/>
        <w:t>) and desert holly (</w:t>
      </w:r>
      <w:r>
        <w:rPr>
          <w:i/>
        </w:rPr>
        <w:t>Atriplex hymenelytra</w:t>
      </w:r>
      <w:r>
        <w:rPr/>
        <w:t>).  Cacti also may be present along with a few grass species.</w:t>
      </w:r>
    </w:p>
    <w:p>
      <w:pPr>
        <w:pStyle w:val="BodyText1"/>
        <w:numPr>
          <w:ilvl w:val="0"/>
          <w:numId w:val="2"/>
        </w:numPr>
        <w:rPr/>
      </w:pPr>
      <w:r>
        <w:rPr>
          <w:i/>
        </w:rPr>
        <w:t>Station 2</w:t>
      </w:r>
      <w:r>
        <w:rPr/>
        <w:t>.  Vegetation in and around the Flagstaff Station is dominantly ponderosa pine (</w:t>
      </w:r>
      <w:r>
        <w:rPr>
          <w:i/>
        </w:rPr>
        <w:t>Pinus ponderosa</w:t>
      </w:r>
      <w:r>
        <w:rPr/>
        <w:t>) with understory vegetation consisting of mutton bluegrass (</w:t>
      </w:r>
      <w:r>
        <w:rPr>
          <w:i/>
        </w:rPr>
        <w:t>Poa fendlerlana</w:t>
      </w:r>
      <w:r>
        <w:rPr/>
        <w:t>) and pine dropseed (</w:t>
      </w:r>
      <w:r>
        <w:rPr>
          <w:i/>
        </w:rPr>
        <w:t>Blepharoneuron tricholepis</w:t>
      </w:r>
      <w:r>
        <w:rPr/>
        <w:t>).  Transwestern has maintained some of the existing ponderosa pine (</w:t>
      </w:r>
      <w:r>
        <w:rPr>
          <w:i/>
        </w:rPr>
        <w:t>Pinus ponderosa</w:t>
      </w:r>
      <w:r>
        <w:rPr/>
        <w:t>) trees within a portion of this site.  Some of these trees will be removed to facilitate safe construction of the proposed compressor unit.  Removal of these trees will not significantly impact vegetative resources, since similar habitat is abundant surrounding Station 2.  Additionally, Transwestern has contacted the U.S. Forest Service (USFS) to make sure tree removal poses no other concerns.</w:t>
      </w:r>
    </w:p>
    <w:p>
      <w:pPr>
        <w:pStyle w:val="BodyText1"/>
        <w:numPr>
          <w:ilvl w:val="0"/>
          <w:numId w:val="5"/>
        </w:numPr>
        <w:rPr/>
      </w:pPr>
      <w:r>
        <w:rPr>
          <w:i/>
        </w:rPr>
        <w:t>Station 3</w:t>
      </w:r>
      <w:r>
        <w:rPr/>
        <w:t>.  Grassland steppe is the primary vegetation coverage at the Leupp Compressor Station site.  Grass species include black grama (</w:t>
      </w:r>
      <w:r>
        <w:rPr>
          <w:i/>
        </w:rPr>
        <w:t>Bouteloua eriopoda</w:t>
      </w:r>
      <w:r>
        <w:rPr/>
        <w:t>), blue grama (</w:t>
      </w:r>
      <w:r>
        <w:rPr>
          <w:i/>
        </w:rPr>
        <w:t>B. gracilis</w:t>
      </w:r>
      <w:r>
        <w:rPr/>
        <w:t>), galleta grass (</w:t>
      </w:r>
      <w:r>
        <w:rPr>
          <w:i/>
        </w:rPr>
        <w:t>Hilaria jamesii</w:t>
      </w:r>
      <w:r>
        <w:rPr/>
        <w:t>), bluegrass (</w:t>
      </w:r>
      <w:r>
        <w:rPr>
          <w:i/>
        </w:rPr>
        <w:t>Poa</w:t>
      </w:r>
      <w:r>
        <w:rPr/>
        <w:t xml:space="preserve"> spp.), needlegrasses (</w:t>
      </w:r>
      <w:r>
        <w:rPr>
          <w:i/>
        </w:rPr>
        <w:t>Stipa</w:t>
      </w:r>
      <w:r>
        <w:rPr/>
        <w:t xml:space="preserve"> spp.), and Indian ricegrass (</w:t>
      </w:r>
      <w:r>
        <w:rPr>
          <w:i/>
        </w:rPr>
        <w:t>Oryzopsis hymenoides</w:t>
      </w:r>
      <w:r>
        <w:rPr/>
        <w:t>) along with others may be found. Several cacti, including cholla, prickly pear, and hedgehog cacti, may also occur near the station.</w:t>
      </w:r>
    </w:p>
    <w:p>
      <w:pPr>
        <w:pStyle w:val="BodyText1"/>
        <w:numPr>
          <w:ilvl w:val="0"/>
          <w:numId w:val="3"/>
        </w:numPr>
        <w:rPr/>
      </w:pPr>
      <w:r>
        <w:rPr>
          <w:i/>
        </w:rPr>
        <w:t>Station 4</w:t>
      </w:r>
      <w:r>
        <w:rPr/>
        <w:t>.  The dominant vegetation type located in and near the Klagetoh Compressor Station is pinyon-juniper woodland and includes pinyon (</w:t>
      </w:r>
      <w:r>
        <w:rPr>
          <w:i/>
        </w:rPr>
        <w:t>Pinus edulis</w:t>
      </w:r>
      <w:r>
        <w:rPr/>
        <w:t>) and Rocky Mountain juniper (</w:t>
      </w:r>
      <w:r>
        <w:rPr>
          <w:i/>
        </w:rPr>
        <w:t>Juniperus scopulorum</w:t>
      </w:r>
      <w:r>
        <w:rPr/>
        <w:t>).  The understory vegetation is typically composed of a variety of grass species such as blue grama, galleta grass, and Indian ricegrass.  Forb species such as threadleaf groundsel (</w:t>
      </w:r>
      <w:r>
        <w:rPr>
          <w:i/>
        </w:rPr>
        <w:t>Senecio longilobus</w:t>
      </w:r>
      <w:r>
        <w:rPr/>
        <w:t>) and snakeweed (</w:t>
      </w:r>
      <w:r>
        <w:rPr>
          <w:i/>
        </w:rPr>
        <w:t>Gutierrezia sarothrae</w:t>
      </w:r>
      <w:r>
        <w:rPr/>
        <w:t>) may also occur.</w:t>
      </w:r>
    </w:p>
    <w:p>
      <w:pPr>
        <w:pStyle w:val="BodyText1"/>
        <w:rPr/>
      </w:pPr>
      <w:r>
        <w:rPr/>
        <w:t xml:space="preserve">Transwestern has also requested comments about the proposed project from the U.S. Fish and Wildlife Service (USFWS), Arizona Department of Fish and Game (ADFG) and Navajo Nation Department of Fish and Wildlife (NNDFW).  Copies of these requests have been provided in </w:t>
      </w:r>
      <w:r>
        <w:rPr>
          <w:b/>
        </w:rPr>
        <w:t>Appendix B</w:t>
      </w:r>
      <w:r>
        <w:rPr/>
        <w:t xml:space="preserve">.  To date, Transwestern has received verbal responses from the USFWS and NNDFW.  Based on these responses, no threatened and/or endangered species or environmentally sensitive habitats in or near the project area will be affected by the proposed action.  Copies of phone logs have been provided in </w:t>
      </w:r>
      <w:r>
        <w:rPr>
          <w:b/>
        </w:rPr>
        <w:t>Appendix B</w:t>
      </w:r>
      <w:r>
        <w:rPr/>
        <w:t>.  Written responses from both agencies will be provided to FERC as soon as they are received.</w:t>
      </w:r>
    </w:p>
    <w:p>
      <w:pPr>
        <w:pStyle w:val="Heading1"/>
        <w:ind w:hanging="0" w:start="0"/>
        <w:rPr/>
      </w:pPr>
      <w:bookmarkStart w:id="17" w:name="__RefHeading___Toc509915824"/>
      <w:bookmarkEnd w:id="17"/>
      <w:r>
        <w:rPr/>
        <w:t>Cultural Resources</w:t>
      </w:r>
    </w:p>
    <w:p>
      <w:pPr>
        <w:pStyle w:val="BodyText1"/>
        <w:rPr/>
      </w:pPr>
      <w:r>
        <w:rPr/>
        <w:t xml:space="preserve">All work will be conducted within existing fenced-in compressor station facilities.  Consequently, no impacts to cultural resources are expected.  However, to ensure that no cultural resources near the project area will be affected by the proposed action, Transwestern has requested comments from the Arizona State Historic Preservation Office (SHPO) and the Department of Navajo Archeology.  Copies of these requests and responses received to date have been provided in </w:t>
      </w:r>
      <w:r>
        <w:rPr>
          <w:b/>
        </w:rPr>
        <w:t>Appendix B</w:t>
      </w:r>
      <w:r>
        <w:rPr/>
        <w:t>.</w:t>
      </w:r>
    </w:p>
    <w:p>
      <w:pPr>
        <w:pStyle w:val="BodyText1"/>
        <w:rPr/>
      </w:pPr>
      <w:r>
        <w:rPr/>
        <w:t>In response to Transwestern’s request, the Department of Navajo Archeology asked that cultural resource surveys be conducted at the two stations (3 and 4) located on Navajo Nation land.  Department of Navajo Archeology policy requires cultural resource surveys for any “new undertaking” (i.e. ground breaking activity) regardless of previous disturbance.</w:t>
      </w:r>
    </w:p>
    <w:p>
      <w:pPr>
        <w:pStyle w:val="BodyText1"/>
        <w:rPr/>
      </w:pPr>
      <w:r>
        <w:rPr/>
        <w:t>Likewise, the USFS requested that a cultural resource survey be conducted at Station 2.  In anticipation that the SHPO may also suggest that cultural resource surveys be conducted, Transwestern decided to have surveys completed at all four stations.</w:t>
      </w:r>
    </w:p>
    <w:p>
      <w:pPr>
        <w:pStyle w:val="BodyText1"/>
        <w:rPr>
          <w:highlight w:val="yellow"/>
        </w:rPr>
      </w:pPr>
      <w:r>
        <w:rPr/>
        <w:t>Cultural resource surveys were conducted during the week of March 12, 2001 for Stations 3 and 4.  Surveys for Stations 1 and 2 were completed during the week of March 19, 2001.  Results of the surveys indicated that no cultural resources occur within any area proposed for construction.</w:t>
      </w:r>
    </w:p>
    <w:p>
      <w:pPr>
        <w:pStyle w:val="BodyText1"/>
        <w:rPr/>
      </w:pPr>
      <w:r>
        <w:rPr/>
        <w:t>Reports for each station are currently being prepared. Copies of the reports will be provided to FERC as soon as they are available.  Reports are expected to be completed by available ___, 2001.</w:t>
      </w:r>
    </w:p>
    <w:p>
      <w:pPr>
        <w:pStyle w:val="Heading1"/>
        <w:ind w:hanging="0" w:start="0"/>
        <w:rPr/>
      </w:pPr>
      <w:bookmarkStart w:id="18" w:name="__RefHeading___Toc509915825"/>
      <w:bookmarkEnd w:id="18"/>
      <w:r>
        <w:rPr/>
        <w:t>Socioeconomics</w:t>
      </w:r>
    </w:p>
    <w:p>
      <w:pPr>
        <w:pStyle w:val="BodyText1"/>
        <w:rPr/>
      </w:pPr>
      <w:r>
        <w:rPr/>
        <w:t>The proposed project does not include the construction of a major pipeline or significant new above ground facilities.  Consequently, no impacts to socioeconomic resources are expected.  Therefore no discussion is presented.</w:t>
      </w:r>
    </w:p>
    <w:p>
      <w:pPr>
        <w:pStyle w:val="Heading1"/>
        <w:ind w:hanging="0" w:start="0"/>
        <w:rPr/>
      </w:pPr>
      <w:bookmarkStart w:id="19" w:name="__RefHeading___Toc509915826"/>
      <w:bookmarkEnd w:id="19"/>
      <w:r>
        <w:rPr/>
        <w:t>Geological Resources</w:t>
      </w:r>
    </w:p>
    <w:p>
      <w:pPr>
        <w:pStyle w:val="BodyText1"/>
        <w:rPr/>
      </w:pPr>
      <w:r>
        <w:rPr/>
        <w:t>All work will be conducted within existing fenced-in compressor station facilities.  No blasting is anticipated and no known geological hazards exist near the stations. Consequently, no adverse impacts to geological resources are expected.  Therefore no further discussion is presented.</w:t>
      </w:r>
    </w:p>
    <w:p>
      <w:pPr>
        <w:pStyle w:val="Heading1"/>
        <w:ind w:hanging="0" w:start="0"/>
        <w:rPr/>
      </w:pPr>
      <w:bookmarkStart w:id="20" w:name="__RefHeading___Toc509915827"/>
      <w:bookmarkEnd w:id="20"/>
      <w:r>
        <w:rPr/>
        <w:t>Soils</w:t>
      </w:r>
    </w:p>
    <w:p>
      <w:pPr>
        <w:pStyle w:val="BodyText1"/>
        <w:rPr/>
      </w:pPr>
      <w:r>
        <w:rPr/>
        <w:t>The Natural Resources Conservation Service (NRCS) has not mapped the soils for the areas in which these compressor stations currently reside; therefore soils information is not readily available.  Additionally, all work will be conducted within existing fenced-in compressor station facilities.  Topography at each station is relatively flat, thus erosion potential is relatively low.  Consequently, no adverse impacts to soils are expected.  Therefore, no detailed discussion has been presented.</w:t>
      </w:r>
    </w:p>
    <w:p>
      <w:pPr>
        <w:pStyle w:val="BodyText1"/>
        <w:rPr/>
      </w:pPr>
      <w:r>
        <w:rPr/>
        <w:t xml:space="preserve">However, soils disturbed during construction are more vulnerable to wind and water erosion.  To ensure that impacts to soils are minimized, Transwestern will follow guidelines described in its </w:t>
      </w:r>
      <w:r>
        <w:rPr>
          <w:i/>
        </w:rPr>
        <w:t>Plan</w:t>
      </w:r>
      <w:r>
        <w:rPr/>
        <w:t xml:space="preserve">.  A copy of the </w:t>
      </w:r>
      <w:r>
        <w:rPr>
          <w:i/>
        </w:rPr>
        <w:t>Plan</w:t>
      </w:r>
      <w:r>
        <w:rPr/>
        <w:t xml:space="preserve"> is provided in </w:t>
      </w:r>
      <w:r>
        <w:rPr>
          <w:b/>
        </w:rPr>
        <w:t>Appendix C</w:t>
      </w:r>
      <w:r>
        <w:rPr/>
        <w:t xml:space="preserve">.  Transwestern’s </w:t>
      </w:r>
      <w:r>
        <w:rPr>
          <w:i/>
        </w:rPr>
        <w:t>Plan</w:t>
      </w:r>
      <w:r>
        <w:rPr/>
        <w:t xml:space="preserve"> will provide equal or greater protection to soils within each station than FERC’s plan.  Furthermore, the guidelines listed in Transwestern’s </w:t>
      </w:r>
      <w:r>
        <w:rPr>
          <w:i/>
        </w:rPr>
        <w:t>Plan</w:t>
      </w:r>
      <w:r>
        <w:rPr/>
        <w:t xml:space="preserve"> will be utilized to ensure that sediment will be maintained on-site during construction.  Any remaining areas within each station disturbed by construction will be restored and planted with native grasses.</w:t>
      </w:r>
    </w:p>
    <w:p>
      <w:pPr>
        <w:pStyle w:val="Heading1"/>
        <w:ind w:hanging="0" w:start="0"/>
        <w:rPr/>
      </w:pPr>
      <w:bookmarkStart w:id="21" w:name="__RefHeading___Toc509915828"/>
      <w:bookmarkEnd w:id="21"/>
      <w:r>
        <w:rPr/>
        <w:t>Land Use, Recreation and Aesthetics</w:t>
      </w:r>
    </w:p>
    <w:p>
      <w:pPr>
        <w:pStyle w:val="BodyText1"/>
        <w:rPr/>
      </w:pPr>
      <w:r>
        <w:rPr/>
        <w:t>All work will be conducted within existing fenced-in compressor station facilities.  Consequently, the project will not alter existing land use.  No known recreational areas will be impacted by the proposed project and since the stations already exist, no significant changes in aesthetics will occur.  Therefore no further discussion is presented.</w:t>
      </w:r>
    </w:p>
    <w:p>
      <w:pPr>
        <w:pStyle w:val="Heading1"/>
        <w:ind w:hanging="0" w:start="0"/>
        <w:rPr/>
      </w:pPr>
      <w:bookmarkStart w:id="22" w:name="__RefHeading___Toc509915829"/>
      <w:bookmarkEnd w:id="22"/>
      <w:r>
        <w:rPr/>
        <w:t>Air and Noise Quality</w:t>
      </w:r>
    </w:p>
    <w:p>
      <w:pPr>
        <w:pStyle w:val="Heading2"/>
        <w:ind w:hanging="0" w:start="0"/>
        <w:rPr/>
      </w:pPr>
      <w:bookmarkStart w:id="23" w:name="__RefHeading___Toc509915830"/>
      <w:bookmarkEnd w:id="23"/>
      <w:r>
        <w:rPr/>
        <w:t>Air Quality</w:t>
      </w:r>
    </w:p>
    <w:p>
      <w:pPr>
        <w:pStyle w:val="Heading3"/>
        <w:ind w:hanging="0" w:start="0"/>
        <w:rPr/>
      </w:pPr>
      <w:bookmarkStart w:id="24" w:name="__RefHeading___Toc509915831"/>
      <w:bookmarkEnd w:id="24"/>
      <w:r>
        <w:rPr/>
        <w:t>Existing Air Quality</w:t>
      </w:r>
    </w:p>
    <w:p>
      <w:pPr>
        <w:pStyle w:val="BodyText1"/>
        <w:rPr/>
      </w:pPr>
      <w:r>
        <w:rPr/>
        <w:t>The four compressor stations are located in rural areas where air emissions are generally low.  Typical sources of air emissions in rural areas are primarily related to agricultural or silvicultural operations and include roadway traffic, farm machinery and fugitive dust from various agricultural or silvicultural activities.  Oil and gas related activities are also minor sources of air emissions within the project area.  However, according to Environmental Protection Agency (EPA) information, the regions surrounding the four Transwestern compressor station sites are in attainment with the National Ambient Air quality Standards (NAAQS) for all criteria pollutants (EPA, 2001).</w:t>
      </w:r>
    </w:p>
    <w:p>
      <w:pPr>
        <w:pStyle w:val="BodyText1"/>
        <w:rPr/>
      </w:pPr>
      <w:r>
        <w:rPr/>
        <w:t>Currently, there are three compressor units at each of the four stations (totaling 49,500 hp).  The compressor units at these stations were installed in 1959 and 1966. The compressor equipment pre-dates the EPA’s New Source Review construction permit rules, therefore they were “grandfathered” from construction permitting.</w:t>
      </w:r>
    </w:p>
    <w:p>
      <w:pPr>
        <w:pStyle w:val="BodyText1"/>
        <w:rPr/>
      </w:pPr>
      <w:r>
        <w:rPr/>
        <w:t xml:space="preserve">The Kingman (Station No. 1) and Flagstaff (Station No. 2) stations currently operate under a Title V Air Quality permit issued by the Arizona Department of Environmental Quality.  Since the Luepp (Station No. 3) and Klagetoh (Station No. 4) stations are located on Navajo Nation land, they operate under an EPA permit.  Copies of these permits are included in </w:t>
      </w:r>
      <w:r>
        <w:rPr>
          <w:b/>
        </w:rPr>
        <w:t>Appendix E</w:t>
      </w:r>
      <w:r>
        <w:rPr/>
        <w:t>.  The facilities are permitted to operate 365 days a year, 24 hours a day.  Emission levels currently permitted for nitrogen oxides (NO</w:t>
      </w:r>
      <w:r>
        <w:rPr>
          <w:vertAlign w:val="subscript"/>
        </w:rPr>
        <w:t>x</w:t>
      </w:r>
      <w:r>
        <w:rPr/>
        <w:t xml:space="preserve">) and carbon monoxide (CO) are summarized in </w:t>
      </w:r>
      <w:r>
        <w:rPr>
          <w:b/>
        </w:rPr>
        <w:t>Table 9-1</w:t>
      </w:r>
      <w:r>
        <w:rPr/>
        <w:t>.</w:t>
      </w:r>
    </w:p>
    <w:p>
      <w:pPr>
        <w:pStyle w:val="BodyText1"/>
        <w:rPr/>
      </w:pPr>
      <w:r>
        <w:rPr/>
      </w:r>
    </w:p>
    <w:p>
      <w:pPr>
        <w:pStyle w:val="Caption"/>
        <w:jc w:val="center"/>
        <w:rPr/>
      </w:pPr>
      <w:bookmarkStart w:id="25" w:name="__RefHeading___Toc509915852"/>
      <w:bookmarkEnd w:id="25"/>
      <w:r>
        <w:rPr/>
        <w:t xml:space="preserve">Table </w:t>
      </w:r>
      <w:r>
        <w:fldChar w:fldCharType="begin"/>
      </w:r>
      <w:r>
        <w:rPr>
          <w:lang w:val="en-CA"/>
        </w:rPr>
        <w:instrText xml:space="preserve"> STYLEREF 1 \s </w:instrText>
      </w:r>
      <w:r>
        <w:rPr>
          <w:lang w:val="en-CA"/>
        </w:rPr>
      </w:r>
      <w:r>
        <w:rPr>
          <w:lang w:val="en-CA"/>
        </w:rPr>
        <w:fldChar w:fldCharType="separate"/>
      </w:r>
      <w:r>
        <w:rPr>
          <w:lang w:val="en-CA"/>
        </w:rPr>
        <w:t>9</w:t>
      </w:r>
      <w:r>
        <w:rPr>
          <w:lang w:val="en-CA"/>
        </w:rPr>
      </w:r>
      <w:r>
        <w:rPr>
          <w:lang w:val="en-CA"/>
        </w:rPr>
        <w:fldChar w:fldCharType="end"/>
      </w:r>
      <w:r>
        <w:rPr/>
        <w:noBreakHyphen/>
      </w:r>
      <w:r>
        <w:rPr/>
        <w:fldChar w:fldCharType="begin"/>
      </w:r>
      <w:r>
        <w:rPr/>
        <w:instrText xml:space="preserve"> SEQ Table \* ARABIC </w:instrText>
      </w:r>
      <w:r>
        <w:rPr/>
        <w:fldChar w:fldCharType="separate"/>
      </w:r>
      <w:r>
        <w:rPr/>
        <w:t>5</w:t>
      </w:r>
      <w:r>
        <w:rPr/>
        <w:fldChar w:fldCharType="end"/>
      </w:r>
      <w:r>
        <w:rPr/>
        <w:t>.</w:t>
        <w:tab/>
        <w:t>Permitted “Potential to Emit”.</w:t>
      </w:r>
    </w:p>
    <w:tbl>
      <w:tblPr>
        <w:tblW w:w="6812" w:type="dxa"/>
        <w:jc w:val="center"/>
        <w:tblInd w:w="0" w:type="dxa"/>
        <w:tblLayout w:type="fixed"/>
        <w:tblCellMar>
          <w:top w:w="0" w:type="dxa"/>
          <w:start w:w="108" w:type="dxa"/>
          <w:bottom w:w="0" w:type="dxa"/>
          <w:end w:w="108" w:type="dxa"/>
        </w:tblCellMar>
      </w:tblPr>
      <w:tblGrid>
        <w:gridCol w:w="1297"/>
        <w:gridCol w:w="1378"/>
        <w:gridCol w:w="1379"/>
        <w:gridCol w:w="1379"/>
        <w:gridCol w:w="1379"/>
      </w:tblGrid>
      <w:tr>
        <w:trPr/>
        <w:tc>
          <w:tcPr>
            <w:tcW w:w="1297" w:type="dxa"/>
            <w:tcBorders>
              <w:top w:val="single" w:sz="6" w:space="0" w:color="000000"/>
              <w:start w:val="single" w:sz="6" w:space="0" w:color="000000"/>
              <w:end w:val="single" w:sz="6" w:space="0" w:color="000000"/>
            </w:tcBorders>
          </w:tcPr>
          <w:p>
            <w:pPr>
              <w:pStyle w:val="BodyText1"/>
              <w:snapToGrid w:val="false"/>
              <w:spacing w:before="0" w:after="0"/>
              <w:jc w:val="center"/>
              <w:rPr>
                <w:sz w:val="20"/>
              </w:rPr>
            </w:pPr>
            <w:r>
              <w:rPr>
                <w:sz w:val="20"/>
              </w:rPr>
            </w:r>
          </w:p>
        </w:tc>
        <w:tc>
          <w:tcPr>
            <w:tcW w:w="5515" w:type="dxa"/>
            <w:gridSpan w:val="4"/>
            <w:tcBorders>
              <w:top w:val="single" w:sz="6" w:space="0" w:color="000000"/>
              <w:bottom w:val="single" w:sz="6" w:space="0" w:color="000000"/>
              <w:end w:val="single" w:sz="6" w:space="0" w:color="000000"/>
            </w:tcBorders>
          </w:tcPr>
          <w:p>
            <w:pPr>
              <w:pStyle w:val="BodyText1"/>
              <w:spacing w:before="0" w:after="0"/>
              <w:jc w:val="center"/>
              <w:rPr>
                <w:sz w:val="20"/>
              </w:rPr>
            </w:pPr>
            <w:r>
              <w:rPr>
                <w:b/>
                <w:sz w:val="20"/>
              </w:rPr>
              <w:t>Pollutant</w:t>
            </w:r>
          </w:p>
        </w:tc>
      </w:tr>
      <w:tr>
        <w:trPr/>
        <w:tc>
          <w:tcPr>
            <w:tcW w:w="1297" w:type="dxa"/>
            <w:tcBorders>
              <w:start w:val="single" w:sz="6" w:space="0" w:color="000000"/>
              <w:end w:val="single" w:sz="6" w:space="0" w:color="000000"/>
            </w:tcBorders>
          </w:tcPr>
          <w:p>
            <w:pPr>
              <w:pStyle w:val="BodyText1"/>
              <w:spacing w:before="0" w:after="0"/>
              <w:jc w:val="center"/>
              <w:rPr>
                <w:b/>
                <w:sz w:val="20"/>
              </w:rPr>
            </w:pPr>
            <w:r>
              <w:rPr>
                <w:b/>
                <w:sz w:val="20"/>
              </w:rPr>
              <w:t>Station</w:t>
            </w:r>
          </w:p>
        </w:tc>
        <w:tc>
          <w:tcPr>
            <w:tcW w:w="2757" w:type="dxa"/>
            <w:gridSpan w:val="2"/>
            <w:tcBorders>
              <w:bottom w:val="single" w:sz="6" w:space="0" w:color="000000"/>
              <w:end w:val="single" w:sz="6" w:space="0" w:color="000000"/>
            </w:tcBorders>
          </w:tcPr>
          <w:p>
            <w:pPr>
              <w:pStyle w:val="BodyText1"/>
              <w:spacing w:before="0" w:after="0"/>
              <w:jc w:val="center"/>
              <w:rPr>
                <w:sz w:val="20"/>
              </w:rPr>
            </w:pPr>
            <w:r>
              <w:rPr>
                <w:b/>
                <w:sz w:val="20"/>
              </w:rPr>
              <w:t>NO</w:t>
            </w:r>
            <w:r>
              <w:rPr>
                <w:b/>
                <w:sz w:val="20"/>
                <w:vertAlign w:val="subscript"/>
              </w:rPr>
              <w:t>x</w:t>
            </w:r>
          </w:p>
        </w:tc>
        <w:tc>
          <w:tcPr>
            <w:tcW w:w="2758" w:type="dxa"/>
            <w:gridSpan w:val="2"/>
            <w:tcBorders>
              <w:bottom w:val="single" w:sz="6" w:space="0" w:color="000000"/>
              <w:end w:val="single" w:sz="6" w:space="0" w:color="000000"/>
            </w:tcBorders>
          </w:tcPr>
          <w:p>
            <w:pPr>
              <w:pStyle w:val="BodyText1"/>
              <w:spacing w:before="0" w:after="0"/>
              <w:jc w:val="center"/>
              <w:rPr>
                <w:sz w:val="20"/>
              </w:rPr>
            </w:pPr>
            <w:r>
              <w:rPr>
                <w:b/>
                <w:sz w:val="20"/>
              </w:rPr>
              <w:t>CO</w:t>
            </w:r>
          </w:p>
        </w:tc>
      </w:tr>
      <w:tr>
        <w:trPr/>
        <w:tc>
          <w:tcPr>
            <w:tcW w:w="1297" w:type="dxa"/>
            <w:tcBorders>
              <w:start w:val="single" w:sz="6" w:space="0" w:color="000000"/>
              <w:bottom w:val="double" w:sz="4" w:space="0" w:color="000000"/>
              <w:end w:val="single" w:sz="6" w:space="0" w:color="000000"/>
            </w:tcBorders>
          </w:tcPr>
          <w:p>
            <w:pPr>
              <w:pStyle w:val="BodyText1"/>
              <w:snapToGrid w:val="false"/>
              <w:spacing w:before="0" w:after="0"/>
              <w:jc w:val="center"/>
              <w:rPr>
                <w:sz w:val="20"/>
              </w:rPr>
            </w:pPr>
            <w:r>
              <w:rPr>
                <w:sz w:val="20"/>
              </w:rPr>
            </w:r>
          </w:p>
        </w:tc>
        <w:tc>
          <w:tcPr>
            <w:tcW w:w="1378" w:type="dxa"/>
            <w:tcBorders>
              <w:start w:val="single" w:sz="6" w:space="0" w:color="000000"/>
              <w:bottom w:val="double" w:sz="4" w:space="0" w:color="000000"/>
              <w:end w:val="single" w:sz="6" w:space="0" w:color="000000"/>
            </w:tcBorders>
          </w:tcPr>
          <w:p>
            <w:pPr>
              <w:pStyle w:val="BodyText1"/>
              <w:spacing w:before="0" w:after="0"/>
              <w:jc w:val="center"/>
              <w:rPr>
                <w:sz w:val="20"/>
              </w:rPr>
            </w:pPr>
            <w:r>
              <w:rPr>
                <w:sz w:val="20"/>
              </w:rPr>
              <w:t>tpy</w:t>
            </w:r>
            <w:r>
              <w:rPr>
                <w:sz w:val="20"/>
                <w:vertAlign w:val="superscript"/>
              </w:rPr>
              <w:t>1</w:t>
            </w:r>
          </w:p>
        </w:tc>
        <w:tc>
          <w:tcPr>
            <w:tcW w:w="1379" w:type="dxa"/>
            <w:tcBorders>
              <w:bottom w:val="double" w:sz="4" w:space="0" w:color="000000"/>
              <w:end w:val="single" w:sz="6" w:space="0" w:color="000000"/>
            </w:tcBorders>
          </w:tcPr>
          <w:p>
            <w:pPr>
              <w:pStyle w:val="BodyText1"/>
              <w:spacing w:before="0" w:after="0"/>
              <w:jc w:val="center"/>
              <w:rPr>
                <w:sz w:val="20"/>
              </w:rPr>
            </w:pPr>
            <w:r>
              <w:rPr>
                <w:sz w:val="20"/>
              </w:rPr>
              <w:t>lbs/hr</w:t>
            </w:r>
            <w:r>
              <w:rPr>
                <w:sz w:val="20"/>
                <w:vertAlign w:val="superscript"/>
              </w:rPr>
              <w:t>2</w:t>
            </w:r>
          </w:p>
        </w:tc>
        <w:tc>
          <w:tcPr>
            <w:tcW w:w="1379" w:type="dxa"/>
            <w:tcBorders>
              <w:bottom w:val="double" w:sz="4" w:space="0" w:color="000000"/>
              <w:end w:val="single" w:sz="6" w:space="0" w:color="000000"/>
            </w:tcBorders>
          </w:tcPr>
          <w:p>
            <w:pPr>
              <w:pStyle w:val="BodyText1"/>
              <w:spacing w:before="0" w:after="0"/>
              <w:jc w:val="center"/>
              <w:rPr>
                <w:sz w:val="20"/>
              </w:rPr>
            </w:pPr>
            <w:r>
              <w:rPr>
                <w:sz w:val="20"/>
              </w:rPr>
              <w:t>tpy</w:t>
            </w:r>
          </w:p>
        </w:tc>
        <w:tc>
          <w:tcPr>
            <w:tcW w:w="1379" w:type="dxa"/>
            <w:tcBorders>
              <w:bottom w:val="double" w:sz="4" w:space="0" w:color="000000"/>
              <w:end w:val="single" w:sz="6" w:space="0" w:color="000000"/>
            </w:tcBorders>
          </w:tcPr>
          <w:p>
            <w:pPr>
              <w:pStyle w:val="BodyText1"/>
              <w:spacing w:before="0" w:after="0"/>
              <w:jc w:val="center"/>
              <w:rPr>
                <w:sz w:val="20"/>
              </w:rPr>
            </w:pPr>
            <w:r>
              <w:rPr>
                <w:sz w:val="20"/>
              </w:rPr>
              <w:t>lbs/hr</w:t>
            </w:r>
          </w:p>
        </w:tc>
      </w:tr>
      <w:tr>
        <w:trPr/>
        <w:tc>
          <w:tcPr>
            <w:tcW w:w="1297" w:type="dxa"/>
            <w:tcBorders>
              <w:start w:val="single" w:sz="6" w:space="0" w:color="000000"/>
              <w:bottom w:val="single" w:sz="6" w:space="0" w:color="000000"/>
              <w:end w:val="single" w:sz="6" w:space="0" w:color="000000"/>
            </w:tcBorders>
          </w:tcPr>
          <w:p>
            <w:pPr>
              <w:pStyle w:val="BodyText1"/>
              <w:spacing w:before="0" w:after="0"/>
              <w:jc w:val="center"/>
              <w:rPr>
                <w:sz w:val="20"/>
              </w:rPr>
            </w:pPr>
            <w:r>
              <w:rPr>
                <w:sz w:val="20"/>
              </w:rPr>
              <w:t>Kingman</w:t>
              <w:br/>
              <w:t>Station 1</w:t>
            </w:r>
          </w:p>
        </w:tc>
        <w:tc>
          <w:tcPr>
            <w:tcW w:w="1378"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1427.5</w:t>
            </w:r>
          </w:p>
        </w:tc>
        <w:tc>
          <w:tcPr>
            <w:tcW w:w="1379" w:type="dxa"/>
            <w:tcBorders>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325.9</w:t>
            </w:r>
          </w:p>
        </w:tc>
        <w:tc>
          <w:tcPr>
            <w:tcW w:w="1379"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429.4</w:t>
            </w:r>
          </w:p>
        </w:tc>
        <w:tc>
          <w:tcPr>
            <w:tcW w:w="1379" w:type="dxa"/>
            <w:tcBorders>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98.0</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Flagstaff</w:t>
              <w:br/>
              <w:t>Station 2</w:t>
            </w:r>
          </w:p>
        </w:tc>
        <w:tc>
          <w:tcPr>
            <w:tcW w:w="1378"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1427.5</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325.9</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429.4</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98.0</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Leupp</w:t>
              <w:br/>
              <w:t>Station 3</w:t>
            </w:r>
          </w:p>
        </w:tc>
        <w:tc>
          <w:tcPr>
            <w:tcW w:w="1378"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1479.0</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337.7</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248.0</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56.6</w:t>
            </w:r>
          </w:p>
        </w:tc>
      </w:tr>
      <w:tr>
        <w:trPr/>
        <w:tc>
          <w:tcPr>
            <w:tcW w:w="1297" w:type="dxa"/>
            <w:tcBorders>
              <w:top w:val="single" w:sz="6" w:space="0" w:color="000000"/>
              <w:start w:val="single" w:sz="6" w:space="0" w:color="000000"/>
              <w:end w:val="single" w:sz="6" w:space="0" w:color="000000"/>
            </w:tcBorders>
          </w:tcPr>
          <w:p>
            <w:pPr>
              <w:pStyle w:val="BodyText1"/>
              <w:spacing w:before="0" w:after="0"/>
              <w:jc w:val="center"/>
              <w:rPr>
                <w:sz w:val="20"/>
              </w:rPr>
            </w:pPr>
            <w:r>
              <w:rPr>
                <w:sz w:val="20"/>
              </w:rPr>
              <w:t>Klagetoh</w:t>
              <w:br/>
              <w:t>Station 4</w:t>
            </w:r>
          </w:p>
        </w:tc>
        <w:tc>
          <w:tcPr>
            <w:tcW w:w="1378" w:type="dxa"/>
            <w:tcBorders>
              <w:top w:val="single" w:sz="6" w:space="0" w:color="000000"/>
              <w:start w:val="single" w:sz="6" w:space="0" w:color="000000"/>
              <w:end w:val="single" w:sz="6" w:space="0" w:color="000000"/>
            </w:tcBorders>
          </w:tcPr>
          <w:p>
            <w:pPr>
              <w:pStyle w:val="BodyText1"/>
              <w:spacing w:before="120" w:after="0"/>
              <w:jc w:val="center"/>
              <w:rPr>
                <w:sz w:val="20"/>
              </w:rPr>
            </w:pPr>
            <w:r>
              <w:rPr>
                <w:sz w:val="20"/>
              </w:rPr>
              <w:t>1583.0</w:t>
            </w:r>
          </w:p>
        </w:tc>
        <w:tc>
          <w:tcPr>
            <w:tcW w:w="1379" w:type="dxa"/>
            <w:tcBorders>
              <w:top w:val="single" w:sz="6" w:space="0" w:color="000000"/>
              <w:start w:val="single" w:sz="6" w:space="0" w:color="000000"/>
              <w:end w:val="single" w:sz="6" w:space="0" w:color="000000"/>
            </w:tcBorders>
          </w:tcPr>
          <w:p>
            <w:pPr>
              <w:pStyle w:val="BodyText1"/>
              <w:spacing w:before="120" w:after="0"/>
              <w:jc w:val="center"/>
              <w:rPr>
                <w:sz w:val="20"/>
              </w:rPr>
            </w:pPr>
            <w:r>
              <w:rPr>
                <w:color w:val="000000"/>
                <w:sz w:val="20"/>
                <w:lang w:eastAsia="en-US"/>
              </w:rPr>
              <w:t>361.4</w:t>
            </w:r>
          </w:p>
        </w:tc>
        <w:tc>
          <w:tcPr>
            <w:tcW w:w="1379" w:type="dxa"/>
            <w:tcBorders>
              <w:top w:val="single" w:sz="6" w:space="0" w:color="000000"/>
              <w:start w:val="single" w:sz="6" w:space="0" w:color="000000"/>
              <w:end w:val="single" w:sz="6" w:space="0" w:color="000000"/>
            </w:tcBorders>
          </w:tcPr>
          <w:p>
            <w:pPr>
              <w:pStyle w:val="BodyText1"/>
              <w:spacing w:before="120" w:after="0"/>
              <w:jc w:val="center"/>
              <w:rPr>
                <w:sz w:val="20"/>
              </w:rPr>
            </w:pPr>
            <w:r>
              <w:rPr>
                <w:sz w:val="20"/>
              </w:rPr>
              <w:t>527</w:t>
            </w:r>
          </w:p>
        </w:tc>
        <w:tc>
          <w:tcPr>
            <w:tcW w:w="1379" w:type="dxa"/>
            <w:tcBorders>
              <w:top w:val="single" w:sz="6" w:space="0" w:color="000000"/>
              <w:start w:val="single" w:sz="6" w:space="0" w:color="000000"/>
              <w:end w:val="single" w:sz="6" w:space="0" w:color="000000"/>
            </w:tcBorders>
          </w:tcPr>
          <w:p>
            <w:pPr>
              <w:pStyle w:val="BodyText1"/>
              <w:spacing w:before="120" w:after="0"/>
              <w:jc w:val="center"/>
              <w:rPr>
                <w:sz w:val="20"/>
              </w:rPr>
            </w:pPr>
            <w:r>
              <w:rPr>
                <w:color w:val="000000"/>
                <w:sz w:val="20"/>
                <w:lang w:eastAsia="en-US"/>
              </w:rPr>
              <w:t>120.3</w:t>
            </w:r>
          </w:p>
        </w:tc>
      </w:tr>
      <w:tr>
        <w:trPr/>
        <w:tc>
          <w:tcPr>
            <w:tcW w:w="6812" w:type="dxa"/>
            <w:gridSpan w:val="5"/>
            <w:tcBorders>
              <w:top w:val="single" w:sz="6" w:space="0" w:color="000000"/>
            </w:tcBorders>
          </w:tcPr>
          <w:p>
            <w:pPr>
              <w:pStyle w:val="BodyText1"/>
              <w:spacing w:before="120" w:after="0"/>
              <w:jc w:val="start"/>
              <w:rPr/>
            </w:pPr>
            <w:r>
              <w:rPr>
                <w:sz w:val="16"/>
                <w:vertAlign w:val="superscript"/>
              </w:rPr>
              <w:t>1</w:t>
            </w:r>
            <w:r>
              <w:rPr>
                <w:sz w:val="16"/>
              </w:rPr>
              <w:t>Tons per year</w:t>
              <w:br/>
            </w:r>
            <w:r>
              <w:rPr>
                <w:sz w:val="16"/>
                <w:vertAlign w:val="superscript"/>
              </w:rPr>
              <w:t>2</w:t>
            </w:r>
            <w:r>
              <w:rPr>
                <w:sz w:val="16"/>
              </w:rPr>
              <w:t>Pounds per hour</w:t>
            </w:r>
          </w:p>
        </w:tc>
      </w:tr>
    </w:tbl>
    <w:p>
      <w:pPr>
        <w:pStyle w:val="BodyText1"/>
        <w:rPr/>
      </w:pPr>
      <w:r>
        <w:rPr/>
      </w:r>
    </w:p>
    <w:p>
      <w:pPr>
        <w:pStyle w:val="Heading3"/>
        <w:ind w:hanging="0" w:start="0"/>
        <w:rPr/>
      </w:pPr>
      <w:bookmarkStart w:id="26" w:name="__RefHeading___Toc509915832"/>
      <w:bookmarkEnd w:id="26"/>
      <w:r>
        <w:rPr/>
        <w:t>Operation Impacts on Air Quality</w:t>
      </w:r>
    </w:p>
    <w:p>
      <w:pPr>
        <w:pStyle w:val="BodyText1"/>
        <w:rPr/>
      </w:pPr>
      <w:r>
        <w:rPr/>
        <w:t>As proposed, Transwestern will install one new compressor unit at each of its existing mainline stations in Arizona.  Since these units are considerably more efficient than the existing units, significant decreases in NO</w:t>
      </w:r>
      <w:r>
        <w:rPr>
          <w:vertAlign w:val="subscript"/>
        </w:rPr>
        <w:t>x</w:t>
      </w:r>
      <w:r>
        <w:rPr/>
        <w:t xml:space="preserve"> emissions are expected.</w:t>
      </w:r>
    </w:p>
    <w:p>
      <w:pPr>
        <w:pStyle w:val="BodyText1"/>
        <w:rPr/>
      </w:pPr>
      <w:r>
        <w:rPr/>
        <w:t xml:space="preserve">Based on manufacture data, projected emissions for the new turbines are summarized in </w:t>
      </w:r>
      <w:r>
        <w:rPr>
          <w:b/>
        </w:rPr>
        <w:t>Table 9-2</w:t>
      </w:r>
      <w:r>
        <w:rPr/>
        <w:t>.  These rates are based on the unit being operated at 100 percent full load for 80 percent of the time, and 50 percent load 20 percent of the time.  Based on the projected values, operation of the new units will significantly reduce Transwestern’s NO</w:t>
      </w:r>
      <w:r>
        <w:rPr>
          <w:vertAlign w:val="subscript"/>
        </w:rPr>
        <w:t>x</w:t>
      </w:r>
      <w:r>
        <w:rPr/>
        <w:t xml:space="preserve"> and CO emissions at each station, improving the Arizona airshed.  For more information, please refer </w:t>
      </w:r>
      <w:r>
        <w:rPr>
          <w:b/>
        </w:rPr>
        <w:t>Appendix E</w:t>
      </w:r>
      <w:r>
        <w:rPr/>
        <w:t>.</w:t>
      </w:r>
    </w:p>
    <w:p>
      <w:pPr>
        <w:pStyle w:val="Caption"/>
        <w:jc w:val="center"/>
        <w:rPr/>
      </w:pPr>
      <w:bookmarkStart w:id="27" w:name="__RefHeading___Toc509915853"/>
      <w:bookmarkEnd w:id="27"/>
      <w:r>
        <w:rPr/>
        <w:t xml:space="preserve">Table </w:t>
      </w:r>
      <w:r>
        <w:fldChar w:fldCharType="begin"/>
      </w:r>
      <w:r>
        <w:rPr>
          <w:lang w:val="en-CA"/>
        </w:rPr>
        <w:instrText xml:space="preserve"> STYLEREF 1 \s </w:instrText>
      </w:r>
      <w:r>
        <w:rPr>
          <w:lang w:val="en-CA"/>
        </w:rPr>
      </w:r>
      <w:r>
        <w:rPr>
          <w:lang w:val="en-CA"/>
        </w:rPr>
        <w:fldChar w:fldCharType="separate"/>
      </w:r>
      <w:r>
        <w:rPr>
          <w:lang w:val="en-CA"/>
        </w:rPr>
        <w:t>9</w:t>
      </w:r>
      <w:r>
        <w:rPr>
          <w:lang w:val="en-CA"/>
        </w:rPr>
      </w:r>
      <w:r>
        <w:rPr>
          <w:lang w:val="en-CA"/>
        </w:rPr>
        <w:fldChar w:fldCharType="end"/>
      </w:r>
      <w:r>
        <w:rPr/>
        <w:noBreakHyphen/>
      </w:r>
      <w:r>
        <w:rPr/>
        <w:fldChar w:fldCharType="begin"/>
      </w:r>
      <w:r>
        <w:rPr/>
        <w:instrText xml:space="preserve"> SEQ Table \* ARABIC </w:instrText>
      </w:r>
      <w:r>
        <w:rPr/>
        <w:fldChar w:fldCharType="separate"/>
      </w:r>
      <w:r>
        <w:rPr/>
        <w:t>6</w:t>
      </w:r>
      <w:r>
        <w:rPr/>
        <w:fldChar w:fldCharType="end"/>
      </w:r>
      <w:r>
        <w:rPr/>
        <w:t>.</w:t>
        <w:tab/>
        <w:t>Projected Turbine Emissions.</w:t>
      </w:r>
    </w:p>
    <w:tbl>
      <w:tblPr>
        <w:tblW w:w="6812" w:type="dxa"/>
        <w:jc w:val="center"/>
        <w:tblInd w:w="0" w:type="dxa"/>
        <w:tblLayout w:type="fixed"/>
        <w:tblCellMar>
          <w:top w:w="0" w:type="dxa"/>
          <w:start w:w="108" w:type="dxa"/>
          <w:bottom w:w="0" w:type="dxa"/>
          <w:end w:w="108" w:type="dxa"/>
        </w:tblCellMar>
      </w:tblPr>
      <w:tblGrid>
        <w:gridCol w:w="1297"/>
        <w:gridCol w:w="1378"/>
        <w:gridCol w:w="1379"/>
        <w:gridCol w:w="1379"/>
        <w:gridCol w:w="1379"/>
      </w:tblGrid>
      <w:tr>
        <w:trPr/>
        <w:tc>
          <w:tcPr>
            <w:tcW w:w="1297" w:type="dxa"/>
            <w:tcBorders>
              <w:top w:val="single" w:sz="6" w:space="0" w:color="000000"/>
              <w:start w:val="single" w:sz="6" w:space="0" w:color="000000"/>
              <w:end w:val="single" w:sz="6" w:space="0" w:color="000000"/>
            </w:tcBorders>
          </w:tcPr>
          <w:p>
            <w:pPr>
              <w:pStyle w:val="BodyText1"/>
              <w:snapToGrid w:val="false"/>
              <w:spacing w:before="0" w:after="0"/>
              <w:jc w:val="center"/>
              <w:rPr>
                <w:sz w:val="20"/>
              </w:rPr>
            </w:pPr>
            <w:r>
              <w:rPr>
                <w:sz w:val="20"/>
              </w:rPr>
            </w:r>
          </w:p>
        </w:tc>
        <w:tc>
          <w:tcPr>
            <w:tcW w:w="5515" w:type="dxa"/>
            <w:gridSpan w:val="4"/>
            <w:tcBorders>
              <w:top w:val="single" w:sz="6" w:space="0" w:color="000000"/>
              <w:bottom w:val="single" w:sz="6" w:space="0" w:color="000000"/>
              <w:end w:val="single" w:sz="6" w:space="0" w:color="000000"/>
            </w:tcBorders>
          </w:tcPr>
          <w:p>
            <w:pPr>
              <w:pStyle w:val="BodyText1"/>
              <w:spacing w:before="0" w:after="0"/>
              <w:jc w:val="center"/>
              <w:rPr>
                <w:sz w:val="20"/>
              </w:rPr>
            </w:pPr>
            <w:r>
              <w:rPr>
                <w:b/>
                <w:sz w:val="20"/>
              </w:rPr>
              <w:t>Pollutant</w:t>
            </w:r>
          </w:p>
        </w:tc>
      </w:tr>
      <w:tr>
        <w:trPr/>
        <w:tc>
          <w:tcPr>
            <w:tcW w:w="1297" w:type="dxa"/>
            <w:tcBorders>
              <w:start w:val="single" w:sz="6" w:space="0" w:color="000000"/>
              <w:end w:val="single" w:sz="6" w:space="0" w:color="000000"/>
            </w:tcBorders>
          </w:tcPr>
          <w:p>
            <w:pPr>
              <w:pStyle w:val="BodyText1"/>
              <w:spacing w:before="0" w:after="0"/>
              <w:jc w:val="center"/>
              <w:rPr>
                <w:b/>
                <w:sz w:val="20"/>
              </w:rPr>
            </w:pPr>
            <w:r>
              <w:rPr>
                <w:b/>
                <w:sz w:val="20"/>
              </w:rPr>
              <w:t>Station</w:t>
            </w:r>
          </w:p>
        </w:tc>
        <w:tc>
          <w:tcPr>
            <w:tcW w:w="2757" w:type="dxa"/>
            <w:gridSpan w:val="2"/>
            <w:tcBorders>
              <w:bottom w:val="single" w:sz="6" w:space="0" w:color="000000"/>
              <w:end w:val="single" w:sz="6" w:space="0" w:color="000000"/>
            </w:tcBorders>
          </w:tcPr>
          <w:p>
            <w:pPr>
              <w:pStyle w:val="BodyText1"/>
              <w:spacing w:before="0" w:after="0"/>
              <w:jc w:val="center"/>
              <w:rPr>
                <w:sz w:val="20"/>
              </w:rPr>
            </w:pPr>
            <w:r>
              <w:rPr>
                <w:b/>
                <w:sz w:val="20"/>
              </w:rPr>
              <w:t>NO</w:t>
            </w:r>
            <w:r>
              <w:rPr>
                <w:b/>
                <w:sz w:val="20"/>
                <w:vertAlign w:val="subscript"/>
              </w:rPr>
              <w:t>x</w:t>
            </w:r>
          </w:p>
        </w:tc>
        <w:tc>
          <w:tcPr>
            <w:tcW w:w="2758" w:type="dxa"/>
            <w:gridSpan w:val="2"/>
            <w:tcBorders>
              <w:bottom w:val="single" w:sz="6" w:space="0" w:color="000000"/>
              <w:end w:val="single" w:sz="6" w:space="0" w:color="000000"/>
            </w:tcBorders>
          </w:tcPr>
          <w:p>
            <w:pPr>
              <w:pStyle w:val="BodyText1"/>
              <w:spacing w:before="0" w:after="0"/>
              <w:jc w:val="center"/>
              <w:rPr>
                <w:sz w:val="20"/>
              </w:rPr>
            </w:pPr>
            <w:r>
              <w:rPr>
                <w:b/>
                <w:sz w:val="20"/>
              </w:rPr>
              <w:t>CO</w:t>
            </w:r>
          </w:p>
        </w:tc>
      </w:tr>
      <w:tr>
        <w:trPr/>
        <w:tc>
          <w:tcPr>
            <w:tcW w:w="1297" w:type="dxa"/>
            <w:tcBorders>
              <w:start w:val="single" w:sz="6" w:space="0" w:color="000000"/>
              <w:bottom w:val="double" w:sz="4" w:space="0" w:color="000000"/>
              <w:end w:val="single" w:sz="6" w:space="0" w:color="000000"/>
            </w:tcBorders>
          </w:tcPr>
          <w:p>
            <w:pPr>
              <w:pStyle w:val="BodyText1"/>
              <w:snapToGrid w:val="false"/>
              <w:spacing w:before="0" w:after="0"/>
              <w:jc w:val="center"/>
              <w:rPr>
                <w:sz w:val="20"/>
              </w:rPr>
            </w:pPr>
            <w:r>
              <w:rPr>
                <w:sz w:val="20"/>
              </w:rPr>
            </w:r>
          </w:p>
        </w:tc>
        <w:tc>
          <w:tcPr>
            <w:tcW w:w="1378" w:type="dxa"/>
            <w:tcBorders>
              <w:start w:val="single" w:sz="6" w:space="0" w:color="000000"/>
              <w:bottom w:val="double" w:sz="4" w:space="0" w:color="000000"/>
              <w:end w:val="single" w:sz="6" w:space="0" w:color="000000"/>
            </w:tcBorders>
          </w:tcPr>
          <w:p>
            <w:pPr>
              <w:pStyle w:val="BodyText1"/>
              <w:spacing w:before="0" w:after="0"/>
              <w:jc w:val="center"/>
              <w:rPr>
                <w:sz w:val="20"/>
              </w:rPr>
            </w:pPr>
            <w:r>
              <w:rPr>
                <w:sz w:val="20"/>
              </w:rPr>
              <w:t>tpy</w:t>
            </w:r>
            <w:r>
              <w:rPr>
                <w:sz w:val="20"/>
                <w:vertAlign w:val="superscript"/>
              </w:rPr>
              <w:t>1</w:t>
            </w:r>
          </w:p>
        </w:tc>
        <w:tc>
          <w:tcPr>
            <w:tcW w:w="1379" w:type="dxa"/>
            <w:tcBorders>
              <w:bottom w:val="double" w:sz="4" w:space="0" w:color="000000"/>
              <w:end w:val="single" w:sz="6" w:space="0" w:color="000000"/>
            </w:tcBorders>
          </w:tcPr>
          <w:p>
            <w:pPr>
              <w:pStyle w:val="BodyText1"/>
              <w:spacing w:before="0" w:after="0"/>
              <w:jc w:val="center"/>
              <w:rPr>
                <w:sz w:val="20"/>
              </w:rPr>
            </w:pPr>
            <w:r>
              <w:rPr>
                <w:sz w:val="20"/>
              </w:rPr>
              <w:t>lbs/hr</w:t>
            </w:r>
            <w:r>
              <w:rPr>
                <w:sz w:val="20"/>
                <w:vertAlign w:val="superscript"/>
              </w:rPr>
              <w:t>2</w:t>
            </w:r>
          </w:p>
        </w:tc>
        <w:tc>
          <w:tcPr>
            <w:tcW w:w="1379" w:type="dxa"/>
            <w:tcBorders>
              <w:bottom w:val="double" w:sz="4" w:space="0" w:color="000000"/>
              <w:end w:val="single" w:sz="6" w:space="0" w:color="000000"/>
            </w:tcBorders>
          </w:tcPr>
          <w:p>
            <w:pPr>
              <w:pStyle w:val="BodyText1"/>
              <w:spacing w:before="0" w:after="0"/>
              <w:jc w:val="center"/>
              <w:rPr>
                <w:sz w:val="20"/>
              </w:rPr>
            </w:pPr>
            <w:r>
              <w:rPr>
                <w:sz w:val="20"/>
              </w:rPr>
              <w:t>tpy</w:t>
            </w:r>
          </w:p>
        </w:tc>
        <w:tc>
          <w:tcPr>
            <w:tcW w:w="1379" w:type="dxa"/>
            <w:tcBorders>
              <w:bottom w:val="double" w:sz="4" w:space="0" w:color="000000"/>
              <w:end w:val="single" w:sz="6" w:space="0" w:color="000000"/>
            </w:tcBorders>
          </w:tcPr>
          <w:p>
            <w:pPr>
              <w:pStyle w:val="BodyText1"/>
              <w:spacing w:before="0" w:after="0"/>
              <w:jc w:val="center"/>
              <w:rPr>
                <w:sz w:val="20"/>
              </w:rPr>
            </w:pPr>
            <w:r>
              <w:rPr>
                <w:sz w:val="20"/>
              </w:rPr>
              <w:t>lbs/hr</w:t>
            </w:r>
          </w:p>
        </w:tc>
      </w:tr>
      <w:tr>
        <w:trPr/>
        <w:tc>
          <w:tcPr>
            <w:tcW w:w="1297" w:type="dxa"/>
            <w:tcBorders>
              <w:start w:val="single" w:sz="6" w:space="0" w:color="000000"/>
              <w:bottom w:val="single" w:sz="6" w:space="0" w:color="000000"/>
              <w:end w:val="single" w:sz="6" w:space="0" w:color="000000"/>
            </w:tcBorders>
          </w:tcPr>
          <w:p>
            <w:pPr>
              <w:pStyle w:val="BodyText1"/>
              <w:spacing w:before="0" w:after="0"/>
              <w:jc w:val="center"/>
              <w:rPr>
                <w:sz w:val="20"/>
              </w:rPr>
            </w:pPr>
            <w:r>
              <w:rPr>
                <w:sz w:val="20"/>
              </w:rPr>
              <w:t>Kingman</w:t>
              <w:br/>
              <w:t>Station 1</w:t>
            </w:r>
          </w:p>
        </w:tc>
        <w:tc>
          <w:tcPr>
            <w:tcW w:w="1378"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112.0</w:t>
            </w:r>
          </w:p>
        </w:tc>
        <w:tc>
          <w:tcPr>
            <w:tcW w:w="1379"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25.6</w:t>
            </w:r>
          </w:p>
        </w:tc>
        <w:tc>
          <w:tcPr>
            <w:tcW w:w="1379"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68.1</w:t>
            </w:r>
          </w:p>
        </w:tc>
        <w:tc>
          <w:tcPr>
            <w:tcW w:w="1379"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15.5</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Flagstaff</w:t>
              <w:br/>
              <w:t>Station 2</w:t>
            </w:r>
          </w:p>
        </w:tc>
        <w:tc>
          <w:tcPr>
            <w:tcW w:w="1378"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101.7</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23.2</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61.8</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14.1</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Leupp</w:t>
              <w:br/>
              <w:t>Station 3</w:t>
            </w:r>
          </w:p>
        </w:tc>
        <w:tc>
          <w:tcPr>
            <w:tcW w:w="1378"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112.9</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25.8</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68.9</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15.7</w:t>
            </w:r>
          </w:p>
        </w:tc>
      </w:tr>
      <w:tr>
        <w:trPr/>
        <w:tc>
          <w:tcPr>
            <w:tcW w:w="1297" w:type="dxa"/>
            <w:tcBorders>
              <w:top w:val="single" w:sz="6" w:space="0" w:color="000000"/>
              <w:start w:val="single" w:sz="6" w:space="0" w:color="000000"/>
              <w:end w:val="single" w:sz="6" w:space="0" w:color="000000"/>
            </w:tcBorders>
          </w:tcPr>
          <w:p>
            <w:pPr>
              <w:pStyle w:val="BodyText1"/>
              <w:spacing w:before="0" w:after="0"/>
              <w:jc w:val="center"/>
              <w:rPr>
                <w:sz w:val="20"/>
              </w:rPr>
            </w:pPr>
            <w:r>
              <w:rPr>
                <w:sz w:val="20"/>
              </w:rPr>
              <w:t>Klagetoh</w:t>
              <w:br/>
              <w:t>Station 4</w:t>
            </w:r>
          </w:p>
        </w:tc>
        <w:tc>
          <w:tcPr>
            <w:tcW w:w="1378" w:type="dxa"/>
            <w:tcBorders>
              <w:top w:val="single" w:sz="6" w:space="0" w:color="000000"/>
              <w:start w:val="single" w:sz="6" w:space="0" w:color="000000"/>
              <w:end w:val="single" w:sz="6" w:space="0" w:color="000000"/>
            </w:tcBorders>
          </w:tcPr>
          <w:p>
            <w:pPr>
              <w:pStyle w:val="BodyText1"/>
              <w:spacing w:before="120" w:after="0"/>
              <w:jc w:val="center"/>
              <w:rPr>
                <w:sz w:val="20"/>
              </w:rPr>
            </w:pPr>
            <w:r>
              <w:rPr>
                <w:sz w:val="20"/>
              </w:rPr>
              <w:t>102.6</w:t>
            </w:r>
          </w:p>
        </w:tc>
        <w:tc>
          <w:tcPr>
            <w:tcW w:w="1379" w:type="dxa"/>
            <w:tcBorders>
              <w:top w:val="single" w:sz="6" w:space="0" w:color="000000"/>
              <w:start w:val="single" w:sz="6" w:space="0" w:color="000000"/>
              <w:end w:val="single" w:sz="6" w:space="0" w:color="000000"/>
            </w:tcBorders>
          </w:tcPr>
          <w:p>
            <w:pPr>
              <w:pStyle w:val="BodyText1"/>
              <w:spacing w:before="120" w:after="0"/>
              <w:jc w:val="center"/>
              <w:rPr>
                <w:sz w:val="20"/>
              </w:rPr>
            </w:pPr>
            <w:r>
              <w:rPr>
                <w:sz w:val="20"/>
              </w:rPr>
              <w:t>23.4</w:t>
            </w:r>
          </w:p>
        </w:tc>
        <w:tc>
          <w:tcPr>
            <w:tcW w:w="1379" w:type="dxa"/>
            <w:tcBorders>
              <w:top w:val="single" w:sz="6" w:space="0" w:color="000000"/>
              <w:start w:val="single" w:sz="6" w:space="0" w:color="000000"/>
              <w:end w:val="single" w:sz="6" w:space="0" w:color="000000"/>
            </w:tcBorders>
          </w:tcPr>
          <w:p>
            <w:pPr>
              <w:pStyle w:val="BodyText1"/>
              <w:spacing w:before="120" w:after="0"/>
              <w:jc w:val="center"/>
              <w:rPr>
                <w:sz w:val="20"/>
              </w:rPr>
            </w:pPr>
            <w:r>
              <w:rPr>
                <w:sz w:val="20"/>
              </w:rPr>
              <w:t>62.3</w:t>
            </w:r>
          </w:p>
        </w:tc>
        <w:tc>
          <w:tcPr>
            <w:tcW w:w="1379" w:type="dxa"/>
            <w:tcBorders>
              <w:top w:val="single" w:sz="6" w:space="0" w:color="000000"/>
              <w:start w:val="single" w:sz="6" w:space="0" w:color="000000"/>
              <w:end w:val="single" w:sz="6" w:space="0" w:color="000000"/>
            </w:tcBorders>
          </w:tcPr>
          <w:p>
            <w:pPr>
              <w:pStyle w:val="BodyText1"/>
              <w:spacing w:before="120" w:after="0"/>
              <w:jc w:val="center"/>
              <w:rPr>
                <w:sz w:val="20"/>
              </w:rPr>
            </w:pPr>
            <w:r>
              <w:rPr>
                <w:sz w:val="20"/>
              </w:rPr>
              <w:t>14.2</w:t>
            </w:r>
          </w:p>
        </w:tc>
      </w:tr>
      <w:tr>
        <w:trPr/>
        <w:tc>
          <w:tcPr>
            <w:tcW w:w="6812" w:type="dxa"/>
            <w:gridSpan w:val="5"/>
            <w:tcBorders>
              <w:top w:val="single" w:sz="6" w:space="0" w:color="000000"/>
            </w:tcBorders>
          </w:tcPr>
          <w:p>
            <w:pPr>
              <w:pStyle w:val="BodyText1"/>
              <w:spacing w:before="120" w:after="0"/>
              <w:jc w:val="start"/>
              <w:rPr/>
            </w:pPr>
            <w:r>
              <w:rPr>
                <w:sz w:val="16"/>
                <w:vertAlign w:val="superscript"/>
              </w:rPr>
              <w:t>1</w:t>
            </w:r>
            <w:r>
              <w:rPr>
                <w:sz w:val="16"/>
              </w:rPr>
              <w:t>Tons per year</w:t>
              <w:br/>
            </w:r>
            <w:r>
              <w:rPr>
                <w:sz w:val="16"/>
                <w:vertAlign w:val="superscript"/>
              </w:rPr>
              <w:t>2</w:t>
            </w:r>
            <w:r>
              <w:rPr>
                <w:sz w:val="16"/>
              </w:rPr>
              <w:t>Pounds per hour</w:t>
            </w:r>
          </w:p>
        </w:tc>
      </w:tr>
    </w:tbl>
    <w:p>
      <w:pPr>
        <w:pStyle w:val="BodyText1"/>
        <w:rPr/>
      </w:pPr>
      <w:r>
        <w:rPr/>
      </w:r>
    </w:p>
    <w:p>
      <w:pPr>
        <w:pStyle w:val="BodyText1"/>
        <w:rPr/>
      </w:pPr>
      <w:r>
        <w:rPr/>
        <w:t xml:space="preserve">Transwestern is currently in the process of obtaining the required air permits for the proposed new compressor units.  Permit applications for Stations 1 and 2 have been submitted to the Arizona Department of Environmental Quality on March 26, 2001. Copies of the applications are provided in </w:t>
      </w:r>
      <w:r>
        <w:rPr>
          <w:b/>
        </w:rPr>
        <w:t>Appendix E</w:t>
      </w:r>
      <w:r>
        <w:rPr/>
        <w:t>.  For Stations 3 and 4, the EPA has requested Transwestern to conduct emission testing. Transwestern plans to conduct the testing between March 28 and April 6, 2001.  Once this data is obtained, air permit applications for Station 3 and 4 will be submitted.  Copies will be provided to FERC as soon as they are available.</w:t>
      </w:r>
    </w:p>
    <w:p>
      <w:pPr>
        <w:pStyle w:val="Heading3"/>
        <w:ind w:hanging="0" w:start="0"/>
        <w:rPr/>
      </w:pPr>
      <w:bookmarkStart w:id="28" w:name="__RefHeading___Toc509915833"/>
      <w:bookmarkEnd w:id="28"/>
      <w:r>
        <w:rPr/>
        <w:t>Air Quality Mitigation</w:t>
      </w:r>
    </w:p>
    <w:p>
      <w:pPr>
        <w:pStyle w:val="BodyText1"/>
        <w:rPr/>
      </w:pPr>
      <w:r>
        <w:rPr/>
        <w:t>Since Transwestern expects to significantly reduce NO</w:t>
      </w:r>
      <w:r>
        <w:rPr>
          <w:vertAlign w:val="subscript"/>
        </w:rPr>
        <w:t>x</w:t>
      </w:r>
      <w:r>
        <w:rPr/>
        <w:t xml:space="preserve"> and CO emissions by installing the new units, no other air quality mitigation is proposed.  However, Transwestern will adhere to any additional permit conditions imposed by the air permitting agencies.</w:t>
      </w:r>
    </w:p>
    <w:p>
      <w:pPr>
        <w:pStyle w:val="Heading2"/>
        <w:ind w:hanging="0" w:start="0"/>
        <w:rPr/>
      </w:pPr>
      <w:bookmarkStart w:id="29" w:name="__RefHeading___Toc509915834"/>
      <w:bookmarkEnd w:id="29"/>
      <w:r>
        <w:rPr/>
        <w:t>Noise Quality</w:t>
      </w:r>
    </w:p>
    <w:p>
      <w:pPr>
        <w:pStyle w:val="Heading3"/>
        <w:ind w:hanging="0" w:start="0"/>
        <w:rPr/>
      </w:pPr>
      <w:bookmarkStart w:id="30" w:name="__RefHeading___Toc509915835"/>
      <w:bookmarkEnd w:id="30"/>
      <w:r>
        <w:rPr/>
        <w:t>Existing Noise Quality</w:t>
      </w:r>
    </w:p>
    <w:p>
      <w:pPr>
        <w:pStyle w:val="BodyText1"/>
        <w:rPr/>
      </w:pPr>
      <w:r>
        <w:rPr/>
        <w:t xml:space="preserve">Noise level analyses have been conducted for each of the four compressor stations.  Results of these analyses have been summarized in </w:t>
      </w:r>
      <w:r>
        <w:rPr>
          <w:b/>
        </w:rPr>
        <w:t>Table 9-2</w:t>
      </w:r>
      <w:r>
        <w:rPr/>
        <w:t xml:space="preserve">.  Copies of the detailed noise reports have been included in </w:t>
      </w:r>
      <w:r>
        <w:rPr>
          <w:b/>
        </w:rPr>
        <w:t>Appendix F</w:t>
      </w:r>
      <w:r>
        <w:rPr/>
        <w:t>.</w:t>
      </w:r>
    </w:p>
    <w:p>
      <w:pPr>
        <w:pStyle w:val="Caption"/>
        <w:jc w:val="center"/>
        <w:rPr/>
      </w:pPr>
      <w:bookmarkStart w:id="31" w:name="__RefHeading___Toc509915854"/>
      <w:bookmarkEnd w:id="31"/>
      <w:r>
        <w:rPr/>
        <w:t xml:space="preserve">Table </w:t>
      </w:r>
      <w:r>
        <w:fldChar w:fldCharType="begin"/>
      </w:r>
      <w:r>
        <w:rPr>
          <w:lang w:val="en-CA"/>
        </w:rPr>
        <w:instrText xml:space="preserve"> STYLEREF 1 \s </w:instrText>
      </w:r>
      <w:r>
        <w:rPr>
          <w:lang w:val="en-CA"/>
        </w:rPr>
      </w:r>
      <w:r>
        <w:rPr>
          <w:lang w:val="en-CA"/>
        </w:rPr>
        <w:fldChar w:fldCharType="separate"/>
      </w:r>
      <w:r>
        <w:rPr>
          <w:lang w:val="en-CA"/>
        </w:rPr>
        <w:t>9</w:t>
      </w:r>
      <w:r>
        <w:rPr>
          <w:lang w:val="en-CA"/>
        </w:rPr>
      </w:r>
      <w:r>
        <w:rPr>
          <w:lang w:val="en-CA"/>
        </w:rPr>
        <w:fldChar w:fldCharType="end"/>
      </w:r>
      <w:r>
        <w:rPr/>
        <w:noBreakHyphen/>
      </w:r>
      <w:r>
        <w:rPr/>
        <w:fldChar w:fldCharType="begin"/>
      </w:r>
      <w:r>
        <w:rPr/>
        <w:instrText xml:space="preserve"> SEQ Table \* ARABIC </w:instrText>
      </w:r>
      <w:r>
        <w:rPr/>
        <w:fldChar w:fldCharType="separate"/>
      </w:r>
      <w:r>
        <w:rPr/>
        <w:t>7</w:t>
      </w:r>
      <w:r>
        <w:rPr/>
        <w:fldChar w:fldCharType="end"/>
      </w:r>
      <w:r>
        <w:rPr/>
        <w:t>.</w:t>
        <w:tab/>
        <w:t>Summary of Noise Quality Analysis.</w:t>
      </w:r>
    </w:p>
    <w:tbl>
      <w:tblPr>
        <w:tblW w:w="8748" w:type="dxa"/>
        <w:jc w:val="start"/>
        <w:tblInd w:w="108" w:type="dxa"/>
        <w:tblLayout w:type="fixed"/>
        <w:tblCellMar>
          <w:top w:w="0" w:type="dxa"/>
          <w:start w:w="108" w:type="dxa"/>
          <w:bottom w:w="0" w:type="dxa"/>
          <w:end w:w="108" w:type="dxa"/>
        </w:tblCellMar>
      </w:tblPr>
      <w:tblGrid>
        <w:gridCol w:w="1297"/>
        <w:gridCol w:w="1313"/>
        <w:gridCol w:w="2107"/>
        <w:gridCol w:w="2126"/>
        <w:gridCol w:w="1905"/>
      </w:tblGrid>
      <w:tr>
        <w:trPr/>
        <w:tc>
          <w:tcPr>
            <w:tcW w:w="1297" w:type="dxa"/>
            <w:tcBorders>
              <w:top w:val="single" w:sz="6" w:space="0" w:color="000000"/>
              <w:start w:val="single" w:sz="6" w:space="0" w:color="000000"/>
              <w:bottom w:val="double" w:sz="4" w:space="0" w:color="000000"/>
              <w:end w:val="single" w:sz="6" w:space="0" w:color="000000"/>
            </w:tcBorders>
          </w:tcPr>
          <w:p>
            <w:pPr>
              <w:pStyle w:val="BodyText1"/>
              <w:spacing w:before="0" w:after="0"/>
              <w:jc w:val="center"/>
              <w:rPr>
                <w:b/>
                <w:sz w:val="20"/>
              </w:rPr>
            </w:pPr>
            <w:r>
              <w:rPr>
                <w:b/>
                <w:sz w:val="20"/>
              </w:rPr>
              <w:t>Station</w:t>
            </w:r>
          </w:p>
        </w:tc>
        <w:tc>
          <w:tcPr>
            <w:tcW w:w="1313" w:type="dxa"/>
            <w:tcBorders>
              <w:top w:val="single" w:sz="6" w:space="0" w:color="000000"/>
              <w:start w:val="single" w:sz="6" w:space="0" w:color="000000"/>
              <w:bottom w:val="double" w:sz="4" w:space="0" w:color="000000"/>
              <w:end w:val="single" w:sz="6" w:space="0" w:color="000000"/>
            </w:tcBorders>
          </w:tcPr>
          <w:p>
            <w:pPr>
              <w:pStyle w:val="BodyText1"/>
              <w:spacing w:before="0" w:after="0"/>
              <w:jc w:val="center"/>
              <w:rPr>
                <w:b/>
                <w:sz w:val="20"/>
              </w:rPr>
            </w:pPr>
            <w:r>
              <w:rPr>
                <w:b/>
                <w:sz w:val="20"/>
              </w:rPr>
              <w:t>Distance to NSA</w:t>
            </w:r>
            <w:r>
              <w:rPr>
                <w:b/>
                <w:sz w:val="20"/>
                <w:vertAlign w:val="superscript"/>
              </w:rPr>
              <w:t>1</w:t>
            </w:r>
          </w:p>
        </w:tc>
        <w:tc>
          <w:tcPr>
            <w:tcW w:w="2107" w:type="dxa"/>
            <w:tcBorders>
              <w:top w:val="single" w:sz="6" w:space="0" w:color="000000"/>
              <w:start w:val="single" w:sz="6" w:space="0" w:color="000000"/>
              <w:bottom w:val="double" w:sz="4" w:space="0" w:color="000000"/>
              <w:end w:val="single" w:sz="6" w:space="0" w:color="000000"/>
            </w:tcBorders>
          </w:tcPr>
          <w:p>
            <w:pPr>
              <w:pStyle w:val="BodyText1"/>
              <w:spacing w:before="0" w:after="0"/>
              <w:jc w:val="center"/>
              <w:rPr>
                <w:b/>
                <w:sz w:val="20"/>
              </w:rPr>
            </w:pPr>
            <w:r>
              <w:rPr>
                <w:b/>
                <w:sz w:val="20"/>
              </w:rPr>
              <w:t>Measured Ambient Noise Level</w:t>
            </w:r>
            <w:r>
              <w:rPr>
                <w:b/>
                <w:sz w:val="20"/>
                <w:vertAlign w:val="superscript"/>
              </w:rPr>
              <w:t>2</w:t>
            </w:r>
          </w:p>
        </w:tc>
        <w:tc>
          <w:tcPr>
            <w:tcW w:w="2126" w:type="dxa"/>
            <w:tcBorders>
              <w:top w:val="single" w:sz="6" w:space="0" w:color="000000"/>
              <w:start w:val="single" w:sz="6" w:space="0" w:color="000000"/>
              <w:bottom w:val="double" w:sz="4" w:space="0" w:color="000000"/>
              <w:end w:val="single" w:sz="6" w:space="0" w:color="000000"/>
            </w:tcBorders>
          </w:tcPr>
          <w:p>
            <w:pPr>
              <w:pStyle w:val="BodyText1"/>
              <w:spacing w:before="0" w:after="0"/>
              <w:jc w:val="center"/>
              <w:rPr>
                <w:b/>
                <w:sz w:val="20"/>
              </w:rPr>
            </w:pPr>
            <w:r>
              <w:rPr>
                <w:b/>
                <w:sz w:val="20"/>
              </w:rPr>
              <w:t>Calculated Ambient Noise Level</w:t>
            </w:r>
            <w:r>
              <w:rPr>
                <w:rFonts w:cs="Arial Bold;Arial" w:ascii="Arial Bold;Arial" w:hAnsi="Arial Bold;Arial"/>
                <w:b/>
                <w:sz w:val="20"/>
                <w:vertAlign w:val="superscript"/>
              </w:rPr>
              <w:t>3</w:t>
            </w:r>
          </w:p>
        </w:tc>
        <w:tc>
          <w:tcPr>
            <w:tcW w:w="1905" w:type="dxa"/>
            <w:tcBorders>
              <w:top w:val="single" w:sz="6" w:space="0" w:color="000000"/>
              <w:start w:val="single" w:sz="6" w:space="0" w:color="000000"/>
              <w:bottom w:val="double" w:sz="4" w:space="0" w:color="000000"/>
              <w:end w:val="single" w:sz="6" w:space="0" w:color="000000"/>
            </w:tcBorders>
          </w:tcPr>
          <w:p>
            <w:pPr>
              <w:pStyle w:val="BodyText1"/>
              <w:spacing w:before="0" w:after="0"/>
              <w:jc w:val="center"/>
              <w:rPr>
                <w:b/>
                <w:sz w:val="20"/>
              </w:rPr>
            </w:pPr>
            <w:r>
              <w:rPr>
                <w:b/>
                <w:sz w:val="20"/>
              </w:rPr>
              <w:t>Estimated Noise Level</w:t>
            </w:r>
            <w:r>
              <w:rPr>
                <w:rFonts w:cs="Arial Bold;Arial" w:ascii="Arial Bold;Arial" w:hAnsi="Arial Bold;Arial"/>
                <w:b/>
                <w:sz w:val="20"/>
                <w:vertAlign w:val="superscript"/>
              </w:rPr>
              <w:t>4</w:t>
            </w:r>
          </w:p>
        </w:tc>
      </w:tr>
      <w:tr>
        <w:trPr/>
        <w:tc>
          <w:tcPr>
            <w:tcW w:w="1297" w:type="dxa"/>
            <w:tcBorders>
              <w:start w:val="single" w:sz="6" w:space="0" w:color="000000"/>
              <w:bottom w:val="single" w:sz="6" w:space="0" w:color="000000"/>
              <w:end w:val="single" w:sz="6" w:space="0" w:color="000000"/>
            </w:tcBorders>
          </w:tcPr>
          <w:p>
            <w:pPr>
              <w:pStyle w:val="BodyText1"/>
              <w:spacing w:before="0" w:after="0"/>
              <w:jc w:val="center"/>
              <w:rPr>
                <w:sz w:val="20"/>
              </w:rPr>
            </w:pPr>
            <w:r>
              <w:rPr>
                <w:sz w:val="20"/>
              </w:rPr>
              <w:t>Kingman</w:t>
              <w:br/>
              <w:t>Station 1</w:t>
            </w:r>
          </w:p>
        </w:tc>
        <w:tc>
          <w:tcPr>
            <w:tcW w:w="1313"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2,700</w:t>
            </w:r>
          </w:p>
        </w:tc>
        <w:tc>
          <w:tcPr>
            <w:tcW w:w="2107"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44.9</w:t>
            </w:r>
          </w:p>
        </w:tc>
        <w:tc>
          <w:tcPr>
            <w:tcW w:w="2126"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51.3</w:t>
            </w:r>
          </w:p>
        </w:tc>
        <w:tc>
          <w:tcPr>
            <w:tcW w:w="1905"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48.0</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Flagstaff</w:t>
              <w:br/>
              <w:t>Station 2</w:t>
            </w:r>
          </w:p>
        </w:tc>
        <w:tc>
          <w:tcPr>
            <w:tcW w:w="1313"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4,600</w:t>
            </w:r>
          </w:p>
        </w:tc>
        <w:tc>
          <w:tcPr>
            <w:tcW w:w="2107"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38.2</w:t>
            </w:r>
          </w:p>
        </w:tc>
        <w:tc>
          <w:tcPr>
            <w:tcW w:w="2126"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44.6</w:t>
            </w:r>
          </w:p>
        </w:tc>
        <w:tc>
          <w:tcPr>
            <w:tcW w:w="1905"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45.4</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Leupp</w:t>
              <w:br/>
              <w:t>Station 3</w:t>
            </w:r>
          </w:p>
        </w:tc>
        <w:tc>
          <w:tcPr>
            <w:tcW w:w="1313"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2,000</w:t>
            </w:r>
          </w:p>
        </w:tc>
        <w:tc>
          <w:tcPr>
            <w:tcW w:w="2107"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38.8</w:t>
            </w:r>
          </w:p>
        </w:tc>
        <w:tc>
          <w:tcPr>
            <w:tcW w:w="2126"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45.2</w:t>
            </w:r>
          </w:p>
        </w:tc>
        <w:tc>
          <w:tcPr>
            <w:tcW w:w="1905"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50.0</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Klagetoh</w:t>
              <w:br/>
              <w:t>Station 4</w:t>
            </w:r>
          </w:p>
        </w:tc>
        <w:tc>
          <w:tcPr>
            <w:tcW w:w="1313"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1,000</w:t>
            </w:r>
          </w:p>
        </w:tc>
        <w:tc>
          <w:tcPr>
            <w:tcW w:w="2107"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46.5</w:t>
            </w:r>
          </w:p>
        </w:tc>
        <w:tc>
          <w:tcPr>
            <w:tcW w:w="2126"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52.9</w:t>
            </w:r>
          </w:p>
        </w:tc>
        <w:tc>
          <w:tcPr>
            <w:tcW w:w="1905"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53.0</w:t>
            </w:r>
          </w:p>
        </w:tc>
      </w:tr>
    </w:tbl>
    <w:p>
      <w:pPr>
        <w:pStyle w:val="BodyText1"/>
        <w:spacing w:before="120" w:after="0"/>
        <w:ind w:start="288" w:end="0"/>
        <w:rPr/>
      </w:pPr>
      <w:r>
        <w:rPr>
          <w:sz w:val="18"/>
          <w:vertAlign w:val="superscript"/>
        </w:rPr>
        <w:t>1</w:t>
      </w:r>
      <w:r>
        <w:rPr>
          <w:sz w:val="18"/>
        </w:rPr>
        <w:t>Distance from existing compressor building to nearest Noise Sensitive Area (NSA) in feet.</w:t>
      </w:r>
    </w:p>
    <w:p>
      <w:pPr>
        <w:pStyle w:val="BodyText1"/>
        <w:spacing w:before="0" w:after="0"/>
        <w:ind w:start="288" w:end="0"/>
        <w:rPr/>
      </w:pPr>
      <w:r>
        <w:rPr>
          <w:sz w:val="18"/>
          <w:vertAlign w:val="superscript"/>
        </w:rPr>
        <w:t>2</w:t>
      </w:r>
      <w:r>
        <w:rPr>
          <w:sz w:val="18"/>
        </w:rPr>
        <w:t>Existing daytime noise level (L</w:t>
      </w:r>
      <w:r>
        <w:rPr>
          <w:sz w:val="18"/>
          <w:vertAlign w:val="subscript"/>
        </w:rPr>
        <w:t>d</w:t>
      </w:r>
      <w:r>
        <w:rPr>
          <w:sz w:val="18"/>
        </w:rPr>
        <w:t>) measured at the NSA in decibels (dBA).</w:t>
      </w:r>
    </w:p>
    <w:p>
      <w:pPr>
        <w:pStyle w:val="BodyText1"/>
        <w:spacing w:before="0" w:after="0"/>
        <w:ind w:start="288" w:end="0"/>
        <w:rPr/>
      </w:pPr>
      <w:r>
        <w:rPr>
          <w:sz w:val="18"/>
          <w:vertAlign w:val="superscript"/>
        </w:rPr>
        <w:t>3</w:t>
      </w:r>
      <w:r>
        <w:rPr>
          <w:sz w:val="18"/>
        </w:rPr>
        <w:t>Calculated day/night noise level (L</w:t>
      </w:r>
      <w:r>
        <w:rPr>
          <w:sz w:val="18"/>
          <w:vertAlign w:val="subscript"/>
        </w:rPr>
        <w:t>dn</w:t>
      </w:r>
      <w:r>
        <w:rPr>
          <w:sz w:val="18"/>
        </w:rPr>
        <w:t>) at the NSA in decibels (dBA).</w:t>
      </w:r>
    </w:p>
    <w:p>
      <w:pPr>
        <w:pStyle w:val="BodyText1"/>
        <w:ind w:start="288" w:end="0"/>
        <w:rPr/>
      </w:pPr>
      <w:r>
        <w:rPr>
          <w:sz w:val="18"/>
          <w:vertAlign w:val="superscript"/>
        </w:rPr>
        <w:t>4</w:t>
      </w:r>
      <w:r>
        <w:rPr>
          <w:sz w:val="18"/>
        </w:rPr>
        <w:t>Estimated day/night noise level in decibels (L</w:t>
      </w:r>
      <w:r>
        <w:rPr>
          <w:sz w:val="18"/>
          <w:vertAlign w:val="subscript"/>
        </w:rPr>
        <w:t>dn</w:t>
      </w:r>
      <w:r>
        <w:rPr>
          <w:sz w:val="18"/>
        </w:rPr>
        <w:t>) at the NSA after new compressor unit installed.</w:t>
      </w:r>
    </w:p>
    <w:p>
      <w:pPr>
        <w:pStyle w:val="BodyText1"/>
        <w:spacing w:before="0" w:after="0"/>
        <w:rPr>
          <w:sz w:val="18"/>
        </w:rPr>
      </w:pPr>
      <w:r>
        <w:rPr>
          <w:sz w:val="18"/>
        </w:rPr>
      </w:r>
    </w:p>
    <w:p>
      <w:pPr>
        <w:pStyle w:val="Heading3"/>
        <w:ind w:hanging="0" w:start="0"/>
        <w:rPr/>
      </w:pPr>
      <w:bookmarkStart w:id="32" w:name="__RefHeading___Toc509915836"/>
      <w:bookmarkEnd w:id="32"/>
      <w:r>
        <w:rPr/>
        <w:t>Operation Noise Impacts</w:t>
      </w:r>
    </w:p>
    <w:p>
      <w:pPr>
        <w:pStyle w:val="BodyText1"/>
        <w:rPr/>
      </w:pPr>
      <w:r>
        <w:rPr/>
        <w:t>The predicted noise level attributable to the new compressor unit and associated equipment was calculated for each station.  Based on this analysis, predicted noise levels will be below the FERC required 55 dBA L</w:t>
      </w:r>
      <w:r>
        <w:rPr>
          <w:vertAlign w:val="subscript"/>
        </w:rPr>
        <w:t>dn</w:t>
      </w:r>
      <w:r>
        <w:rPr/>
        <w:t xml:space="preserve"> at the nearest NSA for all four stations.  Please refer to </w:t>
      </w:r>
      <w:r>
        <w:rPr>
          <w:b/>
        </w:rPr>
        <w:t>Appendix E</w:t>
      </w:r>
      <w:r>
        <w:rPr/>
        <w:t xml:space="preserve"> for specific details of the noise analysis.</w:t>
      </w:r>
    </w:p>
    <w:p>
      <w:pPr>
        <w:pStyle w:val="Heading3"/>
        <w:ind w:hanging="0" w:start="0"/>
        <w:rPr/>
      </w:pPr>
      <w:bookmarkStart w:id="33" w:name="__RefHeading___Toc509915837"/>
      <w:bookmarkEnd w:id="33"/>
      <w:r>
        <w:rPr/>
        <w:t>Noise Mitigation</w:t>
      </w:r>
    </w:p>
    <w:p>
      <w:pPr>
        <w:pStyle w:val="BodyText1"/>
        <w:rPr/>
      </w:pPr>
      <w:r>
        <w:rPr/>
        <w:t>Transwestern will adhere to the FERC required 55 dBA L</w:t>
      </w:r>
      <w:r>
        <w:rPr>
          <w:vertAlign w:val="subscript"/>
        </w:rPr>
        <w:t>dn</w:t>
      </w:r>
      <w:r>
        <w:rPr/>
        <w:t xml:space="preserve"> at the nearest NSA for each station.  Mitigation measures suggested in the noise analyses will be evaluated for each station and utilized as necessary to meet this requirement.</w:t>
      </w:r>
    </w:p>
    <w:p>
      <w:pPr>
        <w:pStyle w:val="Heading2"/>
        <w:ind w:hanging="0" w:start="0"/>
        <w:rPr/>
      </w:pPr>
      <w:bookmarkStart w:id="34" w:name="__RefHeading___Toc509915838"/>
      <w:bookmarkEnd w:id="34"/>
      <w:r>
        <w:rPr/>
        <w:t>References</w:t>
      </w:r>
    </w:p>
    <w:p>
      <w:pPr>
        <w:pStyle w:val="References"/>
        <w:rPr/>
      </w:pPr>
      <w:r>
        <w:rPr/>
        <w:t>U.S. Environmental Protection Agency, Region IX Air Program.  1999.  Air Quality Maps for Region IX, http://www.epa.gov/region09/air/maps.</w:t>
      </w:r>
    </w:p>
    <w:p>
      <w:pPr>
        <w:pStyle w:val="Heading1"/>
        <w:ind w:hanging="0" w:start="0"/>
        <w:rPr/>
      </w:pPr>
      <w:bookmarkStart w:id="35" w:name="__RefHeading___Toc509915839"/>
      <w:bookmarkEnd w:id="35"/>
      <w:r>
        <w:rPr/>
        <w:t>Alternatives</w:t>
      </w:r>
    </w:p>
    <w:p>
      <w:pPr>
        <w:pStyle w:val="BodyText1"/>
        <w:rPr>
          <w:lang w:eastAsia="en-US"/>
        </w:rPr>
      </w:pPr>
      <w:r>
        <w:rPr>
          <w:lang w:eastAsia="en-US"/>
        </w:rPr>
        <w:t>The proposed project will allow Transwestern to increase its system’s capacity to provide natural gas to California.  Currently, the California market has a critical need for additional energy, including natural gas.  There is also a long-term need to meet an ever-increasing demand.  Transwestern’s proposed expansion is designed to balance the long-term need for large quantities of gas with the immediate need that has to be met quickly.</w:t>
      </w:r>
    </w:p>
    <w:p>
      <w:pPr>
        <w:pStyle w:val="Heading2"/>
        <w:ind w:hanging="0" w:start="0"/>
        <w:rPr>
          <w:lang w:eastAsia="en-US"/>
        </w:rPr>
      </w:pPr>
      <w:bookmarkStart w:id="36" w:name="__RefHeading___Toc509915840"/>
      <w:bookmarkEnd w:id="36"/>
      <w:r>
        <w:rPr>
          <w:lang w:eastAsia="en-US"/>
        </w:rPr>
        <w:t>No Action Alternative</w:t>
      </w:r>
    </w:p>
    <w:p>
      <w:pPr>
        <w:pStyle w:val="BodyText1"/>
        <w:rPr/>
      </w:pPr>
      <w:r>
        <w:rPr/>
        <w:t>Under the "No Action" alternative, Transwestern would not replace existing units with new compressor units at each of their mainline stations in Arizona.  Failure to install the new units would result in Transwestern being unable to meet the projected growth in demand for California.  If Transwestern is unable to meet this demand, other facilities may need to be constructed.  Construction of other facilities are likely to incur increased environmental impacts.  Furthermore, if the proposed facilities are not constructed, other sources of energy may have to be utilized that are not as clean burning as natural gas.</w:t>
      </w:r>
    </w:p>
    <w:p>
      <w:pPr>
        <w:pStyle w:val="Heading2"/>
        <w:ind w:hanging="0" w:start="0"/>
        <w:rPr>
          <w:lang w:eastAsia="en-US"/>
        </w:rPr>
      </w:pPr>
      <w:bookmarkStart w:id="37" w:name="__RefHeading___Toc509915841"/>
      <w:bookmarkEnd w:id="37"/>
      <w:r>
        <w:rPr>
          <w:lang w:eastAsia="en-US"/>
        </w:rPr>
        <w:t>Facility Alternatives</w:t>
      </w:r>
    </w:p>
    <w:p>
      <w:pPr>
        <w:pStyle w:val="BodyText1"/>
        <w:rPr>
          <w:lang w:eastAsia="en-US"/>
        </w:rPr>
      </w:pPr>
      <w:r>
        <w:rPr>
          <w:lang w:eastAsia="en-US"/>
        </w:rPr>
        <w:t>Essentially there are two primary methods to increase system capacity.  One is to construct additional pipeline and the other is adding compression.  Constructing additional pipeline was not considered a viable alternative for two reasons.  First, new pipeline construction would incur increased environmental impacts.  Secondly, constructing new or loop line to meet the existing demand would take considerably more time and would not allow the project to meet short-term goals.</w:t>
      </w:r>
    </w:p>
    <w:p>
      <w:pPr>
        <w:pStyle w:val="BodyText1"/>
        <w:rPr>
          <w:lang w:eastAsia="en-US"/>
        </w:rPr>
      </w:pPr>
      <w:r>
        <w:rPr>
          <w:lang w:eastAsia="en-US"/>
        </w:rPr>
        <w:t xml:space="preserve">Adding compression can include new stations or modifying existing stations.  Again, new stations were not considered since environmental impacts would be higher and construction of new facilities would take longer.  Therefore, the only alternative considered was modifying existing stations. </w:t>
      </w:r>
    </w:p>
    <w:p>
      <w:pPr>
        <w:pStyle w:val="Heading2"/>
        <w:ind w:hanging="0" w:start="0"/>
        <w:rPr/>
      </w:pPr>
      <w:bookmarkStart w:id="38" w:name="__RefHeading___Toc509915842"/>
      <w:bookmarkEnd w:id="38"/>
      <w:r>
        <w:rPr/>
        <w:t>Conclusions</w:t>
      </w:r>
    </w:p>
    <w:p>
      <w:pPr>
        <w:pStyle w:val="BodyText1"/>
        <w:rPr/>
      </w:pPr>
      <w:r>
        <w:rPr/>
        <w:t>In engineering the proposed expansion, Transwestern analyzed both short-term and long-term capacity demands to determine the optimal design.  The proposed action represents this analysis.  By modifying existing stations, Transwestern will be able to meet the project goals while avoiding significant environmental impacts and decreasing emissions.</w:t>
      </w:r>
    </w:p>
    <w:p>
      <w:pPr>
        <w:pStyle w:val="Heading1"/>
        <w:ind w:hanging="0" w:start="0"/>
        <w:rPr/>
      </w:pPr>
      <w:bookmarkStart w:id="39" w:name="__RefHeading___Toc509915843"/>
      <w:bookmarkEnd w:id="39"/>
      <w:r>
        <w:rPr/>
        <w:t>Reliability and Safety</w:t>
      </w:r>
    </w:p>
    <w:p>
      <w:pPr>
        <w:pStyle w:val="BodyText1"/>
        <w:rPr/>
      </w:pPr>
      <w:r>
        <w:rPr/>
        <w:t>The project does not include the construction of new or recommissioned LNG facilities.  Therefore, no discussion is provided.</w:t>
      </w:r>
    </w:p>
    <w:p>
      <w:pPr>
        <w:pStyle w:val="Heading1"/>
        <w:ind w:hanging="0" w:start="0"/>
        <w:rPr/>
      </w:pPr>
      <w:bookmarkStart w:id="40" w:name="__RefHeading___Toc509915844"/>
      <w:bookmarkEnd w:id="40"/>
      <w:r>
        <w:rPr/>
        <w:t>PCB Contamination</w:t>
      </w:r>
    </w:p>
    <w:p>
      <w:pPr>
        <w:pStyle w:val="Heading2"/>
        <w:ind w:hanging="0" w:start="0"/>
        <w:rPr/>
      </w:pPr>
      <w:bookmarkStart w:id="41" w:name="__RefHeading___Toc509915845"/>
      <w:bookmarkEnd w:id="41"/>
      <w:r>
        <w:rPr/>
        <w:t>PCB Regulations</w:t>
      </w:r>
    </w:p>
    <w:p>
      <w:pPr>
        <w:pStyle w:val="BodyText1"/>
        <w:rPr/>
      </w:pPr>
      <w:r>
        <w:rPr/>
        <w:t>Transwestern will comply with all applicable environmental laws and regulations in connection with activities proposed herein including, where appropriate, the storage, destruction and disposal requirements of 40 C.F.R. Part 761.</w:t>
      </w:r>
    </w:p>
    <w:p>
      <w:pPr>
        <w:pStyle w:val="BodyText1"/>
        <w:rPr/>
      </w:pPr>
      <w:r>
        <w:rPr/>
        <w:t>On June 29, 1998 the Environmental Protection Agency (EPA) issued the PCB Mega-Rule which became effective August 28, 1998.  The Mega-Rule was a comprehensive revision to the PCB regulations.  As a result of the new rules, the EPA has notified Transwestern that its Alternative Disposal Permit would not be extended beyond November 28, 1998.  Transwestern’s activities that might be regulated under the Toxic Substances Control Act, if any, from that date on would solely be driven by EPA’s applicable regulations.</w:t>
      </w:r>
    </w:p>
    <w:p>
      <w:pPr>
        <w:pStyle w:val="Heading2"/>
        <w:ind w:hanging="0" w:start="0"/>
        <w:rPr/>
      </w:pPr>
      <w:bookmarkStart w:id="42" w:name="__RefHeading___Toc509915846"/>
      <w:bookmarkEnd w:id="42"/>
      <w:r>
        <w:rPr/>
        <w:t>References</w:t>
      </w:r>
    </w:p>
    <w:p>
      <w:pPr>
        <w:pStyle w:val="References"/>
        <w:rPr/>
      </w:pPr>
      <w:r>
        <w:rPr/>
        <w:t>18 CFR Part 380, Appendix A – Guidelines for the Preparation of Environmental Reports for Applications under the Natural Gas Act as Specified in § 380.3 of the Commission’s Regulations.</w:t>
      </w:r>
    </w:p>
    <w:p>
      <w:pPr>
        <w:pStyle w:val="References"/>
        <w:rPr/>
      </w:pPr>
      <w:r>
        <w:rPr/>
        <w:t>40 CFR Part 761, Polychlorinated Biphenyls (PCBs) Manufacturing, Processing, Distribution in Commerce, and Use Prohibitions.</w:t>
      </w:r>
    </w:p>
    <w:p>
      <w:pPr>
        <w:pStyle w:val="References"/>
        <w:rPr/>
      </w:pPr>
      <w:r>
        <w:rPr/>
        <w:t>Federal Energy Regulatory Commission.  1995.  Guidance Manual for Environmental Report Preparation.</w:t>
      </w:r>
    </w:p>
    <w:p>
      <w:pPr>
        <w:pStyle w:val="References"/>
        <w:rPr/>
      </w:pPr>
      <w:r>
        <w:rPr/>
        <w:t>Hoffman, R.R.  1993.  Environmental Report Checklist (Revision 9) and Staff’s Recommended Mitigation Procedures.  Federal Energy Regulatory Commission.  Office of Pipeline Regulation.</w:t>
      </w:r>
    </w:p>
    <w:p>
      <w:pPr>
        <w:pStyle w:val="Heading1"/>
        <w:ind w:hanging="0" w:start="0"/>
        <w:rPr/>
      </w:pPr>
      <w:bookmarkStart w:id="43" w:name="__RefHeading___Toc509915847"/>
      <w:bookmarkEnd w:id="43"/>
      <w:r>
        <w:rPr/>
        <w:t>LNG Plants</w:t>
      </w:r>
    </w:p>
    <w:p>
      <w:pPr>
        <w:sectPr>
          <w:headerReference w:type="default" r:id="rId12"/>
          <w:headerReference w:type="first" r:id="rId13"/>
          <w:footerReference w:type="default" r:id="rId14"/>
          <w:footerReference w:type="first" r:id="rId15"/>
          <w:type w:val="nextPage"/>
          <w:pgSz w:w="12240" w:h="15840"/>
          <w:pgMar w:left="2160" w:right="1440" w:gutter="0" w:header="720" w:top="1440" w:footer="864" w:bottom="1440"/>
          <w:pgNumType w:start="1" w:fmt="decimal"/>
          <w:formProt w:val="false"/>
          <w:textDirection w:val="lrTb"/>
          <w:docGrid w:type="default" w:linePitch="360" w:charSpace="0"/>
        </w:sectPr>
        <w:pStyle w:val="BodyText1"/>
        <w:rPr/>
      </w:pPr>
      <w:r>
        <w:rPr/>
        <w:t>The project does not include the construction of LNG facilities.  Therefore, no discussion is provided.</w:t>
      </w:r>
    </w:p>
    <w:p>
      <w:pPr>
        <w:pStyle w:val="BodyText1"/>
        <w:jc w:val="center"/>
        <w:rPr>
          <w:b/>
          <w:sz w:val="28"/>
        </w:rPr>
      </w:pPr>
      <w:r>
        <w:rPr>
          <w:b/>
          <w:sz w:val="28"/>
        </w:rPr>
        <w:t>Appendix A</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Compressor Station Plot Plans</w:t>
      </w:r>
    </w:p>
    <w:p>
      <w:pPr>
        <w:pStyle w:val="BodyText1"/>
        <w:jc w:val="center"/>
        <w:rPr>
          <w:b/>
          <w:sz w:val="28"/>
        </w:rPr>
      </w:pPr>
      <w:r>
        <w:rPr>
          <w:b/>
          <w:sz w:val="28"/>
        </w:rPr>
      </w:r>
      <w:r>
        <w:br w:type="page"/>
      </w:r>
    </w:p>
    <w:p>
      <w:pPr>
        <w:pStyle w:val="BodyText1"/>
        <w:jc w:val="center"/>
        <w:rPr>
          <w:b/>
          <w:sz w:val="28"/>
        </w:rPr>
      </w:pPr>
      <w:r>
        <w:rPr>
          <w:b/>
          <w:sz w:val="28"/>
        </w:rPr>
        <w:t>Appendix B</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Agency Correspondence</w:t>
      </w:r>
    </w:p>
    <w:p>
      <w:pPr>
        <w:pStyle w:val="BodyText1"/>
        <w:jc w:val="center"/>
        <w:rPr>
          <w:b/>
          <w:sz w:val="28"/>
        </w:rPr>
      </w:pPr>
      <w:r>
        <w:rPr>
          <w:b/>
          <w:sz w:val="28"/>
        </w:rPr>
      </w:r>
      <w:r>
        <w:br w:type="page"/>
      </w:r>
    </w:p>
    <w:p>
      <w:pPr>
        <w:pStyle w:val="BodyText1"/>
        <w:jc w:val="center"/>
        <w:rPr>
          <w:b/>
          <w:sz w:val="28"/>
        </w:rPr>
      </w:pPr>
      <w:r>
        <w:rPr>
          <w:b/>
          <w:sz w:val="28"/>
        </w:rPr>
        <w:t>Appendix C</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Project</w:t>
      </w:r>
    </w:p>
    <w:p>
      <w:pPr>
        <w:pStyle w:val="BodyText1"/>
        <w:jc w:val="center"/>
        <w:rPr>
          <w:b/>
          <w:sz w:val="28"/>
        </w:rPr>
      </w:pPr>
      <w:r>
        <w:rPr>
          <w:b/>
          <w:sz w:val="28"/>
        </w:rPr>
        <w:t>Upland Erosion Control, Revegetation and Maintenance Plan</w:t>
      </w:r>
    </w:p>
    <w:p>
      <w:pPr>
        <w:pStyle w:val="BodyText1"/>
        <w:jc w:val="center"/>
        <w:rPr>
          <w:b/>
          <w:sz w:val="28"/>
        </w:rPr>
      </w:pPr>
      <w:r>
        <w:rPr>
          <w:b/>
          <w:sz w:val="28"/>
        </w:rPr>
      </w:r>
      <w:r>
        <w:br w:type="page"/>
      </w:r>
    </w:p>
    <w:p>
      <w:pPr>
        <w:pStyle w:val="BodyText1"/>
        <w:jc w:val="center"/>
        <w:rPr>
          <w:b/>
          <w:sz w:val="28"/>
        </w:rPr>
      </w:pPr>
      <w:r>
        <w:rPr>
          <w:b/>
          <w:sz w:val="28"/>
        </w:rPr>
        <w:t>Appendix D</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Project</w:t>
      </w:r>
    </w:p>
    <w:p>
      <w:pPr>
        <w:pStyle w:val="BodyText1"/>
        <w:jc w:val="center"/>
        <w:rPr>
          <w:b/>
          <w:sz w:val="28"/>
        </w:rPr>
      </w:pPr>
      <w:r>
        <w:rPr>
          <w:b/>
          <w:sz w:val="28"/>
        </w:rPr>
        <w:t>Spill Prevention, Containment and Countermeasure Plan</w:t>
      </w:r>
      <w:r>
        <w:br w:type="page"/>
      </w:r>
    </w:p>
    <w:p>
      <w:pPr>
        <w:pStyle w:val="BodyText1"/>
        <w:jc w:val="center"/>
        <w:rPr>
          <w:b/>
          <w:sz w:val="28"/>
        </w:rPr>
      </w:pPr>
      <w:r>
        <w:rPr>
          <w:b/>
          <w:sz w:val="28"/>
        </w:rPr>
        <w:t>Appendix E</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Noise Analysis Reports</w:t>
      </w:r>
    </w:p>
    <w:p>
      <w:pPr>
        <w:pStyle w:val="BodyText1"/>
        <w:jc w:val="center"/>
        <w:rPr>
          <w:b/>
          <w:sz w:val="28"/>
        </w:rPr>
      </w:pPr>
      <w:r>
        <w:rPr>
          <w:b/>
          <w:sz w:val="28"/>
        </w:rPr>
      </w:r>
      <w:r>
        <w:br w:type="page"/>
      </w:r>
    </w:p>
    <w:p>
      <w:pPr>
        <w:pStyle w:val="BodyText1"/>
        <w:jc w:val="center"/>
        <w:rPr>
          <w:b/>
          <w:sz w:val="28"/>
        </w:rPr>
      </w:pPr>
      <w:r>
        <w:rPr>
          <w:b/>
          <w:sz w:val="28"/>
        </w:rPr>
        <w:t>Appendix F</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Air Permit Documents</w:t>
      </w:r>
    </w:p>
    <w:p>
      <w:pPr>
        <w:pStyle w:val="BodyText1"/>
        <w:jc w:val="center"/>
        <w:rPr>
          <w:b/>
          <w:sz w:val="28"/>
        </w:rPr>
      </w:pPr>
      <w:r>
        <w:rPr>
          <w:b/>
          <w:sz w:val="28"/>
        </w:rPr>
      </w:r>
      <w:r>
        <w:br w:type="page"/>
      </w:r>
    </w:p>
    <w:p>
      <w:pPr>
        <w:pStyle w:val="BodyText1"/>
        <w:jc w:val="center"/>
        <w:rPr>
          <w:b/>
          <w:sz w:val="28"/>
        </w:rPr>
      </w:pPr>
      <w:r>
        <w:rPr>
          <w:b/>
          <w:sz w:val="28"/>
        </w:rPr>
        <w:t>Appendix G</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Project Gantt Chart</w:t>
      </w:r>
    </w:p>
    <w:p>
      <w:pPr>
        <w:pStyle w:val="BodyText1"/>
        <w:jc w:val="center"/>
        <w:rPr>
          <w:b/>
          <w:sz w:val="28"/>
        </w:rPr>
      </w:pPr>
      <w:r>
        <w:rPr>
          <w:b/>
          <w:sz w:val="28"/>
        </w:rPr>
      </w:r>
    </w:p>
    <w:p>
      <w:pPr>
        <w:pStyle w:val="BodyText1"/>
        <w:spacing w:before="0" w:after="120"/>
        <w:jc w:val="center"/>
        <w:rPr>
          <w:b/>
          <w:sz w:val="28"/>
        </w:rPr>
      </w:pPr>
      <w:r>
        <w:rPr>
          <w:b/>
          <w:sz w:val="28"/>
        </w:rPr>
      </w:r>
    </w:p>
    <w:sectPr>
      <w:headerReference w:type="default" r:id="rId16"/>
      <w:headerReference w:type="first" r:id="rId17"/>
      <w:footerReference w:type="default" r:id="rId18"/>
      <w:footerReference w:type="first" r:id="rId19"/>
      <w:type w:val="nextPage"/>
      <w:pgSz w:w="12240" w:h="15840"/>
      <w:pgMar w:left="2160" w:right="1440" w:gutter="0" w:header="720" w:top="1440" w:footer="864" w:bottom="1440"/>
      <w:pgNumType w:start="1"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Rounded MT Bold">
    <w:altName w:val="Tahoma"/>
    <w:charset w:val="00" w:characterSet="windows-1252"/>
    <w:family w:val="swiss"/>
    <w:pitch w:val="variable"/>
  </w:font>
  <w:font w:name="Century Gothic">
    <w:charset w:val="00" w:characterSet="windows-1252"/>
    <w:family w:val="swiss"/>
    <w:pitch w:val="variable"/>
  </w:font>
  <w:font w:name="CopprplGoth BT">
    <w:altName w:val="Arial"/>
    <w:charset w:val="00" w:characterSet="windows-1252"/>
    <w:family w:val="swiss"/>
    <w:pitch w:val="variable"/>
  </w:font>
  <w:font w:name="Arial Bold">
    <w:altName w:val="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Footer"/>
      <w:jc w:val="end"/>
      <w:rPr/>
    </w:pPr>
    <w:r>
      <w:rPr/>
      <w:t>March 2001</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56515" cy="146050"/>
              <wp:effectExtent l="0" t="0" r="0" b="0"/>
              <wp:wrapSquare wrapText="bothSides"/>
              <wp:docPr id="1" name="Frame2"/>
              <a:graphic xmlns:a="http://schemas.openxmlformats.org/drawingml/2006/main">
                <a:graphicData uri="http://schemas.microsoft.com/office/word/2010/wordprocessingShape">
                  <wps:wsp>
                    <wps:cNvSpPr txBox="1"/>
                    <wps:spPr>
                      <a:xfrm>
                        <a:off x="0" y="0"/>
                        <a:ext cx="56515"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ii</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4.45pt;height:11.5pt;mso-wrap-distance-left:0pt;mso-wrap-distance-right:0pt;mso-wrap-distance-top:0pt;mso-wrap-distance-bottom:0pt;margin-top:0.05pt;mso-position-vertical-relative:text;margin-left:213.8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ii</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Footer"/>
      <w:jc w:val="end"/>
      <w:rPr/>
    </w:pPr>
    <w:r>
      <w:rPr/>
      <w:t>March 2001</w: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41605" cy="146050"/>
              <wp:effectExtent l="0" t="0" r="0" b="0"/>
              <wp:wrapSquare wrapText="bothSides"/>
              <wp:docPr id="19" name="Frame3"/>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13</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10.45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13</w:t>
                    </w:r>
                    <w:r>
                      <w:rPr>
                        <w:rStyle w:val="PageNumber"/>
                        <w:rFonts w:cs="Arial" w:ascii="Arial" w:hAnsi="Arial"/>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Footer"/>
      <w:jc w:val="end"/>
      <w:rPr/>
    </w:pPr>
    <w:r>
      <w:rPr/>
      <w:t>March 2001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Header"/>
      <w:pBdr>
        <w:bottom w:val="single" w:sz="6" w:space="1" w:color="000000"/>
      </w:pBdr>
      <w:rPr/>
    </w:pPr>
    <w:r>
      <w:rPr/>
      <w:t>Red Rock Mainline Expansion</w:t>
      <w:tab/>
      <w:t>Environmental Report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Header"/>
      <w:pBdr>
        <w:bottom w:val="single" w:sz="6" w:space="1" w:color="000000"/>
      </w:pBdr>
      <w:rPr/>
    </w:pPr>
    <w:r>
      <w:rPr/>
      <w:t>Red Rock Mainline Expansion</w:t>
      <w:tab/>
      <w:t>Environmental Report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Header"/>
      <w:pBdr>
        <w:bottom w:val="single" w:sz="6" w:space="1" w:color="000000"/>
      </w:pBdr>
      <w:rPr/>
    </w:pPr>
    <w:r>
      <w:rPr/>
      <w:t>Red Rock Mainline Expansion</w:t>
      <w:tab/>
      <w:t>Environmental Report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0"/>
      <w:lvlJc w:val="start"/>
      <w:pPr>
        <w:tabs>
          <w:tab w:val="num" w:pos="720"/>
        </w:tabs>
        <w:ind w:start="360" w:hanging="360"/>
      </w:pPr>
      <w:rPr/>
    </w:lvl>
    <w:lvl w:ilvl="1">
      <w:start w:val="1"/>
      <w:pStyle w:val="Heading2"/>
      <w:numFmt w:val="decimal"/>
      <w:lvlText w:val="%1.%2"/>
      <w:lvlJc w:val="start"/>
      <w:pPr>
        <w:tabs>
          <w:tab w:val="num" w:pos="720"/>
        </w:tabs>
        <w:ind w:start="360" w:hanging="360"/>
      </w:pPr>
      <w:rPr/>
    </w:lvl>
    <w:lvl w:ilvl="2">
      <w:start w:val="1"/>
      <w:pStyle w:val="Heading3"/>
      <w:numFmt w:val="decimal"/>
      <w:lvlText w:val="%1.%2.%3"/>
      <w:lvlJc w:val="start"/>
      <w:pPr>
        <w:tabs>
          <w:tab w:val="num" w:pos="720"/>
        </w:tabs>
        <w:ind w:start="360" w:hanging="360"/>
      </w:pPr>
      <w:rPr/>
    </w:lvl>
    <w:lvl w:ilvl="3">
      <w:start w:val="1"/>
      <w:pStyle w:val="Heading4"/>
      <w:numFmt w:val="decimal"/>
      <w:lvlText w:val="%1.%2.%3.%4"/>
      <w:lvlJc w:val="start"/>
      <w:pPr>
        <w:tabs>
          <w:tab w:val="num" w:pos="1080"/>
        </w:tabs>
        <w:ind w:start="360" w:hanging="360"/>
      </w:pPr>
      <w:rPr/>
    </w:lvl>
    <w:lvl w:ilvl="4">
      <w:start w:val="1"/>
      <w:pStyle w:val="Heading5"/>
      <w:numFmt w:val="decimal"/>
      <w:lvlText w:val="%1.%2.%3.%4.%5"/>
      <w:lvlJc w:val="start"/>
      <w:pPr>
        <w:tabs>
          <w:tab w:val="num" w:pos="1440"/>
        </w:tabs>
        <w:ind w:start="360" w:hanging="360"/>
      </w:pPr>
      <w:rPr/>
    </w:lvl>
    <w:lvl w:ilvl="5">
      <w:start w:val="1"/>
      <w:pStyle w:val="Heading6"/>
      <w:numFmt w:val="decimal"/>
      <w:lvlText w:val="%1.%2.%3.%4.%5.%6"/>
      <w:lvlJc w:val="start"/>
      <w:pPr>
        <w:tabs>
          <w:tab w:val="num" w:pos="1440"/>
        </w:tabs>
        <w:ind w:start="360" w:hanging="360"/>
      </w:pPr>
      <w:rPr/>
    </w:lvl>
    <w:lvl w:ilvl="6">
      <w:start w:val="1"/>
      <w:pStyle w:val="Heading7"/>
      <w:numFmt w:val="decimal"/>
      <w:lvlText w:val="%1.%2.%3.%4.%5.%6.%7"/>
      <w:lvlJc w:val="start"/>
      <w:pPr>
        <w:tabs>
          <w:tab w:val="num" w:pos="1800"/>
        </w:tabs>
        <w:ind w:start="360" w:hanging="360"/>
      </w:pPr>
      <w:rPr/>
    </w:lvl>
    <w:lvl w:ilvl="7">
      <w:start w:val="1"/>
      <w:pStyle w:val="Heading8"/>
      <w:numFmt w:val="decimal"/>
      <w:lvlText w:val="%1.%2.%3.%4.%5.%6.%7.%8"/>
      <w:lvlJc w:val="start"/>
      <w:pPr>
        <w:tabs>
          <w:tab w:val="num" w:pos="1800"/>
        </w:tabs>
        <w:ind w:start="360" w:hanging="360"/>
      </w:pPr>
      <w:rPr/>
    </w:lvl>
    <w:lvl w:ilvl="8">
      <w:start w:val="1"/>
      <w:pStyle w:val="Heading9"/>
      <w:numFmt w:val="decimal"/>
      <w:lvlText w:val="%1.%2.%3.%4.%5.%6.%7.%8.%9"/>
      <w:lvlJc w:val="start"/>
      <w:pPr>
        <w:tabs>
          <w:tab w:val="num" w:pos="2160"/>
        </w:tabs>
        <w:ind w:start="360" w:hanging="36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sz w:val="28"/>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120"/>
      <w:outlineLvl w:val="0"/>
    </w:pPr>
    <w:rPr>
      <w:rFonts w:ascii="Arial" w:hAnsi="Arial" w:cs="Arial"/>
      <w:b/>
      <w:smallCaps/>
      <w:kern w:val="2"/>
      <w:sz w:val="24"/>
    </w:rPr>
  </w:style>
  <w:style w:type="paragraph" w:styleId="Heading2">
    <w:name w:val="heading 2"/>
    <w:basedOn w:val="Normal"/>
    <w:next w:val="Normal"/>
    <w:qFormat/>
    <w:pPr>
      <w:keepNext w:val="true"/>
      <w:numPr>
        <w:ilvl w:val="1"/>
        <w:numId w:val="1"/>
      </w:numPr>
      <w:spacing w:before="240" w:after="120"/>
      <w:outlineLvl w:val="1"/>
    </w:pPr>
    <w:rPr>
      <w:rFonts w:ascii="Arial" w:hAnsi="Arial" w:cs="Arial"/>
      <w:b/>
      <w:sz w:val="22"/>
    </w:rPr>
  </w:style>
  <w:style w:type="paragraph" w:styleId="Heading3">
    <w:name w:val="heading 3"/>
    <w:basedOn w:val="Normal"/>
    <w:next w:val="Normal"/>
    <w:qFormat/>
    <w:pPr>
      <w:keepNext w:val="true"/>
      <w:numPr>
        <w:ilvl w:val="2"/>
        <w:numId w:val="1"/>
      </w:numPr>
      <w:spacing w:before="120" w:after="120"/>
      <w:outlineLvl w:val="2"/>
    </w:pPr>
    <w:rPr>
      <w:rFonts w:ascii="Arial" w:hAnsi="Arial" w:cs="Arial"/>
      <w:i/>
      <w:sz w:val="22"/>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sz w:val="28"/>
    </w:rPr>
  </w:style>
  <w:style w:type="character" w:styleId="WW8Num6z0">
    <w:name w:val="WW8Num6z0"/>
    <w:qFormat/>
    <w:rPr/>
  </w:style>
  <w:style w:type="character" w:styleId="WW8Num7z0">
    <w:name w:val="WW8Num7z0"/>
    <w:qFormat/>
    <w:rPr>
      <w:rFonts w:ascii="Symbol" w:hAnsi="Symbol" w:cs="Symbol"/>
      <w:color w:val="auto"/>
      <w:sz w:val="28"/>
    </w:rPr>
  </w:style>
  <w:style w:type="character" w:styleId="WW8Num8z0">
    <w:name w:val="WW8Num8z0"/>
    <w:qFormat/>
    <w:rPr>
      <w:rFonts w:ascii="Symbol" w:hAnsi="Symbol" w:cs="Symbol"/>
      <w:sz w:val="28"/>
    </w:rPr>
  </w:style>
  <w:style w:type="character" w:styleId="WW8Num9z0">
    <w:name w:val="WW8Num9z0"/>
    <w:qFormat/>
    <w:rPr>
      <w:rFonts w:ascii="Symbol" w:hAnsi="Symbol" w:cs="Symbol"/>
      <w:sz w:val="28"/>
    </w:rPr>
  </w:style>
  <w:style w:type="character" w:styleId="WW8Num10z0">
    <w:name w:val="WW8Num10z0"/>
    <w:qFormat/>
    <w:rPr>
      <w:rFonts w:ascii="Symbol" w:hAnsi="Symbol" w:cs="Symbol"/>
    </w:rPr>
  </w:style>
  <w:style w:type="character" w:styleId="WW8Num11z0">
    <w:name w:val="WW8Num11z0"/>
    <w:qFormat/>
    <w:rPr>
      <w:rFonts w:ascii="Symbol" w:hAnsi="Symbol" w:cs="Symbol"/>
      <w:sz w:val="28"/>
    </w:rPr>
  </w:style>
  <w:style w:type="character" w:styleId="WW8Num12z0">
    <w:name w:val="WW8Num12z0"/>
    <w:qFormat/>
    <w:rPr/>
  </w:style>
  <w:style w:type="character" w:styleId="WW8Num13z0">
    <w:name w:val="WW8Num13z0"/>
    <w:qFormat/>
    <w:rPr>
      <w:rFonts w:ascii="Symbol" w:hAnsi="Symbol" w:cs="Symbol"/>
      <w:color w:val="auto"/>
      <w:sz w:val="28"/>
    </w:rPr>
  </w:style>
  <w:style w:type="character" w:styleId="WW8Num14z0">
    <w:name w:val="WW8Num14z0"/>
    <w:qFormat/>
    <w:rPr>
      <w:rFonts w:ascii="Symbol" w:hAnsi="Symbol" w:cs="Symbol"/>
      <w:color w:val="auto"/>
      <w:sz w:val="28"/>
    </w:rPr>
  </w:style>
  <w:style w:type="character" w:styleId="WW8Num15z0">
    <w:name w:val="WW8Num15z0"/>
    <w:qFormat/>
    <w:rPr>
      <w:rFonts w:ascii="Wingdings" w:hAnsi="Wingdings" w:cs="Wingdings"/>
      <w:sz w:val="32"/>
    </w:rPr>
  </w:style>
  <w:style w:type="character" w:styleId="WW8Num16z0">
    <w:name w:val="WW8Num16z0"/>
    <w:qFormat/>
    <w:rPr>
      <w:rFonts w:ascii="Symbol" w:hAnsi="Symbol" w:cs="Symbol"/>
      <w:sz w:val="28"/>
    </w:rPr>
  </w:style>
  <w:style w:type="character" w:styleId="WW8Num17z0">
    <w:name w:val="WW8Num17z0"/>
    <w:qFormat/>
    <w:rPr>
      <w:rFonts w:ascii="Symbol" w:hAnsi="Symbol" w:cs="Symbol"/>
    </w:rPr>
  </w:style>
  <w:style w:type="character" w:styleId="WW8Num18z0">
    <w:name w:val="WW8Num18z0"/>
    <w:qFormat/>
    <w:rPr>
      <w:rFonts w:ascii="Symbol" w:hAnsi="Symbol" w:cs="Symbol"/>
      <w:color w:val="auto"/>
      <w:sz w:val="28"/>
    </w:rPr>
  </w:style>
  <w:style w:type="character" w:styleId="WW8Num19z0">
    <w:name w:val="WW8Num19z0"/>
    <w:qFormat/>
    <w:rPr>
      <w:rFonts w:ascii="Symbol" w:hAnsi="Symbol" w:cs="Symbol"/>
      <w:color w:val="auto"/>
      <w:sz w:val="28"/>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color w:val="auto"/>
      <w:sz w:val="2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Rounded MT Bold;Tahoma" w:hAnsi="Arial Rounded MT Bold;Tahoma" w:cs="Arial Rounded MT Bold;Tahoma"/>
      <w:sz w:val="28"/>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152" w:leader="none"/>
      </w:tabs>
      <w:spacing w:before="120" w:after="120"/>
      <w:ind w:hanging="1440" w:start="1440" w:end="0"/>
      <w:jc w:val="both"/>
    </w:pPr>
    <w:rPr>
      <w:rFonts w:ascii="Arial" w:hAnsi="Arial" w:cs="Arial"/>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1">
    <w:name w:val="Body Text1"/>
    <w:basedOn w:val="Normal"/>
    <w:qFormat/>
    <w:pPr>
      <w:spacing w:before="0" w:after="120"/>
      <w:jc w:val="both"/>
    </w:pPr>
    <w:rPr>
      <w:rFonts w:ascii="Arial" w:hAnsi="Arial" w:cs="Arial"/>
      <w:sz w:val="22"/>
    </w:rPr>
  </w:style>
  <w:style w:type="paragraph" w:styleId="Footer">
    <w:name w:val="footer"/>
    <w:basedOn w:val="Normal"/>
    <w:pPr>
      <w:tabs>
        <w:tab w:val="clear" w:pos="720"/>
        <w:tab w:val="center" w:pos="4320" w:leader="none"/>
        <w:tab w:val="right" w:pos="8640" w:leader="none"/>
      </w:tabs>
    </w:pPr>
    <w:rPr/>
  </w:style>
  <w:style w:type="paragraph" w:styleId="ReportHeader">
    <w:name w:val="Report Header"/>
    <w:basedOn w:val="Header"/>
    <w:qFormat/>
    <w:pPr>
      <w:tabs>
        <w:tab w:val="clear" w:pos="4320"/>
        <w:tab w:val="right" w:pos="8640" w:leader="none"/>
      </w:tabs>
    </w:pPr>
    <w:rPr>
      <w:rFonts w:ascii="Century Gothic" w:hAnsi="Century Gothic" w:cs="Century Gothic"/>
      <w:sz w:val="18"/>
    </w:rPr>
  </w:style>
  <w:style w:type="paragraph" w:styleId="ReportFooter">
    <w:name w:val="Report Footer"/>
    <w:basedOn w:val="ReportHeader"/>
    <w:qFormat/>
    <w:pPr>
      <w:pBdr>
        <w:top w:val="single" w:sz="6" w:space="1" w:color="000000"/>
      </w:pBdr>
    </w:pPr>
    <w:rPr>
      <w:sz w:val="16"/>
    </w:rPr>
  </w:style>
  <w:style w:type="paragraph" w:styleId="BodyText2">
    <w:name w:val="Body Text 2"/>
    <w:basedOn w:val="Normal"/>
    <w:qFormat/>
    <w:pPr/>
    <w:rPr>
      <w:rFonts w:ascii="CopprplGoth BT;Arial" w:hAnsi="CopprplGoth BT;Arial" w:cs="CopprplGoth BT;Arial"/>
      <w:sz w:val="48"/>
    </w:rPr>
  </w:style>
  <w:style w:type="paragraph" w:styleId="Title1">
    <w:name w:val="Title1"/>
    <w:basedOn w:val="BodyText1"/>
    <w:qFormat/>
    <w:pPr>
      <w:spacing w:before="120" w:after="240"/>
      <w:jc w:val="center"/>
    </w:pPr>
    <w:rPr>
      <w:b/>
    </w:rPr>
  </w:style>
  <w:style w:type="paragraph" w:styleId="References">
    <w:name w:val="References"/>
    <w:basedOn w:val="Normal"/>
    <w:qFormat/>
    <w:pPr>
      <w:spacing w:before="0" w:after="120"/>
      <w:ind w:hanging="720" w:start="720" w:end="0"/>
      <w:jc w:val="both"/>
    </w:pPr>
    <w:rPr>
      <w:rFonts w:ascii="Arial" w:hAnsi="Arial" w:cs="Arial"/>
      <w:sz w:val="22"/>
    </w:rPr>
  </w:style>
  <w:style w:type="paragraph" w:styleId="TOC1">
    <w:name w:val="toc 1"/>
    <w:basedOn w:val="Normal"/>
    <w:next w:val="Normal"/>
    <w:pPr>
      <w:tabs>
        <w:tab w:val="clear" w:pos="720"/>
        <w:tab w:val="left" w:pos="600" w:leader="none"/>
        <w:tab w:val="right" w:pos="8630" w:leader="dot"/>
      </w:tabs>
    </w:pPr>
    <w:rPr>
      <w:rFonts w:ascii="Arial" w:hAnsi="Arial" w:cs="Arial"/>
      <w:b/>
      <w:sz w:val="22"/>
      <w:lang w:val="en-CA"/>
    </w:rPr>
  </w:style>
  <w:style w:type="paragraph" w:styleId="table2">
    <w:name w:val="table 2"/>
    <w:basedOn w:val="Caption"/>
    <w:qFormat/>
    <w:pPr>
      <w:ind w:hanging="1080" w:start="1080" w:end="0"/>
    </w:pPr>
    <w:rPr>
      <w:rFonts w:ascii="Arial" w:hAnsi="Arial" w:cs="Arial"/>
      <w:b/>
      <w:sz w:val="22"/>
    </w:rPr>
  </w:style>
  <w:style w:type="paragraph" w:styleId="FootnoteText">
    <w:name w:val="footnote text"/>
    <w:basedOn w:val="Normal"/>
    <w:pPr/>
    <w:rPr/>
  </w:style>
  <w:style w:type="paragraph" w:styleId="extraheading">
    <w:name w:val="extra heading"/>
    <w:basedOn w:val="BodyText1"/>
    <w:qFormat/>
    <w:pPr>
      <w:spacing w:before="120" w:after="120"/>
    </w:pPr>
    <w:rPr>
      <w:i/>
    </w:rPr>
  </w:style>
  <w:style w:type="paragraph" w:styleId="TOC2">
    <w:name w:val="toc 2"/>
    <w:basedOn w:val="Normal"/>
    <w:next w:val="Normal"/>
    <w:pPr>
      <w:ind w:hanging="0" w:start="200" w:end="0"/>
    </w:pPr>
    <w:rPr>
      <w:rFonts w:ascii="Arial" w:hAnsi="Arial" w:cs="Arial"/>
      <w:sz w:val="22"/>
      <w:lang w:val="en-CA"/>
    </w:rPr>
  </w:style>
  <w:style w:type="paragraph" w:styleId="TOC3">
    <w:name w:val="toc 3"/>
    <w:basedOn w:val="Normal"/>
    <w:next w:val="Normal"/>
    <w:pPr>
      <w:ind w:hanging="0" w:start="400" w:end="0"/>
    </w:pPr>
    <w:rPr>
      <w:rFonts w:ascii="Arial" w:hAnsi="Arial" w:cs="Arial"/>
      <w:sz w:val="22"/>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odyText3">
    <w:name w:val="Body Text 3"/>
    <w:basedOn w:val="Normal"/>
    <w:qFormat/>
    <w:pPr>
      <w:jc w:val="both"/>
    </w:pPr>
    <w:rPr>
      <w:rFonts w:ascii="Arial" w:hAnsi="Arial" w:cs="Arial"/>
      <w:lang w:eastAsia="en-US"/>
    </w:rPr>
  </w:style>
  <w:style w:type="paragraph" w:styleId="TableofFigures">
    <w:name w:val="Table of Figures"/>
    <w:basedOn w:val="Normal"/>
    <w:next w:val="Normal"/>
    <w:qFormat/>
    <w:pPr>
      <w:tabs>
        <w:tab w:val="clear" w:pos="720"/>
        <w:tab w:val="left" w:pos="1080" w:leader="none"/>
        <w:tab w:val="right" w:pos="8640" w:leader="dot"/>
      </w:tabs>
      <w:ind w:hanging="400" w:start="400" w:end="0"/>
    </w:pPr>
    <w:rPr>
      <w:rFonts w:ascii="Arial" w:hAnsi="Arial" w:cs="Arial"/>
      <w:sz w:val="22"/>
    </w:rPr>
  </w:style>
  <w:style w:type="paragraph" w:styleId="bull1">
    <w:name w:val="bull1"/>
    <w:basedOn w:val="Normal"/>
    <w:qFormat/>
    <w:pPr>
      <w:numPr>
        <w:ilvl w:val="0"/>
        <w:numId w:val="4"/>
      </w:numPr>
    </w:pPr>
    <w:rPr/>
  </w:style>
  <w:style w:type="paragraph" w:styleId="BodyTextIndent">
    <w:name w:val="Body Text Indent"/>
    <w:basedOn w:val="Normal"/>
    <w:pPr>
      <w:ind w:hanging="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4.jpeg"/><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2001-03-20T18:39:00Z</dcterms:created>
  <dc:creator>Terry L. Hackett</dc:creator>
  <dc:description/>
  <dc:language>en-CA</dc:language>
  <cp:lastModifiedBy>Terry L. Hackett</cp:lastModifiedBy>
  <cp:lastPrinted>2001-03-22T17:20:00Z</cp:lastPrinted>
  <dcterms:modified xsi:type="dcterms:W3CDTF">2001-03-23T19:16:00Z</dcterms:modified>
  <cp:revision>15</cp:revision>
  <dc:subject/>
  <dc:title>1</dc:title>
</cp:coreProperties>
</file>