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NoBNoU"/>
        <w:rPr/>
      </w:pPr>
      <w:r>
        <w:rPr/>
        <w:t>AMENDMENT NO. 2 TO</w:t>
        <w:br/>
      </w:r>
      <w:r>
        <w:rPr>
          <w:u w:val="single"/>
        </w:rPr>
        <w:t>SECURITIES PURCHASE AGREEMENT</w:t>
      </w:r>
    </w:p>
    <w:p>
      <w:pPr>
        <w:pStyle w:val="BodyText"/>
        <w:rPr/>
      </w:pPr>
      <w:r>
        <w:rPr/>
        <w:t>AMENDMENT NO. 2 TO SECURITIES PURCHASE AGREEMENT, dated as of _________ [__], 2001 (“</w:t>
      </w:r>
      <w:r>
        <w:rPr>
          <w:b/>
        </w:rPr>
        <w:t>Amendment No. 2</w:t>
      </w:r>
      <w:r>
        <w:rPr/>
        <w:t>”) by and among AES Greystone, L.L.C., a Delaware limited liability company (“</w:t>
      </w:r>
      <w:r>
        <w:rPr>
          <w:b/>
        </w:rPr>
        <w:t>Purchaser</w:t>
      </w:r>
      <w:r>
        <w:rPr/>
        <w:t>”) and Volunteer Land Development Company, L.L.C. a Delaware limited liability company (“</w:t>
      </w:r>
      <w:r>
        <w:rPr>
          <w:b/>
        </w:rPr>
        <w:t>Seller</w:t>
      </w:r>
      <w:r>
        <w:rPr/>
        <w:t>”) (Purchaser and Seller each hereinafter referred to as “</w:t>
      </w:r>
      <w:r>
        <w:rPr>
          <w:b/>
        </w:rPr>
        <w:t>Party</w:t>
      </w:r>
      <w:r>
        <w:rPr/>
        <w:t>” and collectively as the “</w:t>
      </w:r>
      <w:r>
        <w:rPr>
          <w:b/>
        </w:rPr>
        <w:t>Parties</w:t>
      </w:r>
      <w:r>
        <w:rPr/>
        <w:t>”).</w:t>
      </w:r>
    </w:p>
    <w:p>
      <w:pPr>
        <w:pStyle w:val="CenterNoBNoU"/>
        <w:rPr/>
      </w:pPr>
      <w:r>
        <w:rPr/>
        <w:t>RECITALS</w:t>
      </w:r>
    </w:p>
    <w:p>
      <w:pPr>
        <w:pStyle w:val="BodyText"/>
        <w:rPr/>
      </w:pPr>
      <w:r>
        <w:rPr/>
        <w:t>WHEREAS, Purchaser and Seller have entered into that certain Securities Purchase Agreement, dated as of December 15, 2000 , as amended by Amendment No. 1 thereto dated as of May 1, 2001 (as amended, the “</w:t>
      </w:r>
      <w:r>
        <w:rPr>
          <w:b/>
        </w:rPr>
        <w:t>SPA</w:t>
      </w:r>
      <w:r>
        <w:rPr/>
        <w:t>”) pursuant to which and subject to the terms and conditions set forth therein, Seller has agreed to sell and Purchaser has agreed to purchase the Interests; and</w:t>
      </w:r>
    </w:p>
    <w:p>
      <w:pPr>
        <w:pStyle w:val="BodyText"/>
        <w:rPr/>
      </w:pPr>
      <w:r>
        <w:rPr/>
        <w:t>WHEREAS, the Parties desire to extend the Expiration Date thereunder and the terms for payment of the Purchase Price for the Interests; and</w:t>
      </w:r>
    </w:p>
    <w:p>
      <w:pPr>
        <w:pStyle w:val="BodyText"/>
        <w:rPr/>
      </w:pPr>
      <w:r>
        <w:rPr/>
        <w:t>WHEREAS, in connection therewith, the Parties desire to amend the SPA as set forth herein.</w:t>
      </w:r>
    </w:p>
    <w:p>
      <w:pPr>
        <w:pStyle w:val="BodyText"/>
        <w:rPr/>
      </w:pPr>
      <w:r>
        <w:rPr/>
        <w:t>NOW, THEREFORE, in consideration of the foregoing premises and for other consideration, the receipt and sufficiency of which is hereby acknowledged, the Parties hereto each hereby agrees as follows:</w:t>
      </w:r>
    </w:p>
    <w:p>
      <w:pPr>
        <w:pStyle w:val="CenterNoBNoU"/>
        <w:rPr/>
      </w:pPr>
      <w:r>
        <w:rPr/>
        <w:t>AGREEMENT</w:t>
      </w:r>
    </w:p>
    <w:p>
      <w:pPr>
        <w:pStyle w:val="ListBullet"/>
        <w:numPr>
          <w:ilvl w:val="0"/>
          <w:numId w:val="3"/>
        </w:numPr>
        <w:ind w:hanging="0" w:start="0"/>
        <w:rPr/>
      </w:pPr>
      <w:r>
        <w:rPr>
          <w:u w:val="single"/>
        </w:rPr>
        <w:t>Capitalized Terms</w:t>
      </w:r>
      <w:r>
        <w:rPr/>
        <w:t>.</w:t>
      </w:r>
    </w:p>
    <w:p>
      <w:pPr>
        <w:pStyle w:val="BodyText"/>
        <w:rPr/>
      </w:pPr>
      <w:r>
        <w:rPr/>
        <w:t>Capitalized terms used but not defined herein shall have the meanings specified in the SPA.</w:t>
      </w:r>
    </w:p>
    <w:p>
      <w:pPr>
        <w:pStyle w:val="ListBullet"/>
        <w:numPr>
          <w:ilvl w:val="0"/>
          <w:numId w:val="3"/>
        </w:numPr>
        <w:ind w:hanging="0" w:start="0"/>
        <w:rPr/>
      </w:pPr>
      <w:r>
        <w:rPr>
          <w:u w:val="single"/>
        </w:rPr>
        <w:t>Amendments</w:t>
      </w:r>
      <w:r>
        <w:rPr/>
        <w:t>.</w:t>
      </w:r>
    </w:p>
    <w:p>
      <w:pPr>
        <w:pStyle w:val="BodyText"/>
        <w:rPr/>
      </w:pPr>
      <w:r>
        <w:rPr/>
        <w:t>The SPA is hereby amended as follows:</w:t>
      </w:r>
    </w:p>
    <w:p>
      <w:pPr>
        <w:pStyle w:val="ListBullet2"/>
        <w:numPr>
          <w:ilvl w:val="1"/>
          <w:numId w:val="3"/>
        </w:numPr>
        <w:ind w:hanging="0" w:start="0"/>
        <w:rPr/>
      </w:pPr>
      <w:r>
        <w:rPr/>
        <w:t>Section 2.2 of the SPA is hereby deleted in its entirety and replaced with the following:</w:t>
      </w:r>
    </w:p>
    <w:p>
      <w:pPr>
        <w:pStyle w:val="Quote"/>
        <w:rPr/>
      </w:pPr>
      <w:r>
        <w:rPr/>
        <w:t>“</w:t>
      </w:r>
      <w:r>
        <w:rPr/>
        <w:t>SECTION 2.</w:t>
      </w:r>
      <w:del w:id="0" w:author="Bracewell &amp; Patterson, LLP" w:date="2001-05-03T12:45:00Z">
        <w:r>
          <w:rPr/>
          <w:delText xml:space="preserve"> </w:delText>
        </w:r>
      </w:del>
      <w:r>
        <w:rPr/>
        <w:t>2</w:t>
        <w:tab/>
      </w:r>
      <w:r>
        <w:rPr>
          <w:u w:val="single"/>
        </w:rPr>
        <w:t>Purchase and Sale of Interests</w:t>
      </w:r>
      <w:r>
        <w:rPr/>
        <w:t>.</w:t>
      </w:r>
    </w:p>
    <w:p>
      <w:pPr>
        <w:pStyle w:val="NormalBody"/>
        <w:ind w:start="720" w:end="0"/>
        <w:rPr/>
      </w:pPr>
      <w:r>
        <w:rPr/>
        <w:t>Subject to the terms and conditions herein set forth, the Seller agrees to sell to the Purchaser and the Purchaser agrees to purchase from the Seller the Interests for a purchase price (“</w:t>
      </w:r>
      <w:r>
        <w:rPr>
          <w:b/>
        </w:rPr>
        <w:t>Purchase Price</w:t>
      </w:r>
      <w:r>
        <w:rPr/>
        <w:t>”) as follows:</w:t>
      </w:r>
    </w:p>
    <w:p>
      <w:pPr>
        <w:pStyle w:val="ListBullet2"/>
        <w:numPr>
          <w:ilvl w:val="0"/>
          <w:numId w:val="6"/>
        </w:numPr>
        <w:tabs>
          <w:tab w:val="clear" w:pos="720"/>
        </w:tabs>
        <w:ind w:firstLine="720" w:start="720" w:end="0"/>
        <w:rPr>
          <w:ins w:id="5" w:author="Bracewell &amp; Patterson, LLP" w:date="2001-05-03T12:45:00Z"/>
        </w:rPr>
      </w:pPr>
      <w:r>
        <w:rPr/>
        <w:t xml:space="preserve">In the event that the Closing occurs prior to the Expiration Date and, as of the Closing, Seller has not achieved the Development Milestones, then the Purchase Price shall be equal to Two Million Five Hundred Thousand Dollars ($2,500,000) (the "Accelerated Closing Payment") payable as follows:  (i) One Million Dollars ($1,000,000) in cash payable in accordance with Section 2.5 of this Purchase Agreement and (ii) One Million Five Hundred Thousand Dollars ($1,500,000) (the "Deferred Portion of the Purchase Price") payable pursuant to the terms of a promissory note </w:t>
      </w:r>
      <w:ins w:id="1" w:author="Bracewell &amp; Patterson, LLP" w:date="2001-05-03T12:45:00Z">
        <w:r>
          <w:rPr/>
          <w:t xml:space="preserve">(the "AES Promissory Note") </w:t>
        </w:r>
      </w:ins>
      <w:r>
        <w:rPr/>
        <w:t>the form of which is attached hereto as Schedule 2</w:t>
      </w:r>
      <w:del w:id="2" w:author="Bracewell &amp; Patterson, LLP" w:date="2001-05-03T12:45:00Z">
        <w:r>
          <w:rPr/>
          <w:delText>(the "Note")</w:delText>
        </w:r>
      </w:del>
      <w:r>
        <w:rPr/>
        <w:t xml:space="preserve"> which shall be executed by AES Corporation and delivered to Seller at Closing, in the original principal amount of the Deferred Portion of the Purchase Price, payable to the order of Seller and due and payable in full on </w:t>
      </w:r>
      <w:del w:id="3" w:author="Bracewell &amp; Patterson, LLP" w:date="2001-05-03T12:45:00Z">
        <w:r>
          <w:rPr/>
          <w:delText xml:space="preserve">the earlier of (x) the Expiration Date and (y) the date one day prior to the date payment is </w:delText>
        </w:r>
      </w:del>
      <w:ins w:id="4" w:author="Bracewell &amp; Patterson, LLP" w:date="2001-05-03T12:45:00Z">
        <w:r>
          <w:rPr/>
          <w:t>August 1, 2001.</w:t>
        </w:r>
      </w:ins>
    </w:p>
    <w:p>
      <w:pPr>
        <w:pStyle w:val="ListBullet2"/>
        <w:numPr>
          <w:ilvl w:val="0"/>
          <w:numId w:val="6"/>
        </w:numPr>
        <w:tabs>
          <w:tab w:val="clear" w:pos="720"/>
        </w:tabs>
        <w:ind w:firstLine="720" w:start="720" w:end="0"/>
        <w:rPr>
          <w:del w:id="7" w:author="Bracewell &amp; Patterson, LLP" w:date="2001-05-03T12:45:00Z"/>
        </w:rPr>
      </w:pPr>
      <w:del w:id="6" w:author="Bracewell &amp; Patterson, LLP" w:date="2001-05-03T12:45:00Z">
        <w:r>
          <w:rPr/>
          <w:delText>due pursuant to Sections 3.2 and 3.3 of the Project Development Agreement.</w:delText>
        </w:r>
      </w:del>
    </w:p>
    <w:p>
      <w:pPr>
        <w:pStyle w:val="ListBullet2"/>
        <w:numPr>
          <w:ilvl w:val="0"/>
          <w:numId w:val="6"/>
        </w:numPr>
        <w:tabs>
          <w:tab w:val="clear" w:pos="720"/>
        </w:tabs>
        <w:ind w:firstLine="720" w:start="720" w:end="0"/>
        <w:rPr>
          <w:del w:id="9" w:author="Bracewell &amp; Patterson, LLP" w:date="2001-05-03T12:45:00Z"/>
        </w:rPr>
      </w:pPr>
      <w:del w:id="8" w:author="Bracewell &amp; Patterson, LLP" w:date="2001-05-03T12:45:00Z">
        <w:r>
          <w:rPr/>
          <w:delText>The Parties acknowledge and agree that (i) despite a Closing prior to the Expiration Date, Developer may continue its attempt to achieve the Development Milestones until the termination of the Project Development Agreement and (ii) if payment by Purchaser becomes due pursuant to Sections 3.2 and 3.3 of the Project Development Agreement and Seller has received the Accelerated Closing Payment (including full payment in cash by AES Corporation of the Deferred Portion of the Purchase Price in satisfaction of the Note), Purchaser's payment obligation pursuant to Section 3.2 of the Project Development Agreement shall be reduced to an amount equal to the positive difference, if any, between (x) the Additional Compensation plus the Bonus Compensation and (y) the Accelerated Closing Payment.  For the avoidance of doubt, under no circumstances will Seller be obligated to pay or refund any amounts to Purchaser pursuant to this Section 2.2 (b).  Notwithstanding anything stated herein to the contrary, Purchaser's obligation to pay Seller the Purchase Price shall survive the Closing or termination of this Purchase Agreement.</w:delText>
        </w:r>
      </w:del>
    </w:p>
    <w:p>
      <w:pPr>
        <w:pStyle w:val="ListBullet2"/>
        <w:numPr>
          <w:ilvl w:val="0"/>
          <w:numId w:val="6"/>
        </w:numPr>
        <w:tabs>
          <w:tab w:val="clear" w:pos="720"/>
        </w:tabs>
        <w:ind w:firstLine="720" w:start="720" w:end="0"/>
        <w:rPr/>
      </w:pPr>
      <w:r>
        <w:rPr/>
        <w:t>In all other cases, the Purchase Price shall be paid in accordance with Section 2.5 and shall be equal to (i) Ten Dollars ($10.00), in the event that the Purchaser is obligated to pay any Additional Compensation, or (ii) Two Million Five Hundred Thousand Dollars ($2,500,000) in the event that Purchaser is not obligated to pay any Additional Compensation.”</w:t>
      </w:r>
    </w:p>
    <w:p>
      <w:pPr>
        <w:pStyle w:val="ListBullet2"/>
        <w:numPr>
          <w:ilvl w:val="1"/>
          <w:numId w:val="3"/>
        </w:numPr>
        <w:ind w:hanging="0" w:start="0"/>
        <w:rPr/>
      </w:pPr>
      <w:r>
        <w:rPr/>
        <w:t>Section 2.5 of the SPA is hereby amended by adding the words “Except as provided in Section 2.2(a),” at the beginning of the sole sentence therein and revising the word “Payment to “payment”.</w:t>
      </w:r>
    </w:p>
    <w:p>
      <w:pPr>
        <w:pStyle w:val="ListBullet2"/>
        <w:numPr>
          <w:ilvl w:val="1"/>
          <w:numId w:val="3"/>
        </w:numPr>
        <w:tabs>
          <w:tab w:val="clear" w:pos="720"/>
        </w:tabs>
        <w:ind w:hanging="0" w:start="0"/>
        <w:rPr/>
      </w:pPr>
      <w:r>
        <w:rPr/>
        <w:t>Schedule 1 to the SPA shall be amended by deleting the reference to “May 1, 2001” in the defined term “Expiration Date” and replacing such reference with “August 1, 2001”.</w:t>
      </w:r>
    </w:p>
    <w:p>
      <w:pPr>
        <w:pStyle w:val="ListBullet2"/>
        <w:numPr>
          <w:ilvl w:val="1"/>
          <w:numId w:val="3"/>
        </w:numPr>
        <w:tabs>
          <w:tab w:val="clear" w:pos="720"/>
        </w:tabs>
        <w:ind w:hanging="0" w:start="0"/>
        <w:rPr/>
      </w:pPr>
      <w:r>
        <w:rPr/>
        <w:t>Schedule 1 to the SPA shall be amended by inserting a new defined term following the term "Base Configuration Information" as follows:</w:t>
      </w:r>
    </w:p>
    <w:p>
      <w:pPr>
        <w:pStyle w:val="BodyText"/>
        <w:ind w:hanging="0" w:start="720" w:end="0"/>
        <w:rPr/>
      </w:pPr>
      <w:r>
        <w:rPr/>
        <w:t>“</w:t>
      </w:r>
      <w:r>
        <w:rPr/>
        <w:t>Bonus Compensation” has the meaning provided therefor in Section 3.2 of the Project Development Agreement.</w:t>
      </w:r>
    </w:p>
    <w:p>
      <w:pPr>
        <w:pStyle w:val="ListBullet2"/>
        <w:numPr>
          <w:ilvl w:val="1"/>
          <w:numId w:val="3"/>
        </w:numPr>
        <w:tabs>
          <w:tab w:val="clear" w:pos="720"/>
        </w:tabs>
        <w:ind w:hanging="0" w:start="0"/>
        <w:rPr/>
      </w:pPr>
      <w:r>
        <w:rPr/>
        <w:t xml:space="preserve">Schedule 1 to the SPA shall be amended by inserting </w:t>
      </w:r>
      <w:del w:id="10" w:author="Bracewell &amp; Patterson, LLP" w:date="2001-05-03T12:45:00Z">
        <w:r>
          <w:rPr/>
          <w:delText>a new</w:delText>
        </w:r>
      </w:del>
      <w:ins w:id="11" w:author="Bracewell &amp; Patterson, LLP" w:date="2001-05-03T12:45:00Z">
        <w:r>
          <w:rPr/>
          <w:t>the following</w:t>
        </w:r>
      </w:ins>
      <w:r>
        <w:rPr/>
        <w:t xml:space="preserve"> defined term</w:t>
      </w:r>
      <w:ins w:id="12" w:author="Bracewell &amp; Patterson, LLP" w:date="2001-05-03T12:45:00Z">
        <w:r>
          <w:rPr/>
          <w:t>s</w:t>
        </w:r>
      </w:ins>
      <w:r>
        <w:rPr/>
        <w:t xml:space="preserve"> following the term "AAA" as follows:</w:t>
      </w:r>
    </w:p>
    <w:p>
      <w:pPr>
        <w:pStyle w:val="BodyText"/>
        <w:ind w:hanging="0" w:start="720" w:end="0"/>
        <w:rPr/>
      </w:pPr>
      <w:r>
        <w:rPr/>
        <w:t>“</w:t>
      </w:r>
      <w:r>
        <w:rPr/>
        <w:t>Accelerated Closing Payment” has the meaning provided therefor in Section 2.2(a) of the Purchase Agreement.</w:t>
      </w:r>
    </w:p>
    <w:p>
      <w:pPr>
        <w:pStyle w:val="BodyText"/>
        <w:ind w:hanging="0" w:start="720" w:end="0"/>
        <w:rPr>
          <w:ins w:id="15" w:author="Bracewell &amp; Patterson, LLP" w:date="2001-05-03T12:45:00Z"/>
        </w:rPr>
      </w:pPr>
      <w:ins w:id="13" w:author="Bracewell &amp; Patterson, LLP" w:date="2001-05-03T12:45:00Z">
        <w:r>
          <w:rPr/>
          <w:t>“</w:t>
        </w:r>
      </w:ins>
      <w:ins w:id="14" w:author="Bracewell &amp; Patterson, LLP" w:date="2001-05-03T12:45:00Z">
        <w:r>
          <w:rPr/>
          <w:t>AES Promissory Note” has the meaning provided therefor in Section 2.2(a) of the Purchase Agreement.</w:t>
        </w:r>
      </w:ins>
    </w:p>
    <w:p>
      <w:pPr>
        <w:pStyle w:val="BodyText"/>
        <w:ind w:hanging="0" w:start="720" w:end="0"/>
        <w:rPr/>
      </w:pPr>
      <w:r>
        <w:rPr/>
      </w:r>
    </w:p>
    <w:p>
      <w:pPr>
        <w:pStyle w:val="ListBullet"/>
        <w:numPr>
          <w:ilvl w:val="0"/>
          <w:numId w:val="3"/>
        </w:numPr>
        <w:ind w:hanging="0" w:start="0"/>
        <w:rPr/>
      </w:pPr>
      <w:r>
        <w:rPr>
          <w:u w:val="single"/>
        </w:rPr>
        <w:t>Representations, Warranties and Covenants of Purchaser</w:t>
      </w:r>
      <w:r>
        <w:rPr/>
        <w:t>.</w:t>
      </w:r>
    </w:p>
    <w:p>
      <w:pPr>
        <w:pStyle w:val="BodyText"/>
        <w:rPr/>
      </w:pPr>
      <w:r>
        <w:rPr/>
        <w:t>Purchaser hereby represents, warrants and covenants that:</w:t>
      </w:r>
    </w:p>
    <w:p>
      <w:pPr>
        <w:pStyle w:val="ListBullet2"/>
        <w:numPr>
          <w:ilvl w:val="1"/>
          <w:numId w:val="3"/>
        </w:numPr>
        <w:ind w:hanging="0" w:start="0"/>
        <w:rPr/>
      </w:pPr>
      <w:r>
        <w:rPr>
          <w:u w:val="single"/>
        </w:rPr>
        <w:t>Company Action</w:t>
      </w:r>
      <w:r>
        <w:rPr/>
        <w:t>.  It has all necessary company power and authority to execute and deliver this Amendment No. 2; the execution and delivery of this Amendment No. 2 has been duly authorized by all necessary company action on its part; and this Amendment No. 2 has been duly and validly executed and delivered by Purchaser and constitutes its legal, valid and binding obligation, enforceable in accordance with its terms; and</w:t>
      </w:r>
    </w:p>
    <w:p>
      <w:pPr>
        <w:pStyle w:val="ListBullet2"/>
        <w:numPr>
          <w:ilvl w:val="1"/>
          <w:numId w:val="3"/>
        </w:numPr>
        <w:ind w:hanging="0" w:start="0"/>
        <w:rPr/>
      </w:pPr>
      <w:r>
        <w:rPr>
          <w:u w:val="single"/>
        </w:rPr>
        <w:t>Approvals</w:t>
      </w:r>
      <w:r>
        <w:rPr/>
        <w:t>.  No approvals are required from any Governmental Authority for the execution and delivery by Purchaser of this Amendment No. 2 or for the validity or enforceability thereof.</w:t>
      </w:r>
    </w:p>
    <w:p>
      <w:pPr>
        <w:pStyle w:val="ListBullet"/>
        <w:numPr>
          <w:ilvl w:val="0"/>
          <w:numId w:val="3"/>
        </w:numPr>
        <w:ind w:hanging="0" w:start="0"/>
        <w:rPr/>
      </w:pPr>
      <w:r>
        <w:rPr>
          <w:u w:val="single"/>
        </w:rPr>
        <w:t>Representations, Warranties and Covenants of Seller</w:t>
      </w:r>
      <w:r>
        <w:rPr/>
        <w:t>.</w:t>
      </w:r>
    </w:p>
    <w:p>
      <w:pPr>
        <w:pStyle w:val="BodyText"/>
        <w:rPr/>
      </w:pPr>
      <w:r>
        <w:rPr/>
        <w:t>Seller hereby represents, warrants and covenants that:</w:t>
      </w:r>
    </w:p>
    <w:p>
      <w:pPr>
        <w:pStyle w:val="ListBullet2"/>
        <w:numPr>
          <w:ilvl w:val="1"/>
          <w:numId w:val="3"/>
        </w:numPr>
        <w:ind w:hanging="0" w:start="0"/>
        <w:rPr/>
      </w:pPr>
      <w:r>
        <w:rPr>
          <w:u w:val="single"/>
        </w:rPr>
        <w:t>Company Action</w:t>
      </w:r>
      <w:r>
        <w:rPr/>
        <w:t>.  It has all necessary company power and authority to execute and deliver this Amendment No. 2; the execution and delivery of this Amendment No. 2 have been duly authorized by all necessary company action on its part; and this Amendment No. 2 has been duly and validly executed and delivered by it and constitutes its legal, valid and binding obligation, enforceable in accordance with its terms; and</w:t>
      </w:r>
    </w:p>
    <w:p>
      <w:pPr>
        <w:pStyle w:val="ListBullet2"/>
        <w:numPr>
          <w:ilvl w:val="1"/>
          <w:numId w:val="3"/>
        </w:numPr>
        <w:ind w:hanging="0" w:start="0"/>
        <w:rPr/>
      </w:pPr>
      <w:r>
        <w:rPr>
          <w:u w:val="single"/>
        </w:rPr>
        <w:t>Approvals</w:t>
      </w:r>
      <w:r>
        <w:rPr/>
        <w:t>.  No approvals are required from any Governmental Authority for the execution and delivery by it of this Amendment No. 2 or for the validity or enforceability thereof.</w:t>
      </w:r>
    </w:p>
    <w:p>
      <w:pPr>
        <w:pStyle w:val="ListBullet"/>
        <w:keepNext w:val="true"/>
        <w:numPr>
          <w:ilvl w:val="0"/>
          <w:numId w:val="3"/>
        </w:numPr>
        <w:ind w:hanging="0" w:start="0"/>
        <w:rPr/>
      </w:pPr>
      <w:r>
        <w:rPr>
          <w:u w:val="single"/>
        </w:rPr>
        <w:t>Binding Effect</w:t>
      </w:r>
      <w:r>
        <w:rPr/>
        <w:t>.</w:t>
      </w:r>
    </w:p>
    <w:p>
      <w:pPr>
        <w:pStyle w:val="BodyText"/>
        <w:keepNext w:val="true"/>
        <w:rPr/>
      </w:pPr>
      <w:r>
        <w:rPr/>
        <w:t>This Amendment No. 2 shall become effective when it shall have been executed by both of the Parties and thereafter shall be binding upon and inure to the benefit of their respective successors and assigns.</w:t>
      </w:r>
    </w:p>
    <w:p>
      <w:pPr>
        <w:pStyle w:val="ListBullet"/>
        <w:numPr>
          <w:ilvl w:val="0"/>
          <w:numId w:val="3"/>
        </w:numPr>
        <w:ind w:hanging="0" w:start="0"/>
        <w:rPr/>
      </w:pPr>
      <w:r>
        <w:rPr>
          <w:u w:val="single"/>
        </w:rPr>
        <w:t>Miscellaneous</w:t>
      </w:r>
      <w:r>
        <w:rPr/>
        <w:t>.</w:t>
      </w:r>
    </w:p>
    <w:p>
      <w:pPr>
        <w:pStyle w:val="ListBullet2"/>
        <w:numPr>
          <w:ilvl w:val="1"/>
          <w:numId w:val="3"/>
        </w:numPr>
        <w:ind w:hanging="0" w:start="0"/>
        <w:rPr/>
      </w:pPr>
      <w:r>
        <w:rPr>
          <w:u w:val="single"/>
        </w:rPr>
        <w:t>Governing Law; Consent to Jurisdiction</w:t>
      </w:r>
      <w:r>
        <w:rPr/>
        <w:t>.  This Amendment No. 2 shall be governed by, and construed in accordance with, the law of the State of New York without regard to conflict of law principles.</w:t>
      </w:r>
    </w:p>
    <w:p>
      <w:pPr>
        <w:pStyle w:val="ListBullet2"/>
        <w:numPr>
          <w:ilvl w:val="1"/>
          <w:numId w:val="3"/>
        </w:numPr>
        <w:ind w:hanging="0" w:start="0"/>
        <w:rPr/>
      </w:pPr>
      <w:r>
        <w:rPr>
          <w:u w:val="single"/>
        </w:rPr>
        <w:t>Headings</w:t>
      </w:r>
      <w:r>
        <w:rPr/>
        <w:t>.  Headings in this Amendment No. 2 are included herein for convenience of reference only and shall not constitute a part of this Amendment No. 2 for any other purpose.</w:t>
      </w:r>
    </w:p>
    <w:p>
      <w:pPr>
        <w:pStyle w:val="ListBullet2"/>
        <w:numPr>
          <w:ilvl w:val="1"/>
          <w:numId w:val="3"/>
        </w:numPr>
        <w:ind w:hanging="0" w:start="0"/>
        <w:rPr/>
      </w:pPr>
      <w:r>
        <w:rPr>
          <w:u w:val="single"/>
        </w:rPr>
        <w:t>Counterparts</w:t>
      </w:r>
      <w:r>
        <w:rPr/>
        <w:t>.  This Amendment No. 2 may be executed in any number of counterparts, which when so executed and delivered shall constitute one and the same instrument.</w:t>
      </w:r>
    </w:p>
    <w:p>
      <w:pPr>
        <w:pStyle w:val="ListBullet2"/>
        <w:numPr>
          <w:ilvl w:val="1"/>
          <w:numId w:val="3"/>
        </w:numPr>
        <w:ind w:hanging="0" w:start="0"/>
        <w:rPr/>
      </w:pPr>
      <w:r>
        <w:rPr>
          <w:u w:val="single"/>
        </w:rPr>
        <w:t>Effectiveness and Effect</w:t>
      </w:r>
      <w:r>
        <w:rPr/>
        <w:t>.</w:t>
      </w:r>
    </w:p>
    <w:p>
      <w:pPr>
        <w:pStyle w:val="ListBullet3"/>
        <w:numPr>
          <w:ilvl w:val="2"/>
          <w:numId w:val="3"/>
        </w:numPr>
        <w:ind w:hanging="0" w:start="0"/>
        <w:rPr/>
      </w:pPr>
      <w:r>
        <w:rPr/>
        <w:t>The Parties hereto agree that the SPA, as amended hereby, is in full force and effect in accordance with its terms and is hereby ratified and confirmed.</w:t>
      </w:r>
    </w:p>
    <w:p>
      <w:pPr>
        <w:pStyle w:val="ListBullet3"/>
        <w:numPr>
          <w:ilvl w:val="2"/>
          <w:numId w:val="3"/>
        </w:numPr>
        <w:ind w:hanging="0" w:start="0"/>
        <w:rPr/>
      </w:pPr>
      <w:r>
        <w:rPr/>
        <w:t>Upon the due execution and delivery of this Amendment No. 2 by the Parties, on and after the date hereof, each reference in the SPA to “this Agreement”, “hereunder”, “herein” and words of like import referring to the SPA shall mean and be a reference to the SPA as amended hereby.</w:t>
      </w:r>
    </w:p>
    <w:p>
      <w:pPr>
        <w:pStyle w:val="BodyText"/>
        <w:rPr/>
      </w:pPr>
      <w:r>
        <w:rPr/>
        <w:t>IN WITNESS WHEREOF, each party hereto has caused this Amendment No. 2 to be executed by its authorized representative as of the date first written above.</w:t>
      </w:r>
    </w:p>
    <w:p>
      <w:pPr>
        <w:pStyle w:val="Sign1Line1"/>
        <w:rPr/>
      </w:pPr>
      <w:r>
        <w:rPr/>
        <w:t>AES Greystone, L.L.C.</w:t>
      </w:r>
    </w:p>
    <w:p>
      <w:pPr>
        <w:pStyle w:val="SignatureBlock"/>
        <w:rPr/>
      </w:pPr>
      <w:r>
        <w:rPr/>
        <w:t xml:space="preserve">By:  </w:t>
      </w:r>
      <w:r>
        <w:rPr>
          <w:u w:val="single"/>
        </w:rPr>
        <w:tab/>
      </w:r>
      <w:r>
        <w:rPr/>
        <w:br/>
        <w:t>Name:</w:t>
        <w:br/>
        <w:t>Title:</w:t>
      </w:r>
    </w:p>
    <w:p>
      <w:pPr>
        <w:pStyle w:val="Sign1Line1"/>
        <w:rPr/>
      </w:pPr>
      <w:r>
        <w:rPr/>
        <w:t>Volunteer Land Development Company, L.L.C.</w:t>
      </w:r>
    </w:p>
    <w:p>
      <w:pPr>
        <w:pStyle w:val="SignatureBlock"/>
        <w:rPr/>
      </w:pPr>
      <w:r>
        <w:rPr/>
        <w:t xml:space="preserve">By:  </w:t>
      </w:r>
      <w:r>
        <w:rPr>
          <w:u w:val="single"/>
        </w:rPr>
        <w:tab/>
      </w:r>
      <w:r>
        <w:rPr/>
        <w:br/>
        <w:t>Name:</w:t>
        <w:br/>
        <w:t>Title:</w:t>
      </w:r>
    </w:p>
    <w:p>
      <w:pPr>
        <w:pStyle w:val="Header"/>
        <w:tabs>
          <w:tab w:val="clear" w:pos="4320"/>
          <w:tab w:val="clear" w:pos="8640"/>
        </w:tabs>
        <w:rPr/>
      </w:pPr>
      <w:r>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start"/>
      <w:pPr>
        <w:tabs>
          <w:tab w:val="num" w:pos="720"/>
        </w:tabs>
        <w:ind w:start="720" w:hanging="720"/>
      </w:pPr>
    </w:lvl>
    <w:lvl w:ilvl="1">
      <w:start w:val="1"/>
      <w:numFmt w:val="upperLetter"/>
      <w:lvlText w:val="%2."/>
      <w:lvlJc w:val="start"/>
      <w:pPr>
        <w:tabs>
          <w:tab w:val="num" w:pos="720"/>
        </w:tabs>
        <w:ind w:start="1440" w:hanging="720"/>
      </w:pPr>
    </w:lvl>
    <w:lvl w:ilvl="2">
      <w:start w:val="1"/>
      <w:numFmt w:val="decimal"/>
      <w:lvlText w:val="%3."/>
      <w:lvlJc w:val="start"/>
      <w:pPr>
        <w:tabs>
          <w:tab w:val="num" w:pos="720"/>
        </w:tabs>
        <w:ind w:start="2160" w:hanging="720"/>
      </w:pPr>
    </w:lvl>
    <w:lvl w:ilvl="3">
      <w:start w:val="1"/>
      <w:numFmt w:val="lowerLetter"/>
      <w:lvlText w:val="%4."/>
      <w:lvlJc w:val="start"/>
      <w:pPr>
        <w:tabs>
          <w:tab w:val="num" w:pos="720"/>
        </w:tabs>
        <w:ind w:start="2880" w:hanging="720"/>
      </w:pPr>
    </w:lvl>
    <w:lvl w:ilvl="4">
      <w:start w:val="1"/>
      <w:numFmt w:val="decimal"/>
      <w:lvlText w:val="(%5)"/>
      <w:lvlJc w:val="start"/>
      <w:pPr>
        <w:tabs>
          <w:tab w:val="num" w:pos="720"/>
        </w:tabs>
        <w:ind w:start="3600" w:hanging="720"/>
      </w:pPr>
    </w:lvl>
    <w:lvl w:ilvl="5">
      <w:start w:val="1"/>
      <w:numFmt w:val="lowerLetter"/>
      <w:lvlText w:val="(%6)"/>
      <w:lvlJc w:val="start"/>
      <w:pPr>
        <w:tabs>
          <w:tab w:val="num" w:pos="720"/>
        </w:tabs>
        <w:ind w:start="4320" w:hanging="720"/>
      </w:pPr>
    </w:lvl>
    <w:lvl w:ilvl="6">
      <w:start w:val="1"/>
      <w:numFmt w:val="lowerRoman"/>
      <w:lvlText w:val="%7)"/>
      <w:lvlJc w:val="start"/>
      <w:pPr>
        <w:tabs>
          <w:tab w:val="num" w:pos="720"/>
        </w:tabs>
        <w:ind w:start="5040" w:hanging="720"/>
      </w:pPr>
    </w:lvl>
    <w:lvl w:ilvl="7">
      <w:start w:val="1"/>
      <w:pStyle w:val="Heading8"/>
      <w:numFmt w:val="lowerLetter"/>
      <w:lvlText w:val="%8)"/>
      <w:lvlJc w:val="start"/>
      <w:pPr>
        <w:tabs>
          <w:tab w:val="num" w:pos="720"/>
        </w:tabs>
        <w:ind w:start="5760" w:hanging="720"/>
      </w:pPr>
    </w:lvl>
    <w:lvl w:ilvl="8">
      <w:start w:val="1"/>
      <w:pStyle w:val="Heading9"/>
      <w:numFmt w:val="lowerRoman"/>
      <w:lvlText w:val="(%9)"/>
      <w:lvlJc w:val="start"/>
      <w:pPr>
        <w:tabs>
          <w:tab w:val="num" w:pos="720"/>
        </w:tabs>
        <w:ind w:start="6480" w:hanging="720"/>
      </w:pPr>
    </w:lvl>
  </w:abstractNum>
  <w:abstractNum w:abstractNumId="2">
    <w:lvl w:ilvl="0">
      <w:start w:val="1"/>
      <w:numFmt w:val="upperLetter"/>
      <w:lvlText w:val="%1"/>
      <w:lvlJc w:val="start"/>
      <w:pPr>
        <w:tabs>
          <w:tab w:val="num" w:pos="360"/>
        </w:tabs>
        <w:ind w:start="360" w:hanging="360"/>
      </w:pPr>
    </w:lvl>
  </w:abstractNum>
  <w:abstractNum w:abstractNumId="3">
    <w:lvl w:ilvl="0">
      <w:start w:val="1"/>
      <w:numFmt w:val="decimal"/>
      <w:lvlText w:val="SECTION %1."/>
      <w:lvlJc w:val="start"/>
      <w:pPr>
        <w:tabs>
          <w:tab w:val="num" w:pos="1440"/>
        </w:tabs>
        <w:ind w:start="0" w:hanging="0"/>
      </w:pPr>
    </w:lvl>
    <w:lvl w:ilvl="1">
      <w:start w:val="1"/>
      <w:numFmt w:val="lowerLetter"/>
      <w:lvlText w:val="(%2)"/>
      <w:lvlJc w:val="start"/>
      <w:pPr>
        <w:tabs>
          <w:tab w:val="num" w:pos="1080"/>
        </w:tabs>
        <w:ind w:start="0" w:firstLine="720"/>
      </w:pPr>
    </w:lvl>
    <w:lvl w:ilvl="2">
      <w:start w:val="1"/>
      <w:numFmt w:val="lowerRoman"/>
      <w:lvlText w:val="(%3)"/>
      <w:lvlJc w:val="start"/>
      <w:pPr>
        <w:tabs>
          <w:tab w:val="num" w:pos="720"/>
        </w:tabs>
        <w:ind w:start="0" w:hanging="0"/>
      </w:pPr>
    </w:lvl>
    <w:lvl w:ilvl="3">
      <w:start w:val="1"/>
      <w:numFmt w:val="lowerLetter"/>
      <w:lvlText w:val="%4."/>
      <w:lvlJc w:val="start"/>
      <w:pPr>
        <w:tabs>
          <w:tab w:val="num" w:pos="36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4">
    <w:lvl w:ilvl="0">
      <w:start w:val="1"/>
      <w:numFmt w:val="decimal"/>
      <w:suff w:val="space"/>
      <w:lvlText w:val="1.%1"/>
      <w:lvlJc w:val="start"/>
      <w:pPr>
        <w:tabs>
          <w:tab w:val="num" w:pos="0"/>
        </w:tabs>
        <w:ind w:start="0" w:hanging="0"/>
      </w:pPr>
      <w:rPr>
        <w:sz w:val="24"/>
        <w:i w:val="false"/>
        <w:u w:val="none"/>
        <w:b w:val="false"/>
        <w:rFonts w:ascii="Tahoma" w:hAnsi="Tahoma" w:cs="Tahoma"/>
      </w:rPr>
    </w:lvl>
    <w:lvl w:ilvl="1">
      <w:start w:val="1"/>
      <w:numFmt w:val="lowerLetter"/>
      <w:lvlText w:val="(%2)"/>
      <w:lvlJc w:val="start"/>
      <w:pPr>
        <w:tabs>
          <w:tab w:val="num" w:pos="1080"/>
        </w:tabs>
        <w:ind w:start="0" w:firstLine="720"/>
      </w:pPr>
      <w:rPr>
        <w:sz w:val="24"/>
        <w:i w:val="false"/>
        <w:b w:val="false"/>
        <w:rFonts w:ascii="Tahoma" w:hAnsi="Tahoma" w:cs="Tahoma"/>
      </w:rPr>
    </w:lvl>
    <w:lvl w:ilvl="2">
      <w:start w:val="1"/>
      <w:numFmt w:val="lowerRoman"/>
      <w:lvlText w:val="(%3)"/>
      <w:lvlJc w:val="start"/>
      <w:pPr>
        <w:tabs>
          <w:tab w:val="num" w:pos="3600"/>
        </w:tabs>
        <w:ind w:start="3600" w:hanging="720"/>
      </w:pPr>
      <w:rPr>
        <w:sz w:val="24"/>
        <w:i w:val="false"/>
        <w:u w:val="none"/>
        <w:b w:val="false"/>
      </w:rPr>
    </w:lvl>
    <w:lvl w:ilvl="3">
      <w:start w:val="1"/>
      <w:numFmt w:val="decimal"/>
      <w:lvlText w:val="%4."/>
      <w:lvlJc w:val="start"/>
      <w:pPr>
        <w:tabs>
          <w:tab w:val="num" w:pos="3600"/>
        </w:tabs>
        <w:ind w:start="3600" w:hanging="720"/>
      </w:pPr>
    </w:lvl>
    <w:lvl w:ilvl="4">
      <w:start w:val="1"/>
      <w:numFmt w:val="lowerLetter"/>
      <w:lvlText w:val="(%5)"/>
      <w:lvlJc w:val="start"/>
      <w:pPr>
        <w:tabs>
          <w:tab w:val="num" w:pos="3600"/>
        </w:tabs>
        <w:ind w:start="3600" w:hanging="720"/>
      </w:pPr>
    </w:lvl>
    <w:lvl w:ilvl="5">
      <w:start w:val="1"/>
      <w:numFmt w:val="upperLetter"/>
      <w:lvlText w:val="(%6)"/>
      <w:lvlJc w:val="start"/>
      <w:pPr>
        <w:tabs>
          <w:tab w:val="num" w:pos="3960"/>
        </w:tabs>
        <w:ind w:start="3600" w:hanging="0"/>
      </w:pPr>
    </w:lvl>
    <w:lvl w:ilvl="6">
      <w:start w:val="1"/>
      <w:numFmt w:val="lowerRoman"/>
      <w:lvlText w:val="(%7)"/>
      <w:lvlJc w:val="start"/>
      <w:pPr>
        <w:tabs>
          <w:tab w:val="num" w:pos="4320"/>
        </w:tabs>
        <w:ind w:start="3600" w:hanging="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5">
    <w:lvl w:ilvl="0">
      <w:start w:val="1"/>
      <w:numFmt w:val="decimal"/>
      <w:lvlText w:val="SECTION %1."/>
      <w:lvlJc w:val="start"/>
      <w:pPr>
        <w:tabs>
          <w:tab w:val="num" w:pos="1440"/>
        </w:tabs>
        <w:ind w:start="0" w:hanging="0"/>
      </w:pPr>
    </w:lvl>
    <w:lvl w:ilvl="1">
      <w:start w:val="1"/>
      <w:numFmt w:val="lowerLetter"/>
      <w:lvlText w:val="(%2)"/>
      <w:lvlJc w:val="start"/>
      <w:pPr>
        <w:tabs>
          <w:tab w:val="num" w:pos="1080"/>
        </w:tabs>
        <w:ind w:start="0" w:firstLine="720"/>
      </w:pPr>
    </w:lvl>
    <w:lvl w:ilvl="2">
      <w:start w:val="1"/>
      <w:numFmt w:val="lowerRoman"/>
      <w:lvlText w:val="(%3)"/>
      <w:lvlJc w:val="start"/>
      <w:pPr>
        <w:tabs>
          <w:tab w:val="num" w:pos="720"/>
        </w:tabs>
        <w:ind w:start="0" w:hanging="0"/>
      </w:pPr>
    </w:lvl>
    <w:lvl w:ilvl="3">
      <w:start w:val="1"/>
      <w:numFmt w:val="lowerLetter"/>
      <w:lvlText w:val="%4."/>
      <w:lvlJc w:val="start"/>
      <w:pPr>
        <w:tabs>
          <w:tab w:val="num" w:pos="36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6">
    <w:lvl w:ilvl="0">
      <w:start w:val="1"/>
      <w:numFmt w:val="lowerLetter"/>
      <w:lvlText w:val="(%1)"/>
      <w:lvlJc w:val="start"/>
      <w:pPr>
        <w:tabs>
          <w:tab w:val="num" w:pos="2160"/>
        </w:tabs>
        <w:ind w:start="2160" w:hanging="720"/>
      </w:pPr>
      <w:rPr/>
    </w:lvl>
  </w:abstractNum>
  <w:abstractNum w:abstractNumId="7">
    <w:lvl w:ilvl="0">
      <w:start w:val="1"/>
      <w:numFmt w:val="decimal"/>
      <w:lvlText w:val="%1."/>
      <w:lvlJc w:val="start"/>
      <w:pPr>
        <w:tabs>
          <w:tab w:val="num" w:pos="360"/>
        </w:tabs>
        <w:ind w:start="360" w:hanging="360"/>
      </w:pPr>
    </w:lvl>
    <w:lvl w:ilvl="1">
      <w:start w:val="1"/>
      <w:numFmt w:val="lowerLetter"/>
      <w:lvlText w:val="(%2)"/>
      <w:lvlJc w:val="start"/>
      <w:pPr>
        <w:tabs>
          <w:tab w:val="num" w:pos="720"/>
        </w:tabs>
        <w:ind w:start="720" w:hanging="360"/>
      </w:pPr>
    </w:lvl>
    <w:lvl w:ilvl="2">
      <w:start w:val="1"/>
      <w:numFmt w:val="lowerRoman"/>
      <w:lvlText w:val="(%3)"/>
      <w:lvlJc w:val="start"/>
      <w:pPr>
        <w:tabs>
          <w:tab w:val="num" w:pos="144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8">
    <w:lvl w:ilvl="0">
      <w:start w:val="1"/>
      <w:numFmt w:val="bullet"/>
      <w:lvlText w:val=""/>
      <w:lvlJc w:val="start"/>
      <w:pPr>
        <w:tabs>
          <w:tab w:val="num" w:pos="360"/>
        </w:tabs>
        <w:ind w:start="360" w:hanging="360"/>
      </w:pPr>
      <w:rPr>
        <w:rFonts w:ascii="Tahoma" w:hAnsi="Tahoma" w:cs="Tahoma" w:hint="default"/>
      </w:rPr>
    </w:lvl>
  </w:abstractNum>
  <w:abstractNum w:abstractNumId="9">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spacing w:lineRule="auto" w:line="480"/>
      <w:jc w:val="center"/>
      <w:outlineLvl w:val="0"/>
    </w:pPr>
    <w:rPr>
      <w:b/>
      <w:kern w:val="2"/>
    </w:rPr>
  </w:style>
  <w:style w:type="paragraph" w:styleId="Heading2">
    <w:name w:val="heading 2"/>
    <w:basedOn w:val="Normal"/>
    <w:next w:val="Normal"/>
    <w:qFormat/>
    <w:pPr>
      <w:keepNext w:val="true"/>
      <w:tabs>
        <w:tab w:val="clear" w:pos="720"/>
        <w:tab w:val="left" w:pos="2880" w:leader="none"/>
      </w:tabs>
      <w:spacing w:before="0" w:after="240"/>
      <w:outlineLvl w:val="1"/>
    </w:pPr>
    <w:rPr/>
  </w:style>
  <w:style w:type="paragraph" w:styleId="Heading3">
    <w:name w:val="heading 3"/>
    <w:basedOn w:val="Normal"/>
    <w:next w:val="Normal"/>
    <w:qFormat/>
    <w:pPr>
      <w:spacing w:before="0" w:after="240"/>
      <w:jc w:val="both"/>
      <w:outlineLvl w:val="2"/>
    </w:pPr>
    <w:rPr/>
  </w:style>
  <w:style w:type="paragraph" w:styleId="Heading4">
    <w:name w:val="heading 4"/>
    <w:basedOn w:val="Normal"/>
    <w:next w:val="Normal"/>
    <w:qFormat/>
    <w:pPr>
      <w:spacing w:before="0" w:after="240"/>
      <w:jc w:val="both"/>
      <w:outlineLvl w:val="3"/>
    </w:pPr>
    <w:rPr/>
  </w:style>
  <w:style w:type="paragraph" w:styleId="Heading5">
    <w:name w:val="heading 5"/>
    <w:basedOn w:val="Normal"/>
    <w:next w:val="Normal"/>
    <w:qFormat/>
    <w:pPr>
      <w:spacing w:before="0" w:after="240"/>
      <w:jc w:val="both"/>
      <w:outlineLvl w:val="4"/>
    </w:pPr>
    <w:rPr/>
  </w:style>
  <w:style w:type="paragraph" w:styleId="Heading6">
    <w:name w:val="heading 6"/>
    <w:basedOn w:val="Normal"/>
    <w:next w:val="Normal"/>
    <w:qFormat/>
    <w:pPr>
      <w:spacing w:before="0" w:after="240"/>
      <w:jc w:val="both"/>
      <w:outlineLvl w:val="5"/>
    </w:pPr>
    <w:rPr/>
  </w:style>
  <w:style w:type="paragraph" w:styleId="Heading7">
    <w:name w:val="heading 7"/>
    <w:basedOn w:val="Normal"/>
    <w:next w:val="Normal"/>
    <w:qFormat/>
    <w:pPr>
      <w:spacing w:before="0" w:after="240"/>
      <w:outlineLvl w:val="6"/>
    </w:pPr>
    <w:rPr/>
  </w:style>
  <w:style w:type="paragraph" w:styleId="Heading8">
    <w:name w:val="heading 8"/>
    <w:basedOn w:val="Normal"/>
    <w:next w:val="Normal"/>
    <w:qFormat/>
    <w:pPr>
      <w:numPr>
        <w:ilvl w:val="7"/>
        <w:numId w:val="1"/>
      </w:numPr>
      <w:outlineLvl w:val="7"/>
    </w:pPr>
    <w:rPr/>
  </w:style>
  <w:style w:type="paragraph" w:styleId="Heading9">
    <w:name w:val="heading 9"/>
    <w:basedOn w:val="Normal"/>
    <w:next w:val="Normal"/>
    <w:qFormat/>
    <w:pPr>
      <w:numPr>
        <w:ilvl w:val="8"/>
        <w:numId w:val="1"/>
      </w:numPr>
      <w:outlineLvl w:val="8"/>
    </w:pPr>
    <w:rPr/>
  </w:style>
  <w:style w:type="character" w:styleId="WW8Num4z0">
    <w:name w:val="WW8Num4z0"/>
    <w:qFormat/>
    <w:rPr>
      <w:rFonts w:ascii="Tahoma" w:hAnsi="Tahoma" w:cs="Tahoma"/>
      <w:b w:val="false"/>
      <w:i w:val="false"/>
      <w:sz w:val="24"/>
      <w:u w:val="none"/>
    </w:rPr>
  </w:style>
  <w:style w:type="character" w:styleId="WW8Num4z1">
    <w:name w:val="WW8Num4z1"/>
    <w:qFormat/>
    <w:rPr>
      <w:rFonts w:ascii="Tahoma" w:hAnsi="Tahoma" w:cs="Tahoma"/>
      <w:b w:val="false"/>
      <w:i w:val="false"/>
      <w:sz w:val="24"/>
    </w:rPr>
  </w:style>
  <w:style w:type="character" w:styleId="WW8Num4z2">
    <w:name w:val="WW8Num4z2"/>
    <w:qFormat/>
    <w:rPr>
      <w:b w:val="false"/>
      <w:i w:val="false"/>
      <w:sz w:val="24"/>
      <w:u w:val="none"/>
    </w:rPr>
  </w:style>
  <w:style w:type="character" w:styleId="WW8Num6z0">
    <w:name w:val="WW8Num6z0"/>
    <w:qFormat/>
    <w:rPr>
      <w:rFonts w:ascii="Tahoma" w:hAnsi="Tahoma" w:cs="Tahoma"/>
      <w:b w:val="false"/>
      <w:i w:val="false"/>
      <w:color w:val="auto"/>
      <w:sz w:val="24"/>
      <w:u w:val="none"/>
    </w:rPr>
  </w:style>
  <w:style w:type="character" w:styleId="WW8Num7z0">
    <w:name w:val="WW8Num7z0"/>
    <w:qFormat/>
    <w:rPr/>
  </w:style>
  <w:style w:type="character" w:styleId="WW8Num9z0">
    <w:name w:val="WW8Num9z0"/>
    <w:qFormat/>
    <w:rPr>
      <w:rFonts w:ascii="Tahoma" w:hAnsi="Tahoma" w:cs="Tahoma"/>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CommentReference">
    <w:name w:val="Comment Reference"/>
    <w:basedOn w:val="DefaultParagraphFont"/>
    <w:qFormat/>
    <w:rPr>
      <w:color w:val="0000FF"/>
      <w:sz w:val="20"/>
    </w:rPr>
  </w:style>
  <w:style w:type="character" w:styleId="PageNumber">
    <w:name w:val="page number"/>
    <w:basedOn w:val="DefaultParagraphFont"/>
    <w:rPr/>
  </w:style>
  <w:style w:type="character" w:styleId="EndnoteCharacters">
    <w:name w:val="Endnote Characters"/>
    <w:basedOn w:val="DefaultParagraphFont"/>
    <w:qFormat/>
    <w:rPr>
      <w:vertAlign w:val="superscript"/>
    </w:rPr>
  </w:style>
  <w:style w:type="character" w:styleId="ParagraphNumber">
    <w:name w:val="ParagraphNumber"/>
    <w:basedOn w:val="DefaultParagraphFont"/>
    <w:qFormat/>
    <w:rPr>
      <w:spacing w:val="-3"/>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jc w:val="both"/>
    </w:pPr>
    <w:rPr/>
  </w:style>
  <w:style w:type="paragraph" w:styleId="List">
    <w:name w:val="List"/>
    <w:basedOn w:val="BodyText"/>
    <w:pPr/>
    <w:rPr>
      <w:rFonts w:cs="NotoSans NF"/>
    </w:rPr>
  </w:style>
  <w:style w:type="paragraph" w:styleId="Caption">
    <w:name w:val="caption"/>
    <w:basedOn w:val="Normal"/>
    <w:qFormat/>
    <w:pPr>
      <w:spacing w:before="0" w:after="240"/>
      <w:jc w:val="center"/>
    </w:pPr>
    <w:rPr>
      <w:u w:val="single"/>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widowControl w:val="false"/>
      <w:spacing w:before="60" w:after="0"/>
      <w:ind w:hanging="360" w:start="36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ListNumber4">
    <w:name w:val="List Number 4"/>
    <w:basedOn w:val="Normal"/>
    <w:qFormat/>
    <w:pPr>
      <w:numPr>
        <w:ilvl w:val="0"/>
        <w:numId w:val="9"/>
      </w:numPr>
      <w:ind w:hanging="360" w:start="1440" w:end="0"/>
    </w:pPr>
    <w:rPr/>
  </w:style>
  <w:style w:type="paragraph" w:styleId="NormalIndent">
    <w:name w:val="Normal Indent"/>
    <w:basedOn w:val="Normal"/>
    <w:qFormat/>
    <w:pPr>
      <w:spacing w:before="0" w:after="240"/>
      <w:ind w:hanging="0" w:start="720" w:end="0"/>
      <w:jc w:val="both"/>
    </w:pPr>
    <w:rPr/>
  </w:style>
  <w:style w:type="paragraph" w:styleId="Closing">
    <w:name w:val="Closing"/>
    <w:basedOn w:val="Normal"/>
    <w:qFormat/>
    <w:pPr>
      <w:ind w:hanging="0" w:start="4680" w:end="0"/>
    </w:pPr>
    <w:rPr/>
  </w:style>
  <w:style w:type="paragraph" w:styleId="EndnoteText">
    <w:name w:val="endnote text"/>
    <w:basedOn w:val="Normal"/>
    <w:pPr>
      <w:spacing w:before="0" w:after="120"/>
    </w:pPr>
    <w:rPr/>
  </w:style>
  <w:style w:type="paragraph" w:styleId="HeadingBase">
    <w:name w:val="Heading Base"/>
    <w:basedOn w:val="Normal"/>
    <w:next w:val="BodyText"/>
    <w:qFormat/>
    <w:pPr>
      <w:spacing w:before="240" w:after="240"/>
    </w:pPr>
    <w:rPr/>
  </w:style>
  <w:style w:type="paragraph" w:styleId="HeadingBody1">
    <w:name w:val="Heading Body 1"/>
    <w:basedOn w:val="BodyText"/>
    <w:qFormat/>
    <w:pPr>
      <w:ind w:hanging="0" w:start="720" w:end="0"/>
    </w:pPr>
    <w:rPr/>
  </w:style>
  <w:style w:type="paragraph" w:styleId="CenteredHeading">
    <w:name w:val="Centered Heading"/>
    <w:basedOn w:val="HeadingBase"/>
    <w:next w:val="BodyText"/>
    <w:qFormat/>
    <w:pPr>
      <w:spacing w:before="0" w:after="240"/>
      <w:jc w:val="center"/>
    </w:pPr>
    <w:rPr>
      <w:u w:val="single"/>
    </w:rPr>
  </w:style>
  <w:style w:type="paragraph" w:styleId="IndexHeading">
    <w:name w:val="index heading"/>
    <w:basedOn w:val="Normal"/>
    <w:next w:val="Index1"/>
    <w:pPr/>
    <w:rPr>
      <w:b/>
    </w:rPr>
  </w:style>
  <w:style w:type="paragraph" w:styleId="Signature">
    <w:name w:val="Signature"/>
    <w:basedOn w:val="Normal"/>
    <w:pPr>
      <w:spacing w:before="0" w:after="480"/>
      <w:ind w:hanging="0" w:start="4320" w:end="0"/>
    </w:pPr>
    <w:rPr/>
  </w:style>
  <w:style w:type="paragraph" w:styleId="TOAHeading">
    <w:name w:val="TOA Heading"/>
    <w:basedOn w:val="Normal"/>
    <w:next w:val="Normal"/>
    <w:qFormat/>
    <w:pPr>
      <w:spacing w:before="0" w:after="240"/>
    </w:pPr>
    <w:rPr>
      <w:b/>
    </w:rPr>
  </w:style>
  <w:style w:type="paragraph" w:styleId="TOC9">
    <w:name w:val="toc 9"/>
    <w:basedOn w:val="Normal"/>
    <w:next w:val="Normal"/>
    <w:pPr>
      <w:ind w:hanging="0" w:start="1920" w:end="0"/>
    </w:pPr>
    <w:rPr>
      <w:sz w:val="18"/>
    </w:rPr>
  </w:style>
  <w:style w:type="paragraph" w:styleId="Quote">
    <w:name w:val="Quote"/>
    <w:basedOn w:val="Normal"/>
    <w:qFormat/>
    <w:pPr>
      <w:spacing w:before="0" w:after="240"/>
      <w:ind w:hanging="0" w:start="1440" w:end="1440"/>
      <w:jc w:val="both"/>
    </w:pPr>
    <w:rPr/>
  </w:style>
  <w:style w:type="paragraph" w:styleId="HeadingBody2">
    <w:name w:val="Heading Body 2"/>
    <w:basedOn w:val="BodyText"/>
    <w:qFormat/>
    <w:pPr>
      <w:ind w:hanging="0" w:start="1440" w:end="0"/>
    </w:pPr>
    <w:rPr/>
  </w:style>
  <w:style w:type="paragraph" w:styleId="HeadingBody3">
    <w:name w:val="Heading Body 3"/>
    <w:basedOn w:val="BodyText"/>
    <w:qFormat/>
    <w:pPr>
      <w:ind w:hanging="0" w:start="2160" w:end="0"/>
    </w:pPr>
    <w:rPr/>
  </w:style>
  <w:style w:type="paragraph" w:styleId="HeadingBody4">
    <w:name w:val="Heading Body 4"/>
    <w:basedOn w:val="BodyText"/>
    <w:qFormat/>
    <w:pPr>
      <w:ind w:hanging="0" w:start="2880" w:end="0"/>
    </w:pPr>
    <w:rPr/>
  </w:style>
  <w:style w:type="paragraph" w:styleId="HeadingBody5">
    <w:name w:val="Heading Body 5"/>
    <w:basedOn w:val="BodyText"/>
    <w:qFormat/>
    <w:pPr>
      <w:ind w:hanging="0" w:start="3600" w:end="0"/>
    </w:pPr>
    <w:rPr/>
  </w:style>
  <w:style w:type="paragraph" w:styleId="HeadingBody6">
    <w:name w:val="Heading Body 6"/>
    <w:basedOn w:val="BodyText"/>
    <w:qFormat/>
    <w:pPr>
      <w:ind w:hanging="0" w:start="4320" w:end="0"/>
    </w:pPr>
    <w:rPr/>
  </w:style>
  <w:style w:type="paragraph" w:styleId="HeadingBody7">
    <w:name w:val="Heading Body 7"/>
    <w:basedOn w:val="BodyText"/>
    <w:qFormat/>
    <w:pPr>
      <w:ind w:hanging="0" w:start="5040" w:end="0"/>
    </w:pPr>
    <w:rPr/>
  </w:style>
  <w:style w:type="paragraph" w:styleId="HeadingBody8">
    <w:name w:val="Heading Body 8"/>
    <w:basedOn w:val="BodyText"/>
    <w:qFormat/>
    <w:pPr>
      <w:ind w:hanging="0" w:start="5760" w:end="0"/>
    </w:pPr>
    <w:rPr/>
  </w:style>
  <w:style w:type="paragraph" w:styleId="HeadingBody9">
    <w:name w:val="Heading Body 9"/>
    <w:basedOn w:val="BodyText"/>
    <w:qFormat/>
    <w:pPr>
      <w:ind w:hanging="0" w:start="6480" w:end="0"/>
    </w:pPr>
    <w:rPr/>
  </w:style>
  <w:style w:type="paragraph" w:styleId="TOC1">
    <w:name w:val="toc 1"/>
    <w:basedOn w:val="Normal"/>
    <w:next w:val="Normal"/>
    <w:pPr>
      <w:spacing w:before="120" w:after="120"/>
    </w:pPr>
    <w:rPr>
      <w:b/>
      <w:caps/>
      <w:sz w:val="20"/>
    </w:rPr>
  </w:style>
  <w:style w:type="paragraph" w:styleId="TOC2">
    <w:name w:val="toc 2"/>
    <w:basedOn w:val="Normal"/>
    <w:next w:val="Normal"/>
    <w:pPr>
      <w:ind w:hanging="0" w:start="240" w:end="0"/>
    </w:pPr>
    <w:rPr>
      <w:smallCaps/>
      <w:sz w:val="20"/>
    </w:rPr>
  </w:style>
  <w:style w:type="paragraph" w:styleId="TOC3">
    <w:name w:val="toc 3"/>
    <w:basedOn w:val="Normal"/>
    <w:next w:val="Normal"/>
    <w:pPr>
      <w:ind w:hanging="0" w:start="480" w:end="0"/>
    </w:pPr>
    <w:rPr>
      <w:i/>
      <w:sz w:val="20"/>
    </w:rPr>
  </w:style>
  <w:style w:type="paragraph" w:styleId="TOC4">
    <w:name w:val="toc 4"/>
    <w:basedOn w:val="Normal"/>
    <w:next w:val="Normal"/>
    <w:pPr>
      <w:ind w:hanging="0" w:start="720" w:end="0"/>
    </w:pPr>
    <w:rPr>
      <w:sz w:val="18"/>
    </w:rPr>
  </w:style>
  <w:style w:type="paragraph" w:styleId="TOC5">
    <w:name w:val="toc 5"/>
    <w:basedOn w:val="Normal"/>
    <w:next w:val="Normal"/>
    <w:pPr>
      <w:ind w:hanging="0" w:start="960" w:end="0"/>
    </w:pPr>
    <w:rPr>
      <w:sz w:val="18"/>
    </w:rPr>
  </w:style>
  <w:style w:type="paragraph" w:styleId="TOC6">
    <w:name w:val="toc 6"/>
    <w:basedOn w:val="Normal"/>
    <w:next w:val="Normal"/>
    <w:pPr>
      <w:ind w:hanging="0" w:start="1200" w:end="0"/>
    </w:pPr>
    <w:rPr>
      <w:sz w:val="18"/>
    </w:rPr>
  </w:style>
  <w:style w:type="paragraph" w:styleId="TOC7">
    <w:name w:val="toc 7"/>
    <w:basedOn w:val="Normal"/>
    <w:next w:val="Normal"/>
    <w:pPr>
      <w:ind w:hanging="0" w:start="1440" w:end="0"/>
    </w:pPr>
    <w:rPr>
      <w:sz w:val="18"/>
    </w:rPr>
  </w:style>
  <w:style w:type="paragraph" w:styleId="TOC8">
    <w:name w:val="toc 8"/>
    <w:basedOn w:val="Normal"/>
    <w:next w:val="Normal"/>
    <w:pPr>
      <w:ind w:hanging="0" w:start="1680" w:end="0"/>
    </w:pPr>
    <w:rPr>
      <w:sz w:val="18"/>
    </w:rPr>
  </w:style>
  <w:style w:type="paragraph" w:styleId="Address">
    <w:name w:val="Address"/>
    <w:basedOn w:val="Normal"/>
    <w:qFormat/>
    <w:pPr>
      <w:tabs>
        <w:tab w:val="clear" w:pos="720"/>
        <w:tab w:val="left" w:pos="2520" w:leader="none"/>
      </w:tabs>
      <w:spacing w:before="0" w:after="240"/>
      <w:ind w:hanging="0" w:start="720" w:end="0"/>
    </w:pPr>
    <w:rPr/>
  </w:style>
  <w:style w:type="paragraph" w:styleId="Address-Inside">
    <w:name w:val="Address - Inside"/>
    <w:basedOn w:val="Normal"/>
    <w:qFormat/>
    <w:pPr>
      <w:spacing w:before="0" w:after="240"/>
      <w:ind w:hanging="1440" w:start="1440" w:end="0"/>
    </w:pPr>
    <w:rPr/>
  </w:style>
  <w:style w:type="paragraph" w:styleId="Alphaa">
    <w:name w:val="Alpha (a)"/>
    <w:basedOn w:val="Normal"/>
    <w:qFormat/>
    <w:pPr>
      <w:widowControl w:val="false"/>
      <w:numPr>
        <w:ilvl w:val="0"/>
        <w:numId w:val="7"/>
      </w:numPr>
      <w:tabs>
        <w:tab w:val="clear" w:pos="720"/>
      </w:tabs>
      <w:spacing w:before="0" w:after="240"/>
      <w:ind w:firstLine="720" w:start="0" w:end="0"/>
      <w:jc w:val="both"/>
    </w:pPr>
    <w:rPr/>
  </w:style>
  <w:style w:type="paragraph" w:styleId="Alphai">
    <w:name w:val="Alpha (i)"/>
    <w:basedOn w:val="Normal"/>
    <w:qFormat/>
    <w:pPr>
      <w:widowControl w:val="false"/>
      <w:tabs>
        <w:tab w:val="clear" w:pos="720"/>
        <w:tab w:val="left" w:pos="1440" w:leader="none"/>
      </w:tabs>
      <w:ind w:hanging="360" w:start="1080" w:end="0"/>
    </w:pPr>
    <w:rPr/>
  </w:style>
  <w:style w:type="paragraph" w:styleId="Alpha1">
    <w:name w:val="Alpha 1."/>
    <w:basedOn w:val="Normal"/>
    <w:qFormat/>
    <w:pPr>
      <w:widowControl w:val="false"/>
      <w:numPr>
        <w:ilvl w:val="0"/>
        <w:numId w:val="7"/>
      </w:numPr>
      <w:tabs>
        <w:tab w:val="clear" w:pos="720"/>
      </w:tabs>
      <w:spacing w:before="0" w:after="240"/>
      <w:ind w:firstLine="720" w:start="0" w:end="0"/>
      <w:jc w:val="both"/>
    </w:pPr>
    <w:rPr/>
  </w:style>
  <w:style w:type="paragraph" w:styleId="BlockText">
    <w:name w:val="Block Text"/>
    <w:basedOn w:val="Normal"/>
    <w:qFormat/>
    <w:pPr>
      <w:spacing w:before="0" w:after="120"/>
      <w:ind w:hanging="0" w:start="1440" w:end="1440"/>
    </w:pPr>
    <w:rPr/>
  </w:style>
  <w:style w:type="paragraph" w:styleId="BySignature">
    <w:name w:val="By Signature"/>
    <w:basedOn w:val="Normal"/>
    <w:qFormat/>
    <w:pPr>
      <w:keepNext w:val="true"/>
      <w:keepLines/>
      <w:tabs>
        <w:tab w:val="clear" w:pos="720"/>
        <w:tab w:val="right" w:pos="9180" w:leader="none"/>
      </w:tabs>
      <w:suppressAutoHyphens w:val="true"/>
      <w:spacing w:before="0" w:after="480"/>
      <w:ind w:hanging="360" w:start="4680" w:end="0"/>
      <w:jc w:val="both"/>
    </w:pPr>
    <w:rPr>
      <w:spacing w:val="-3"/>
    </w:rPr>
  </w:style>
  <w:style w:type="paragraph" w:styleId="Center">
    <w:name w:val="Center"/>
    <w:basedOn w:val="Normal"/>
    <w:qFormat/>
    <w:pPr>
      <w:spacing w:before="0" w:after="240"/>
      <w:jc w:val="center"/>
    </w:pPr>
    <w:rPr/>
  </w:style>
  <w:style w:type="paragraph" w:styleId="Center-Date">
    <w:name w:val="Center - Date"/>
    <w:basedOn w:val="Normal"/>
    <w:qFormat/>
    <w:pPr>
      <w:spacing w:before="0" w:after="480"/>
      <w:jc w:val="center"/>
    </w:pPr>
    <w:rPr>
      <w:spacing w:val="-24"/>
    </w:rPr>
  </w:style>
  <w:style w:type="paragraph" w:styleId="Center-SmallCaps">
    <w:name w:val="Center - Small Caps"/>
    <w:basedOn w:val="Center"/>
    <w:qFormat/>
    <w:pPr/>
    <w:rPr>
      <w:smallCaps/>
    </w:rPr>
  </w:style>
  <w:style w:type="paragraph" w:styleId="CenteredHeading-Bold">
    <w:name w:val="Centered Heading - Bold"/>
    <w:basedOn w:val="Normal"/>
    <w:qFormat/>
    <w:pPr>
      <w:spacing w:before="0" w:after="360"/>
      <w:jc w:val="center"/>
    </w:pPr>
    <w:rPr>
      <w:b/>
    </w:rPr>
  </w:style>
  <w:style w:type="paragraph" w:styleId="CenteredText">
    <w:name w:val="Centered Text"/>
    <w:basedOn w:val="Normal"/>
    <w:qFormat/>
    <w:pPr>
      <w:widowControl w:val="false"/>
      <w:suppressAutoHyphens w:val="true"/>
      <w:jc w:val="center"/>
    </w:pPr>
    <w:rPr>
      <w:spacing w:val="-3"/>
    </w:rPr>
  </w:style>
  <w:style w:type="paragraph" w:styleId="CENTEREDtit">
    <w:name w:val="CENTERED tit"/>
    <w:qFormat/>
    <w:pPr>
      <w:widowControl/>
      <w:tabs>
        <w:tab w:val="clear" w:pos="720"/>
        <w:tab w:val="left" w:pos="-720" w:leader="none"/>
      </w:tabs>
      <w:bidi w:val="0"/>
    </w:pPr>
    <w:rPr>
      <w:rFonts w:ascii="Courier" w:hAnsi="Courier" w:eastAsia="Times New Roman" w:cs="Courier"/>
      <w:color w:val="auto"/>
      <w:sz w:val="20"/>
      <w:szCs w:val="20"/>
      <w:lang w:val="en-US" w:eastAsia="en-CA" w:bidi="ar-SA"/>
    </w:rPr>
  </w:style>
  <w:style w:type="paragraph" w:styleId="ColumnIndent">
    <w:name w:val="Column Indent"/>
    <w:basedOn w:val="Normal"/>
    <w:qFormat/>
    <w:pPr>
      <w:widowControl w:val="false"/>
      <w:tabs>
        <w:tab w:val="clear" w:pos="720"/>
        <w:tab w:val="left" w:pos="-1440" w:leader="none"/>
        <w:tab w:val="left" w:pos="-720" w:leader="none"/>
        <w:tab w:val="right" w:pos="7200" w:leader="none"/>
      </w:tabs>
      <w:suppressAutoHyphens w:val="true"/>
      <w:spacing w:before="0" w:after="240"/>
      <w:ind w:hanging="0" w:start="1440" w:end="0"/>
      <w:jc w:val="both"/>
    </w:pPr>
    <w:rPr>
      <w:spacing w:val="-3"/>
    </w:rPr>
  </w:style>
  <w:style w:type="paragraph" w:styleId="Definition">
    <w:name w:val="Definition"/>
    <w:basedOn w:val="Normal"/>
    <w:qFormat/>
    <w:pPr>
      <w:spacing w:before="0" w:after="240"/>
      <w:ind w:firstLine="720" w:start="0" w:end="0"/>
      <w:jc w:val="both"/>
    </w:pPr>
    <w:rPr/>
  </w:style>
  <w:style w:type="paragraph" w:styleId="DocumentMap">
    <w:name w:val="Document Map"/>
    <w:basedOn w:val="Normal"/>
    <w:qFormat/>
    <w:pPr>
      <w:shd w:fill="000080" w:val="clear"/>
    </w:pPr>
    <w:rPr>
      <w:rFonts w:ascii="Tahoma" w:hAnsi="Tahoma" w:cs="Tahoma"/>
    </w:rPr>
  </w:style>
  <w:style w:type="paragraph" w:styleId="DoubleIndent">
    <w:name w:val="Double Indent"/>
    <w:basedOn w:val="Normal"/>
    <w:qFormat/>
    <w:pPr>
      <w:spacing w:before="0" w:after="240"/>
      <w:ind w:hanging="0" w:start="720" w:end="0"/>
      <w:jc w:val="both"/>
    </w:pPr>
    <w:rPr/>
  </w:style>
  <w:style w:type="paragraph" w:styleId="FlushRgt">
    <w:name w:val="Flush Rgt"/>
    <w:basedOn w:val="Normal"/>
    <w:qFormat/>
    <w:pPr>
      <w:spacing w:before="0" w:after="600"/>
      <w:jc w:val="end"/>
    </w:pPr>
    <w:rPr/>
  </w:style>
  <w:style w:type="paragraph" w:styleId="Indent">
    <w:name w:val="Indent"/>
    <w:basedOn w:val="Normal"/>
    <w:qFormat/>
    <w:pPr>
      <w:spacing w:before="0" w:after="240"/>
      <w:ind w:hanging="0" w:start="2160" w:end="1440"/>
      <w:jc w:val="both"/>
    </w:pPr>
    <w:rPr/>
  </w:style>
  <w:style w:type="paragraph" w:styleId="IndentA">
    <w:name w:val="Indent A"/>
    <w:basedOn w:val="Normal"/>
    <w:qFormat/>
    <w:pPr>
      <w:numPr>
        <w:ilvl w:val="0"/>
        <w:numId w:val="2"/>
      </w:numPr>
      <w:tabs>
        <w:tab w:val="clear" w:pos="720"/>
      </w:tabs>
      <w:spacing w:before="0" w:after="240"/>
      <w:ind w:hanging="720" w:start="720" w:end="0"/>
      <w:jc w:val="both"/>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LeftSignature">
    <w:name w:val="Left Signature"/>
    <w:basedOn w:val="Normal"/>
    <w:qFormat/>
    <w:pPr>
      <w:tabs>
        <w:tab w:val="left" w:pos="720" w:leader="none"/>
        <w:tab w:val="right" w:pos="4320" w:leader="none"/>
      </w:tabs>
      <w:spacing w:before="0" w:after="480"/>
      <w:ind w:hanging="720" w:start="720" w:end="0"/>
    </w:pPr>
    <w:rPr/>
  </w:style>
  <w:style w:type="paragraph" w:styleId="NormalBody">
    <w:name w:val="Normal Body"/>
    <w:basedOn w:val="Normal"/>
    <w:qFormat/>
    <w:pPr>
      <w:spacing w:before="0" w:after="240"/>
      <w:jc w:val="both"/>
    </w:pPr>
    <w:rPr/>
  </w:style>
  <w:style w:type="paragraph" w:styleId="NormalColumn">
    <w:name w:val="Normal Column"/>
    <w:basedOn w:val="Normal"/>
    <w:qFormat/>
    <w:pPr>
      <w:tabs>
        <w:tab w:val="clear" w:pos="720"/>
        <w:tab w:val="left" w:pos="1440" w:leader="none"/>
      </w:tabs>
      <w:suppressAutoHyphens w:val="true"/>
      <w:spacing w:before="0" w:after="240"/>
      <w:jc w:val="both"/>
    </w:pPr>
    <w:rPr>
      <w:spacing w:val="-3"/>
    </w:rPr>
  </w:style>
  <w:style w:type="paragraph" w:styleId="RightAlign">
    <w:name w:val="Right Align"/>
    <w:basedOn w:val="Normal"/>
    <w:qFormat/>
    <w:pPr>
      <w:spacing w:before="0" w:after="360"/>
      <w:jc w:val="end"/>
    </w:pPr>
    <w:rPr>
      <w:smallCaps/>
    </w:rPr>
  </w:style>
  <w:style w:type="paragraph" w:styleId="Salutation">
    <w:name w:val="Salutation"/>
    <w:basedOn w:val="Normal"/>
    <w:next w:val="Normal"/>
    <w:qFormat/>
    <w:pPr>
      <w:spacing w:before="0" w:after="240"/>
    </w:pPr>
    <w:rPr/>
  </w:style>
  <w:style w:type="paragraph" w:styleId="Signature-Left">
    <w:name w:val="Signature - Left"/>
    <w:basedOn w:val="Normal"/>
    <w:qFormat/>
    <w:pPr>
      <w:tabs>
        <w:tab w:val="left" w:pos="720" w:leader="none"/>
        <w:tab w:val="right" w:pos="4230" w:leader="none"/>
      </w:tabs>
      <w:spacing w:before="0" w:after="480"/>
      <w:ind w:hanging="720" w:start="720" w:end="0"/>
    </w:pPr>
    <w:rPr>
      <w:spacing w:val="-24"/>
    </w:rPr>
  </w:style>
  <w:style w:type="paragraph" w:styleId="Signature-Loan">
    <w:name w:val="Signature - Loan"/>
    <w:basedOn w:val="Normal"/>
    <w:qFormat/>
    <w:pPr>
      <w:tabs>
        <w:tab w:val="clear" w:pos="720"/>
        <w:tab w:val="right" w:pos="3240" w:leader="none"/>
        <w:tab w:val="left" w:pos="4320" w:leader="none"/>
        <w:tab w:val="left" w:pos="4680" w:leader="none"/>
        <w:tab w:val="right" w:pos="9180" w:leader="none"/>
      </w:tabs>
      <w:suppressAutoHyphens w:val="true"/>
      <w:spacing w:before="0" w:after="480"/>
    </w:pPr>
    <w:rPr/>
  </w:style>
  <w:style w:type="paragraph" w:styleId="Signature-Witness">
    <w:name w:val="Signature - Witness"/>
    <w:basedOn w:val="Normal"/>
    <w:qFormat/>
    <w:pPr>
      <w:spacing w:before="0" w:after="480"/>
    </w:pPr>
    <w:rPr/>
  </w:style>
  <w:style w:type="paragraph" w:styleId="SignatureBlock">
    <w:name w:val="Signature Block"/>
    <w:basedOn w:val="Normal"/>
    <w:qFormat/>
    <w:pPr>
      <w:tabs>
        <w:tab w:val="clear" w:pos="720"/>
        <w:tab w:val="right" w:pos="9180" w:leader="none"/>
      </w:tabs>
      <w:spacing w:before="0" w:after="600"/>
      <w:ind w:hanging="450" w:start="4770" w:end="0"/>
    </w:pPr>
    <w:rPr/>
  </w:style>
  <w:style w:type="paragraph" w:styleId="SignatureBlock-Center">
    <w:name w:val="Signature Block - Center"/>
    <w:basedOn w:val="Normal"/>
    <w:qFormat/>
    <w:pPr>
      <w:tabs>
        <w:tab w:val="clear" w:pos="720"/>
        <w:tab w:val="right" w:pos="9180" w:leader="none"/>
      </w:tabs>
      <w:spacing w:before="0" w:after="600"/>
      <w:ind w:hanging="450" w:start="4770" w:end="0"/>
    </w:pPr>
    <w:rPr/>
  </w:style>
  <w:style w:type="paragraph" w:styleId="SignatureBlock-Left">
    <w:name w:val="Signature Block - Left"/>
    <w:basedOn w:val="Normal"/>
    <w:qFormat/>
    <w:pPr>
      <w:tabs>
        <w:tab w:val="left" w:pos="720" w:leader="none"/>
        <w:tab w:val="right" w:pos="4230" w:leader="none"/>
      </w:tabs>
      <w:spacing w:before="0" w:after="480"/>
      <w:ind w:hanging="720" w:start="720" w:end="0"/>
    </w:pPr>
    <w:rPr>
      <w:spacing w:val="-24"/>
    </w:rPr>
  </w:style>
  <w:style w:type="paragraph" w:styleId="Subject">
    <w:name w:val="Subject"/>
    <w:basedOn w:val="Address"/>
    <w:qFormat/>
    <w:pPr>
      <w:ind w:hanging="1440" w:start="720" w:end="0"/>
    </w:pPr>
    <w:rPr/>
  </w:style>
  <w:style w:type="paragraph" w:styleId="Remainder">
    <w:name w:val="[Remainder . . .]"/>
    <w:basedOn w:val="Normal"/>
    <w:qFormat/>
    <w:pPr>
      <w:suppressAutoHyphens w:val="true"/>
      <w:spacing w:before="0" w:after="240"/>
      <w:jc w:val="center"/>
    </w:pPr>
    <w:rPr>
      <w:smallCaps/>
      <w:spacing w:val="-3"/>
    </w:rPr>
  </w:style>
  <w:style w:type="paragraph" w:styleId="BulletIndent">
    <w:name w:val="Bullet +Indent"/>
    <w:basedOn w:val="Normal"/>
    <w:qFormat/>
    <w:pPr>
      <w:numPr>
        <w:ilvl w:val="0"/>
        <w:numId w:val="8"/>
      </w:numPr>
      <w:tabs>
        <w:tab w:val="clear" w:pos="720"/>
      </w:tabs>
      <w:spacing w:before="0" w:after="240"/>
      <w:ind w:hanging="720" w:start="1440" w:end="0"/>
      <w:jc w:val="both"/>
    </w:pPr>
    <w:rPr/>
  </w:style>
  <w:style w:type="paragraph" w:styleId="CenterNoBNoU">
    <w:name w:val="Center +No B +No U"/>
    <w:basedOn w:val="Normal"/>
    <w:qFormat/>
    <w:pPr>
      <w:suppressAutoHyphens w:val="true"/>
      <w:spacing w:before="0" w:after="240"/>
      <w:jc w:val="center"/>
    </w:pPr>
    <w:rPr/>
  </w:style>
  <w:style w:type="paragraph" w:styleId="Level2">
    <w:name w:val="Level 2"/>
    <w:basedOn w:val="Normal"/>
    <w:qFormat/>
    <w:pPr>
      <w:numPr>
        <w:ilvl w:val="0"/>
        <w:numId w:val="5"/>
      </w:numPr>
      <w:tabs>
        <w:tab w:val="clear" w:pos="720"/>
      </w:tabs>
      <w:spacing w:before="0" w:after="240"/>
      <w:ind w:firstLine="720" w:start="0" w:end="0"/>
      <w:jc w:val="both"/>
    </w:pPr>
    <w:rPr/>
  </w:style>
  <w:style w:type="paragraph" w:styleId="Definitiona">
    <w:name w:val="Definition (a)"/>
    <w:basedOn w:val="Level2"/>
    <w:qFormat/>
    <w:pPr>
      <w:numPr>
        <w:ilvl w:val="0"/>
        <w:numId w:val="5"/>
      </w:numPr>
    </w:pPr>
    <w:rPr/>
  </w:style>
  <w:style w:type="paragraph" w:styleId="Definition1">
    <w:name w:val="Definition 1."/>
    <w:basedOn w:val="Definitiona"/>
    <w:next w:val="Definitiona"/>
    <w:qFormat/>
    <w:pPr>
      <w:numPr>
        <w:ilvl w:val="0"/>
        <w:numId w:val="4"/>
      </w:numPr>
    </w:pPr>
    <w:rPr>
      <w:vanish/>
      <w:color w:val="FF0000"/>
    </w:rPr>
  </w:style>
  <w:style w:type="paragraph" w:styleId="Level1">
    <w:name w:val="Level 1"/>
    <w:basedOn w:val="BodyText"/>
    <w:qFormat/>
    <w:pPr>
      <w:tabs>
        <w:tab w:val="clear" w:pos="720"/>
      </w:tabs>
      <w:ind w:firstLine="720" w:start="0" w:end="0"/>
    </w:pPr>
    <w:rPr/>
  </w:style>
  <w:style w:type="paragraph" w:styleId="Sign1Line1">
    <w:name w:val="Sign1Line1"/>
    <w:basedOn w:val="Normal"/>
    <w:qFormat/>
    <w:pPr>
      <w:tabs>
        <w:tab w:val="clear" w:pos="720"/>
        <w:tab w:val="left" w:pos="4680" w:leader="none"/>
        <w:tab w:val="left" w:pos="5040" w:leader="none"/>
        <w:tab w:val="left" w:pos="9360" w:leader="none"/>
      </w:tabs>
      <w:spacing w:before="240" w:after="960"/>
      <w:ind w:hanging="0" w:start="4320" w:end="0"/>
    </w:pPr>
    <w:rPr>
      <w:smallCaps/>
    </w:rPr>
  </w:style>
  <w:style w:type="paragraph" w:styleId="ListBullet">
    <w:name w:val="List Bullet"/>
    <w:basedOn w:val="Normal"/>
    <w:next w:val="BodyText"/>
    <w:pPr>
      <w:numPr>
        <w:ilvl w:val="0"/>
        <w:numId w:val="3"/>
      </w:numPr>
      <w:tabs>
        <w:tab w:val="clear" w:pos="720"/>
        <w:tab w:val="left" w:pos="2160" w:leader="none"/>
      </w:tabs>
      <w:spacing w:before="0" w:after="240"/>
    </w:pPr>
    <w:rPr/>
  </w:style>
  <w:style w:type="paragraph" w:styleId="ListBullet2">
    <w:name w:val="List Bullet 2"/>
    <w:basedOn w:val="Normal"/>
    <w:next w:val="BodyText"/>
    <w:pPr>
      <w:numPr>
        <w:ilvl w:val="0"/>
        <w:numId w:val="3"/>
      </w:numPr>
      <w:spacing w:before="0" w:after="240"/>
      <w:jc w:val="both"/>
    </w:pPr>
    <w:rPr/>
  </w:style>
  <w:style w:type="paragraph" w:styleId="ListBullet3">
    <w:name w:val="List Bullet 3"/>
    <w:basedOn w:val="Normal"/>
    <w:next w:val="BodyText"/>
    <w:pPr>
      <w:numPr>
        <w:ilvl w:val="0"/>
        <w:numId w:val="3"/>
      </w:numPr>
      <w:spacing w:before="0" w:after="240"/>
      <w:jc w:val="both"/>
    </w:pPr>
    <w:rPr/>
  </w:style>
  <w:style w:type="paragraph" w:styleId="ListBullet4">
    <w:name w:val="List Bullet 4"/>
    <w:basedOn w:val="Normal"/>
    <w:pPr>
      <w:numPr>
        <w:ilvl w:val="0"/>
        <w:numId w:val="3"/>
      </w:numPr>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2001-05-03T15:30:00Z</dcterms:created>
  <dc:creator>Audrey Louison</dc:creator>
  <dc:description/>
  <dc:language>en-CA</dc:language>
  <cp:lastModifiedBy>Bracewell &amp; Patterson, LLP</cp:lastModifiedBy>
  <cp:lastPrinted>2001-05-03T12:45:00Z</cp:lastPrinted>
  <dcterms:modified xsi:type="dcterms:W3CDTF">2001-05-03T15:30:00Z</dcterms:modified>
  <cp:revision>2</cp:revision>
  <dc:subject/>
  <dc:title>AMENDMENT NO</dc:title>
</cp:coreProperties>
</file>