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1"/>
        </w:numPr>
        <w:rPr/>
      </w:pPr>
      <w:r>
        <w:rPr/>
        <w:t>Establish E Certificate and recommended training for all EGA employees.  Annual hours of learning are “mandatory”?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Do we need to formalize RRA obligations within EGA?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Monthly RRA newsletter.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Monthly EGA “update” e-mail.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Develop EGA Knowledge Team to centralize processes and data.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Lisa Yoho needs to be “anointed” chief GA on CFTC matters – all questions begin and end with her.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Message from Steve Kean that all contacts with any elected, appointed or government employee must be announced to Public Affairs [Ethics Book] 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Knowledge Team needs to create daily report process:  (a) systems, (b) skill on memo writing, (c) audience identification.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Identify uniform evaluation criteria for PRC process.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Complete campaign contribution strategies and explain to business people/PAC.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All EGA “business” heads should develop monthly update similar to ENA report.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Develop long-term Government Affairs “strategy” for key Regulated Commodity risks.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Define the 3-5 next states for deregulation and develop long-term (3 year plan) plans for implementation.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Develop and finalize the operating company EGA liaisons?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Deploy resource in Northeast pools based in Houston to “optimize” tight markets and leverage changes.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Deploy resource in West pools (CA) based in Portland to “optimize pools.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Continue to develop “external” messages to support our advocacy (Luntz Research)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Establish “prize” in EGA for biggest origination activity in 2001.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Day ahead/spot market arbitrage needs to exist.</w:t>
      </w:r>
    </w:p>
    <w:sectPr>
      <w:type w:val="nextPage"/>
      <w:pgSz w:w="12240" w:h="15840"/>
      <w:pgMar w:left="1800" w:right="1800" w:gutter="0" w:header="0" w:top="1296" w:footer="0" w:bottom="129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72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2000-09-16T17:46:00Z</dcterms:created>
  <dc:creator>mlinton</dc:creator>
  <dc:description/>
  <dc:language>en-CA</dc:language>
  <cp:lastModifiedBy>jsteffe</cp:lastModifiedBy>
  <dcterms:modified xsi:type="dcterms:W3CDTF">2000-09-16T17:46:00Z</dcterms:modified>
  <cp:revision>2</cp:revision>
  <dc:subject/>
  <dc:title>1</dc:title>
</cp:coreProperties>
</file>