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s>
        <w:spacing w:before="180" w:after="0"/>
        <w:jc w:val="center"/>
        <w:rPr>
          <w:b/>
          <w:bCs/>
          <w:color w:val="000000"/>
          <w:sz w:val="24"/>
          <w:szCs w:val="24"/>
        </w:rPr>
      </w:pPr>
      <w:r>
        <w:rPr>
          <w:b/>
          <w:bCs/>
          <w:color w:val="000000"/>
          <w:sz w:val="24"/>
          <w:szCs w:val="24"/>
        </w:rPr>
        <w:t xml:space="preserve">North American Commission for Environmental Cooperation: </w:t>
      </w:r>
    </w:p>
    <w:p>
      <w:pPr>
        <w:pStyle w:val="Normal"/>
        <w:jc w:val="center"/>
        <w:rPr>
          <w:rFonts w:ascii="Arial" w:hAnsi="Arial" w:eastAsia="Arial" w:cs="Arial"/>
          <w:b/>
          <w:bCs/>
          <w:color w:val="000000"/>
          <w:sz w:val="24"/>
          <w:szCs w:val="24"/>
        </w:rPr>
      </w:pPr>
      <w:r>
        <w:rPr>
          <w:b/>
          <w:bCs/>
          <w:color w:val="000000"/>
          <w:sz w:val="24"/>
          <w:szCs w:val="24"/>
        </w:rPr>
        <w:t>“</w:t>
      </w:r>
      <w:r>
        <w:rPr>
          <w:b/>
          <w:bCs/>
          <w:color w:val="000000"/>
          <w:sz w:val="24"/>
          <w:szCs w:val="24"/>
        </w:rPr>
        <w:t>ENVIRONMENTAL CHALLENGES AND OPPORTUNITIES OF THE EVOLVING CONTINENTAL ELECTRICITY MARKET”</w:t>
      </w:r>
    </w:p>
    <w:p>
      <w:pPr>
        <w:pStyle w:val="Normal"/>
        <w:jc w:val="center"/>
        <w:rPr>
          <w:rFonts w:ascii="Arial" w:hAnsi="Arial" w:eastAsia="Arial" w:cs="Arial"/>
          <w:b/>
          <w:bCs/>
          <w:color w:val="000000"/>
          <w:sz w:val="24"/>
          <w:szCs w:val="24"/>
        </w:rPr>
      </w:pPr>
      <w:r>
        <w:rPr>
          <w:rFonts w:eastAsia="Arial" w:cs="Arial" w:ascii="Arial" w:hAnsi="Arial"/>
          <w:b/>
          <w:bCs/>
          <w:color w:val="000000"/>
          <w:sz w:val="24"/>
          <w:szCs w:val="24"/>
        </w:rPr>
      </w:r>
    </w:p>
    <w:p>
      <w:pPr>
        <w:pStyle w:val="Normal"/>
        <w:jc w:val="center"/>
        <w:rPr>
          <w:b/>
          <w:bCs/>
          <w:sz w:val="28"/>
          <w:szCs w:val="28"/>
        </w:rPr>
      </w:pPr>
      <w:r>
        <w:rPr>
          <w:b/>
          <w:bCs/>
          <w:sz w:val="28"/>
          <w:szCs w:val="28"/>
        </w:rPr>
        <w:t xml:space="preserve">Draft Recommendations </w:t>
      </w:r>
    </w:p>
    <w:p>
      <w:pPr>
        <w:pStyle w:val="Heading7"/>
        <w:ind w:hanging="0" w:start="0"/>
        <w:rPr>
          <w:sz w:val="28"/>
          <w:szCs w:val="28"/>
        </w:rPr>
      </w:pPr>
      <w:r>
        <w:rPr>
          <w:sz w:val="28"/>
          <w:szCs w:val="28"/>
        </w:rPr>
        <w:t>Issues and possible approaches</w:t>
      </w:r>
    </w:p>
    <w:p>
      <w:pPr>
        <w:pStyle w:val="Normal"/>
        <w:rPr>
          <w:sz w:val="24"/>
          <w:szCs w:val="24"/>
        </w:rPr>
      </w:pPr>
      <w:r>
        <w:rPr>
          <w:sz w:val="24"/>
          <w:szCs w:val="24"/>
        </w:rPr>
      </w:r>
    </w:p>
    <w:p>
      <w:pPr>
        <w:pStyle w:val="Heading3"/>
        <w:ind w:hanging="0" w:start="0"/>
        <w:rPr>
          <w:b/>
          <w:bCs/>
          <w:sz w:val="24"/>
          <w:szCs w:val="24"/>
        </w:rPr>
      </w:pPr>
      <w:r>
        <w:rPr>
          <w:b/>
          <w:bCs/>
          <w:sz w:val="24"/>
          <w:szCs w:val="24"/>
        </w:rPr>
      </w:r>
    </w:p>
    <w:p>
      <w:pPr>
        <w:pStyle w:val="Heading1"/>
        <w:spacing w:before="0" w:after="0"/>
        <w:ind w:hanging="0" w:start="0"/>
        <w:rPr>
          <w:u w:val="single"/>
        </w:rPr>
      </w:pPr>
      <w:r>
        <w:rPr>
          <w:u w:val="single"/>
        </w:rPr>
        <w:t>Introductory Statement</w:t>
      </w:r>
    </w:p>
    <w:p>
      <w:pPr>
        <w:pStyle w:val="Normal"/>
        <w:rPr>
          <w:u w:val="single"/>
        </w:rPr>
      </w:pPr>
      <w:r>
        <w:rPr>
          <w:u w:val="single"/>
        </w:rPr>
      </w:r>
    </w:p>
    <w:p>
      <w:pPr>
        <w:pStyle w:val="Normal"/>
        <w:rPr>
          <w:sz w:val="24"/>
          <w:szCs w:val="24"/>
        </w:rPr>
      </w:pPr>
      <w:r>
        <w:rPr>
          <w:sz w:val="24"/>
          <w:szCs w:val="24"/>
        </w:rPr>
        <w:t>Once a visionary idea, the prospects for developing an integrated North American electricity market have never been better.  Though not widely recognized, continental energy links have proliferated over the last two decades, spawning a complex array of cross-border transactions and relationships.  Indeed, the sale of hydroelectric power from British Columbia to Baja California, the construction of the 2,300 mile Alliance Pipeline to transport natural gas from Western Canada to Chicago and the fact that the size of the snow pack in eastern Canada directly influences wholesale electricity prices in the U.S. north central and New England states provide eloquent testimony to our growing regional connectivity.</w:t>
      </w:r>
    </w:p>
    <w:p>
      <w:pPr>
        <w:pStyle w:val="Normal"/>
        <w:rPr>
          <w:sz w:val="24"/>
          <w:szCs w:val="24"/>
        </w:rPr>
      </w:pPr>
      <w:r>
        <w:rPr>
          <w:sz w:val="24"/>
          <w:szCs w:val="24"/>
        </w:rPr>
      </w:r>
    </w:p>
    <w:p>
      <w:pPr>
        <w:pStyle w:val="Normal"/>
        <w:rPr>
          <w:sz w:val="24"/>
          <w:szCs w:val="24"/>
        </w:rPr>
      </w:pPr>
      <w:r>
        <w:rPr>
          <w:sz w:val="24"/>
          <w:szCs w:val="24"/>
        </w:rPr>
        <w:t>Affordable and reliable electricity provides a foundation of economic stability upon which prosperity depends and a sustainable long-term energy policy remains central to our economic well-being.  At the same time, electricity --its type, production, distribution and usage--has a significant impact on human health and the ecological systems which also sustain life.</w:t>
      </w:r>
    </w:p>
    <w:p>
      <w:pPr>
        <w:pStyle w:val="Normal"/>
        <w:rPr>
          <w:sz w:val="24"/>
          <w:szCs w:val="24"/>
        </w:rPr>
      </w:pPr>
      <w:r>
        <w:rPr>
          <w:sz w:val="24"/>
          <w:szCs w:val="24"/>
        </w:rPr>
      </w:r>
    </w:p>
    <w:p>
      <w:pPr>
        <w:pStyle w:val="Normal"/>
        <w:rPr>
          <w:sz w:val="24"/>
          <w:szCs w:val="24"/>
        </w:rPr>
      </w:pPr>
      <w:r>
        <w:rPr>
          <w:sz w:val="24"/>
          <w:szCs w:val="24"/>
        </w:rPr>
        <w:t>As the North American electricity market takes shape in the context of free trade and a closer regional partnership on energy, we face vital matters of public policy to ensure that the transformation of the electricity market promotes sustainable development--that it generates both economic and environmental benefits.</w:t>
      </w:r>
    </w:p>
    <w:p>
      <w:pPr>
        <w:pStyle w:val="Normal"/>
        <w:rPr>
          <w:sz w:val="24"/>
          <w:szCs w:val="24"/>
        </w:rPr>
      </w:pPr>
      <w:r>
        <w:rPr>
          <w:sz w:val="24"/>
          <w:szCs w:val="24"/>
        </w:rPr>
      </w:r>
    </w:p>
    <w:p>
      <w:pPr>
        <w:pStyle w:val="Normal"/>
        <w:rPr>
          <w:sz w:val="24"/>
          <w:szCs w:val="24"/>
        </w:rPr>
      </w:pPr>
      <w:r>
        <w:rPr>
          <w:sz w:val="24"/>
          <w:szCs w:val="24"/>
        </w:rPr>
        <w:t>To achieve the environmental benefits of greater efficiencies, technological diffusion and improved regional environmental performance, environmental policy considerations must be addressed at the earliest planning stages.  This will require an unprecedented degree of North American cooperation, but much is at stake and we are optimistic that our three societies can meet this challenge.</w:t>
      </w:r>
    </w:p>
    <w:p>
      <w:pPr>
        <w:pStyle w:val="Normal"/>
        <w:rPr>
          <w:sz w:val="24"/>
          <w:szCs w:val="24"/>
        </w:rPr>
      </w:pPr>
      <w:r>
        <w:rPr>
          <w:sz w:val="24"/>
          <w:szCs w:val="24"/>
        </w:rPr>
      </w:r>
    </w:p>
    <w:p>
      <w:pPr>
        <w:pStyle w:val="Normal"/>
        <w:rPr>
          <w:b/>
          <w:bCs/>
          <w:sz w:val="24"/>
          <w:szCs w:val="24"/>
        </w:rPr>
      </w:pPr>
      <w:r>
        <w:rPr>
          <w:b/>
          <w:bCs/>
          <w:sz w:val="24"/>
          <w:szCs w:val="24"/>
        </w:rPr>
      </w:r>
    </w:p>
    <w:p>
      <w:pPr>
        <w:pStyle w:val="Heading6"/>
        <w:ind w:hanging="0" w:start="0"/>
        <w:rPr/>
      </w:pPr>
      <w:r>
        <w:rPr/>
        <w:t>Facilitating market access and avoiding environment</w:t>
        <w:noBreakHyphen/>
        <w:t>related trade disputes</w:t>
      </w:r>
    </w:p>
    <w:p>
      <w:pPr>
        <w:pStyle w:val="Normal"/>
        <w:tabs>
          <w:tab w:val="clear" w:pos="720"/>
          <w:tab w:val="right" w:pos="7251" w:leader="none"/>
        </w:tabs>
        <w:rPr>
          <w:b/>
          <w:bCs/>
          <w:sz w:val="24"/>
          <w:szCs w:val="24"/>
          <w:u w:val="single"/>
        </w:rPr>
      </w:pPr>
      <w:r>
        <w:rPr>
          <w:b/>
          <w:bCs/>
          <w:sz w:val="24"/>
          <w:szCs w:val="24"/>
          <w:u w:val="single"/>
        </w:rPr>
      </w:r>
    </w:p>
    <w:p>
      <w:pPr>
        <w:pStyle w:val="Normal"/>
        <w:rPr>
          <w:sz w:val="24"/>
          <w:szCs w:val="24"/>
        </w:rPr>
      </w:pPr>
      <w:r>
        <w:rPr>
          <w:sz w:val="24"/>
          <w:szCs w:val="24"/>
        </w:rPr>
        <w:t>[As expressed during the 1st Advisory Board meeting, the Board is concerned about the growing likelihood of environment</w:t>
        <w:noBreakHyphen/>
        <w:t>related trade disputes arising from the adoption of nonconforming definitions and criteria in various jurisdictions, some market access provisions and certain features in renewable portfolio standards.  North America must maintain high environmental standards protective of human health and the environment. Yet, environmental standards should not serve as a barrier to free trade, when such measures are disguising protectionist measures without a defensible environmental justification.]</w:t>
      </w:r>
    </w:p>
    <w:p>
      <w:pPr>
        <w:pStyle w:val="Normal"/>
        <w:rPr>
          <w:sz w:val="24"/>
          <w:szCs w:val="24"/>
        </w:rPr>
      </w:pPr>
      <w:r>
        <w:rPr>
          <w:sz w:val="24"/>
          <w:szCs w:val="24"/>
        </w:rPr>
      </w:r>
    </w:p>
    <w:p>
      <w:pPr>
        <w:pStyle w:val="Normal"/>
        <w:numPr>
          <w:ilvl w:val="0"/>
          <w:numId w:val="2"/>
        </w:numPr>
        <w:tabs>
          <w:tab w:val="clear" w:pos="720"/>
          <w:tab w:val="left" w:pos="0" w:leader="none"/>
        </w:tabs>
        <w:ind w:hanging="720" w:start="720" w:end="0"/>
        <w:rPr>
          <w:sz w:val="24"/>
          <w:szCs w:val="24"/>
        </w:rPr>
      </w:pPr>
      <w:r>
        <w:rPr>
          <w:sz w:val="24"/>
          <w:szCs w:val="24"/>
        </w:rPr>
        <w:t>Develop a framework for considering uniform or compatible definitions of "renewables"</w:t>
      </w:r>
    </w:p>
    <w:p>
      <w:pPr>
        <w:pStyle w:val="Normal"/>
        <w:numPr>
          <w:ilvl w:val="0"/>
          <w:numId w:val="0"/>
        </w:numPr>
        <w:ind w:hanging="0" w:start="0"/>
        <w:rPr>
          <w:sz w:val="24"/>
          <w:szCs w:val="24"/>
        </w:rPr>
      </w:pPr>
      <w:r>
        <w:rPr>
          <w:sz w:val="24"/>
          <w:szCs w:val="24"/>
        </w:rPr>
      </w:r>
    </w:p>
    <w:p>
      <w:pPr>
        <w:pStyle w:val="Normal"/>
        <w:numPr>
          <w:ilvl w:val="0"/>
          <w:numId w:val="2"/>
        </w:numPr>
        <w:tabs>
          <w:tab w:val="clear" w:pos="720"/>
          <w:tab w:val="left" w:pos="0" w:leader="none"/>
        </w:tabs>
        <w:ind w:hanging="720" w:start="720" w:end="0"/>
        <w:rPr>
          <w:sz w:val="24"/>
          <w:szCs w:val="24"/>
        </w:rPr>
      </w:pPr>
      <w:r>
        <w:rPr>
          <w:sz w:val="24"/>
          <w:szCs w:val="24"/>
        </w:rPr>
        <w:t>Any uniform or compatible guidelines and/or definitions should meet high environmental standards, embody sound scientific principles and be flexible enough to reflect different, cultural, technical or ecological considerations.</w:t>
      </w:r>
    </w:p>
    <w:p>
      <w:pPr>
        <w:pStyle w:val="Normal"/>
        <w:numPr>
          <w:ilvl w:val="0"/>
          <w:numId w:val="0"/>
        </w:numPr>
        <w:ind w:hanging="0" w:start="0"/>
        <w:rPr>
          <w:sz w:val="24"/>
          <w:szCs w:val="24"/>
        </w:rPr>
      </w:pPr>
      <w:r>
        <w:rPr>
          <w:sz w:val="24"/>
          <w:szCs w:val="24"/>
        </w:rPr>
      </w:r>
    </w:p>
    <w:p>
      <w:pPr>
        <w:pStyle w:val="Normal"/>
        <w:numPr>
          <w:ilvl w:val="0"/>
          <w:numId w:val="2"/>
        </w:numPr>
        <w:tabs>
          <w:tab w:val="clear" w:pos="720"/>
          <w:tab w:val="left" w:pos="0" w:leader="none"/>
        </w:tabs>
        <w:ind w:hanging="720" w:start="720" w:end="0"/>
        <w:rPr>
          <w:sz w:val="24"/>
          <w:szCs w:val="24"/>
        </w:rPr>
      </w:pPr>
      <w:r>
        <w:rPr>
          <w:sz w:val="24"/>
          <w:szCs w:val="24"/>
        </w:rPr>
        <w:t>Other?</w: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r>
    </w:p>
    <w:p>
      <w:pPr>
        <w:pStyle w:val="Heading3"/>
        <w:numPr>
          <w:ilvl w:val="0"/>
          <w:numId w:val="0"/>
        </w:numPr>
        <w:ind w:hanging="0" w:start="0"/>
        <w:rPr>
          <w:b/>
          <w:bCs/>
        </w:rPr>
      </w:pPr>
      <w:r>
        <w:rPr>
          <w:b/>
          <w:bCs/>
        </w:rPr>
        <w:t>General Recommendations</w:t>
      </w:r>
    </w:p>
    <w:p>
      <w:pPr>
        <w:pStyle w:val="Normal"/>
        <w:numPr>
          <w:ilvl w:val="0"/>
          <w:numId w:val="0"/>
        </w:numPr>
        <w:ind w:hanging="0" w:start="0"/>
        <w:rPr>
          <w:b/>
          <w:bCs/>
          <w:sz w:val="24"/>
          <w:szCs w:val="24"/>
          <w:u w:val="single"/>
        </w:rPr>
      </w:pPr>
      <w:r>
        <w:rPr>
          <w:b/>
          <w:bCs/>
          <w:sz w:val="24"/>
          <w:szCs w:val="24"/>
          <w:u w:val="single"/>
        </w:rPr>
      </w:r>
    </w:p>
    <w:p>
      <w:pPr>
        <w:pStyle w:val="Normal"/>
        <w:numPr>
          <w:ilvl w:val="0"/>
          <w:numId w:val="0"/>
        </w:numPr>
        <w:ind w:hanging="0" w:start="0"/>
        <w:rPr>
          <w:sz w:val="24"/>
          <w:szCs w:val="24"/>
        </w:rPr>
      </w:pPr>
      <w:r>
        <w:rPr>
          <w:sz w:val="24"/>
          <w:szCs w:val="24"/>
        </w:rPr>
        <w:t>[Owing to the uncertainties in future patterns of electricity generation, transmission and usage and in order to ensure that high standards of environmental and health protection are maintained throughout North America, governments should continue to maintain national ambient environmental standards or other measures based on human and ecosystem health. Minimum standards will protect against "pollution haven" concerns, minimize claims of environmental dumping, and decrease the likelihood that regional clusters of generating facilities will adversely impact on the health and environment of localities.]</w:t>
      </w:r>
    </w:p>
    <w:p>
      <w:pPr>
        <w:pStyle w:val="Normal"/>
        <w:numPr>
          <w:ilvl w:val="0"/>
          <w:numId w:val="0"/>
        </w:numPr>
        <w:ind w:hanging="0" w:start="0"/>
        <w:rPr>
          <w:sz w:val="24"/>
          <w:szCs w:val="24"/>
        </w:rPr>
      </w:pPr>
      <w:r>
        <w:rPr>
          <w:sz w:val="24"/>
          <w:szCs w:val="24"/>
        </w:rPr>
      </w:r>
    </w:p>
    <w:p>
      <w:pPr>
        <w:pStyle w:val="Normal"/>
        <w:numPr>
          <w:ilvl w:val="0"/>
          <w:numId w:val="2"/>
        </w:numPr>
        <w:tabs>
          <w:tab w:val="clear" w:pos="720"/>
          <w:tab w:val="left" w:pos="0" w:leader="none"/>
        </w:tabs>
        <w:ind w:hanging="720" w:start="720" w:end="0"/>
        <w:rPr>
          <w:sz w:val="24"/>
          <w:szCs w:val="24"/>
          <w:u w:val="single"/>
        </w:rPr>
      </w:pPr>
      <w:r>
        <w:rPr>
          <w:sz w:val="24"/>
          <w:szCs w:val="24"/>
        </w:rPr>
        <w:t>Measures must be flexible, operate in a climate of uncertainty and include a safety net mechanism to remain effective.</w:t>
      </w:r>
    </w:p>
    <w:p>
      <w:pPr>
        <w:pStyle w:val="Normal"/>
        <w:numPr>
          <w:ilvl w:val="0"/>
          <w:numId w:val="0"/>
        </w:numPr>
        <w:ind w:hanging="0" w:start="0"/>
        <w:rPr>
          <w:sz w:val="24"/>
          <w:szCs w:val="24"/>
          <w:u w:val="single"/>
        </w:rPr>
      </w:pPr>
      <w:r>
        <w:rPr>
          <w:sz w:val="24"/>
          <w:szCs w:val="24"/>
          <w:u w:val="single"/>
        </w:rPr>
      </w:r>
    </w:p>
    <w:p>
      <w:pPr>
        <w:pStyle w:val="Normal"/>
        <w:numPr>
          <w:ilvl w:val="0"/>
          <w:numId w:val="2"/>
        </w:numPr>
        <w:tabs>
          <w:tab w:val="clear" w:pos="720"/>
          <w:tab w:val="left" w:pos="0" w:leader="none"/>
          <w:tab w:val="left" w:pos="7830" w:leader="none"/>
        </w:tabs>
        <w:ind w:hanging="720" w:start="720" w:end="0"/>
        <w:rPr>
          <w:sz w:val="24"/>
          <w:szCs w:val="24"/>
        </w:rPr>
      </w:pPr>
      <w:r>
        <w:rPr>
          <w:sz w:val="24"/>
          <w:szCs w:val="24"/>
        </w:rPr>
        <w:t>Governments must act together to better internalize environmental cost into the electricity pricing structure. Today many environmental externalities remain unaccounted for.</w:t>
      </w:r>
    </w:p>
    <w:p>
      <w:pPr>
        <w:pStyle w:val="Normal"/>
        <w:numPr>
          <w:ilvl w:val="0"/>
          <w:numId w:val="0"/>
        </w:numPr>
        <w:ind w:hanging="0" w:start="0"/>
        <w:rPr>
          <w:sz w:val="24"/>
          <w:szCs w:val="24"/>
        </w:rPr>
      </w:pPr>
      <w:r>
        <w:rPr>
          <w:sz w:val="24"/>
          <w:szCs w:val="24"/>
        </w:rPr>
      </w:r>
    </w:p>
    <w:p>
      <w:pPr>
        <w:pStyle w:val="Normal"/>
        <w:numPr>
          <w:ilvl w:val="0"/>
          <w:numId w:val="0"/>
        </w:numPr>
        <w:ind w:hanging="0" w:start="0"/>
        <w:rPr>
          <w:sz w:val="24"/>
          <w:szCs w:val="24"/>
        </w:rPr>
      </w:pPr>
      <w:r>
        <w:rPr>
          <w:sz w:val="24"/>
          <w:szCs w:val="24"/>
        </w:rPr>
        <w:t>Measures to ensure environmental policies are taken into consideration:</w:t>
      </w:r>
    </w:p>
    <w:p>
      <w:pPr>
        <w:pStyle w:val="Normal"/>
        <w:numPr>
          <w:ilvl w:val="0"/>
          <w:numId w:val="0"/>
        </w:numPr>
        <w:ind w:hanging="0" w:start="0"/>
        <w:rPr>
          <w:sz w:val="24"/>
          <w:szCs w:val="24"/>
        </w:rPr>
      </w:pPr>
      <w:r>
        <w:rPr>
          <w:sz w:val="24"/>
          <w:szCs w:val="24"/>
        </w:rPr>
      </w:r>
    </w:p>
    <w:p>
      <w:pPr>
        <w:pStyle w:val="Normal"/>
        <w:numPr>
          <w:ilvl w:val="0"/>
          <w:numId w:val="2"/>
        </w:numPr>
        <w:tabs>
          <w:tab w:val="clear" w:pos="720"/>
          <w:tab w:val="left" w:pos="0" w:leader="none"/>
        </w:tabs>
        <w:ind w:hanging="720" w:start="720" w:end="0"/>
        <w:rPr>
          <w:sz w:val="24"/>
          <w:szCs w:val="24"/>
        </w:rPr>
      </w:pPr>
      <w:r>
        <w:rPr>
          <w:sz w:val="24"/>
          <w:szCs w:val="24"/>
        </w:rPr>
        <w:t>North American high-level environmental coordinating body</w:t>
      </w:r>
    </w:p>
    <w:p>
      <w:pPr>
        <w:pStyle w:val="Normal"/>
        <w:numPr>
          <w:ilvl w:val="0"/>
          <w:numId w:val="2"/>
        </w:numPr>
        <w:tabs>
          <w:tab w:val="clear" w:pos="720"/>
          <w:tab w:val="left" w:pos="0" w:leader="none"/>
        </w:tabs>
        <w:ind w:hanging="720" w:start="720" w:end="0"/>
        <w:rPr>
          <w:sz w:val="24"/>
          <w:szCs w:val="24"/>
        </w:rPr>
      </w:pPr>
      <w:r>
        <w:rPr>
          <w:sz w:val="24"/>
          <w:szCs w:val="24"/>
        </w:rPr>
        <w:t>Integrated Regional Planning mechanism</w:t>
      </w:r>
    </w:p>
    <w:p>
      <w:pPr>
        <w:pStyle w:val="Normal"/>
        <w:numPr>
          <w:ilvl w:val="0"/>
          <w:numId w:val="0"/>
        </w:numPr>
        <w:ind w:hanging="0" w:start="0"/>
        <w:rPr>
          <w:sz w:val="24"/>
          <w:szCs w:val="24"/>
        </w:rPr>
      </w:pPr>
      <w:r>
        <w:rPr>
          <w:sz w:val="24"/>
          <w:szCs w:val="24"/>
        </w:rPr>
      </w:r>
    </w:p>
    <w:p>
      <w:pPr>
        <w:pStyle w:val="Heading3"/>
        <w:numPr>
          <w:ilvl w:val="0"/>
          <w:numId w:val="0"/>
        </w:numPr>
        <w:ind w:hanging="0" w:start="0"/>
        <w:rPr>
          <w:b/>
          <w:bCs/>
        </w:rPr>
      </w:pPr>
      <w:r>
        <w:rPr>
          <w:b/>
          <w:bCs/>
        </w:rPr>
        <w:t>Regional Planning</w:t>
      </w:r>
    </w:p>
    <w:p>
      <w:pPr>
        <w:pStyle w:val="Normal"/>
        <w:numPr>
          <w:ilvl w:val="0"/>
          <w:numId w:val="0"/>
        </w:numPr>
        <w:ind w:hanging="0" w:start="0"/>
        <w:rPr>
          <w:b/>
          <w:bCs/>
          <w:sz w:val="24"/>
          <w:szCs w:val="24"/>
        </w:rPr>
      </w:pPr>
      <w:r>
        <w:rPr>
          <w:b/>
          <w:bCs/>
          <w:sz w:val="24"/>
          <w:szCs w:val="24"/>
        </w:rPr>
      </w:r>
    </w:p>
    <w:p>
      <w:pPr>
        <w:pStyle w:val="Normal"/>
        <w:numPr>
          <w:ilvl w:val="0"/>
          <w:numId w:val="2"/>
        </w:numPr>
        <w:tabs>
          <w:tab w:val="clear" w:pos="720"/>
          <w:tab w:val="left" w:pos="0" w:leader="none"/>
        </w:tabs>
        <w:ind w:hanging="720" w:start="720" w:end="0"/>
        <w:rPr>
          <w:sz w:val="24"/>
          <w:szCs w:val="24"/>
        </w:rPr>
      </w:pPr>
      <w:r>
        <w:rPr>
          <w:sz w:val="24"/>
          <w:szCs w:val="24"/>
        </w:rPr>
        <w:t xml:space="preserve">Siting and permitting issues  </w:t>
      </w:r>
    </w:p>
    <w:p>
      <w:pPr>
        <w:pStyle w:val="Normal"/>
        <w:numPr>
          <w:ilvl w:val="0"/>
          <w:numId w:val="2"/>
        </w:numPr>
        <w:tabs>
          <w:tab w:val="clear" w:pos="720"/>
          <w:tab w:val="left" w:pos="0" w:leader="none"/>
        </w:tabs>
        <w:ind w:hanging="720" w:start="720" w:end="0"/>
        <w:rPr>
          <w:sz w:val="24"/>
          <w:szCs w:val="24"/>
        </w:rPr>
      </w:pPr>
      <w:r>
        <w:rPr>
          <w:sz w:val="24"/>
          <w:szCs w:val="24"/>
        </w:rPr>
        <w:t>Transboundary environmental impact assessment</w:t>
      </w:r>
    </w:p>
    <w:p>
      <w:pPr>
        <w:pStyle w:val="Normal"/>
        <w:numPr>
          <w:ilvl w:val="0"/>
          <w:numId w:val="2"/>
        </w:numPr>
        <w:tabs>
          <w:tab w:val="clear" w:pos="720"/>
          <w:tab w:val="left" w:pos="0" w:leader="none"/>
        </w:tabs>
        <w:ind w:hanging="720" w:start="720" w:end="0"/>
        <w:rPr>
          <w:sz w:val="24"/>
          <w:szCs w:val="24"/>
          <w:u w:val="single"/>
        </w:rPr>
      </w:pPr>
      <w:r>
        <w:rPr>
          <w:sz w:val="24"/>
          <w:szCs w:val="24"/>
        </w:rPr>
        <w:t>Information clearinghouse</w:t>
      </w:r>
    </w:p>
    <w:p>
      <w:pPr>
        <w:pStyle w:val="Normal"/>
        <w:numPr>
          <w:ilvl w:val="0"/>
          <w:numId w:val="2"/>
        </w:numPr>
        <w:tabs>
          <w:tab w:val="clear" w:pos="720"/>
          <w:tab w:val="left" w:pos="0" w:leader="none"/>
        </w:tabs>
        <w:ind w:hanging="720" w:start="720" w:end="0"/>
        <w:rPr/>
      </w:pPr>
      <w:r>
        <w:rPr>
          <w:color w:val="000000"/>
          <w:sz w:val="24"/>
          <w:szCs w:val="24"/>
        </w:rPr>
        <w:t>Improve access to information</w:t>
      </w:r>
      <w:r>
        <w:rPr>
          <w:sz w:val="24"/>
          <w:szCs w:val="24"/>
        </w:rPr>
        <w:t xml:space="preserve"> and transparency in the three countries </w:t>
      </w:r>
    </w:p>
    <w:p>
      <w:pPr>
        <w:pStyle w:val="Heading3"/>
        <w:numPr>
          <w:ilvl w:val="0"/>
          <w:numId w:val="0"/>
        </w:numPr>
        <w:ind w:hanging="0" w:start="0"/>
        <w:rPr>
          <w:sz w:val="24"/>
          <w:szCs w:val="24"/>
        </w:rPr>
      </w:pPr>
      <w:r>
        <w:rPr>
          <w:sz w:val="24"/>
          <w:szCs w:val="24"/>
        </w:rPr>
      </w:r>
    </w:p>
    <w:p>
      <w:pPr>
        <w:pStyle w:val="Heading3"/>
        <w:numPr>
          <w:ilvl w:val="0"/>
          <w:numId w:val="0"/>
        </w:numPr>
        <w:ind w:hanging="0" w:start="0"/>
        <w:rPr>
          <w:b/>
          <w:bCs/>
        </w:rPr>
      </w:pPr>
      <w:r>
        <w:rPr>
          <w:b/>
          <w:bCs/>
        </w:rPr>
        <w:t>Renewables</w:t>
      </w:r>
    </w:p>
    <w:p>
      <w:pPr>
        <w:pStyle w:val="Normal"/>
        <w:numPr>
          <w:ilvl w:val="0"/>
          <w:numId w:val="0"/>
        </w:numPr>
        <w:ind w:hanging="0" w:start="0"/>
        <w:rPr>
          <w:b/>
          <w:bCs/>
        </w:rPr>
      </w:pPr>
      <w:r>
        <w:rPr>
          <w:b/>
          <w:bCs/>
        </w:rPr>
      </w:r>
    </w:p>
    <w:p>
      <w:pPr>
        <w:pStyle w:val="Normal"/>
        <w:numPr>
          <w:ilvl w:val="0"/>
          <w:numId w:val="2"/>
        </w:numPr>
        <w:tabs>
          <w:tab w:val="clear" w:pos="720"/>
          <w:tab w:val="left" w:pos="0" w:leader="none"/>
        </w:tabs>
        <w:ind w:hanging="720" w:start="720" w:end="0"/>
        <w:rPr>
          <w:sz w:val="24"/>
          <w:szCs w:val="24"/>
        </w:rPr>
      </w:pPr>
      <w:r>
        <w:rPr>
          <w:sz w:val="24"/>
          <w:szCs w:val="24"/>
        </w:rPr>
        <w:t xml:space="preserve">Renewable portfolio standards (RPS) </w:t>
      </w:r>
    </w:p>
    <w:p>
      <w:pPr>
        <w:pStyle w:val="Normal"/>
        <w:numPr>
          <w:ilvl w:val="0"/>
          <w:numId w:val="2"/>
        </w:numPr>
        <w:tabs>
          <w:tab w:val="clear" w:pos="720"/>
          <w:tab w:val="left" w:pos="0" w:leader="none"/>
        </w:tabs>
        <w:ind w:hanging="720" w:start="720" w:end="0"/>
        <w:rPr>
          <w:sz w:val="24"/>
          <w:szCs w:val="24"/>
        </w:rPr>
      </w:pPr>
      <w:r>
        <w:rPr>
          <w:sz w:val="24"/>
          <w:szCs w:val="24"/>
        </w:rPr>
        <w:t>Incentives for R &amp; D and production</w:t>
      </w:r>
    </w:p>
    <w:p>
      <w:pPr>
        <w:pStyle w:val="Normal"/>
        <w:numPr>
          <w:ilvl w:val="0"/>
          <w:numId w:val="2"/>
        </w:numPr>
        <w:tabs>
          <w:tab w:val="clear" w:pos="720"/>
          <w:tab w:val="left" w:pos="0" w:leader="none"/>
        </w:tabs>
        <w:ind w:hanging="720" w:start="720" w:end="0"/>
        <w:rPr>
          <w:sz w:val="24"/>
          <w:szCs w:val="24"/>
        </w:rPr>
      </w:pPr>
      <w:r>
        <w:rPr>
          <w:sz w:val="24"/>
          <w:szCs w:val="24"/>
        </w:rPr>
        <w:t>Consumer choice (i.e., through restructuring measures)</w:t>
      </w:r>
    </w:p>
    <w:p>
      <w:pPr>
        <w:pStyle w:val="Normal"/>
        <w:numPr>
          <w:ilvl w:val="0"/>
          <w:numId w:val="2"/>
        </w:numPr>
        <w:tabs>
          <w:tab w:val="clear" w:pos="720"/>
          <w:tab w:val="left" w:pos="0" w:leader="none"/>
        </w:tabs>
        <w:ind w:hanging="720" w:start="720" w:end="0"/>
        <w:rPr>
          <w:sz w:val="24"/>
          <w:szCs w:val="24"/>
        </w:rPr>
      </w:pPr>
      <w:r>
        <w:rPr>
          <w:sz w:val="24"/>
          <w:szCs w:val="24"/>
        </w:rPr>
        <w:t xml:space="preserve">Third-party certification bodies </w:t>
      </w:r>
    </w:p>
    <w:p>
      <w:pPr>
        <w:pStyle w:val="Normal"/>
        <w:numPr>
          <w:ilvl w:val="0"/>
          <w:numId w:val="2"/>
        </w:numPr>
        <w:tabs>
          <w:tab w:val="clear" w:pos="720"/>
          <w:tab w:val="left" w:pos="0" w:leader="none"/>
        </w:tabs>
        <w:ind w:hanging="720" w:start="720" w:end="0"/>
        <w:rPr>
          <w:sz w:val="24"/>
          <w:szCs w:val="24"/>
        </w:rPr>
      </w:pPr>
      <w:r>
        <w:rPr>
          <w:color w:val="000000"/>
          <w:sz w:val="24"/>
          <w:szCs w:val="24"/>
        </w:rPr>
        <w:t>Increase funding and promotion of public education concerning the environmental and health effects of renewables</w:t>
      </w:r>
    </w:p>
    <w:p>
      <w:pPr>
        <w:pStyle w:val="Normal"/>
        <w:numPr>
          <w:ilvl w:val="0"/>
          <w:numId w:val="0"/>
        </w:numPr>
        <w:ind w:hanging="0" w:start="0"/>
        <w:rPr>
          <w:sz w:val="24"/>
          <w:szCs w:val="24"/>
        </w:rPr>
      </w:pPr>
      <w:r>
        <w:rPr>
          <w:sz w:val="24"/>
          <w:szCs w:val="24"/>
        </w:rPr>
      </w:r>
    </w:p>
    <w:p>
      <w:pPr>
        <w:pStyle w:val="Heading3"/>
        <w:numPr>
          <w:ilvl w:val="0"/>
          <w:numId w:val="0"/>
        </w:numPr>
        <w:ind w:hanging="0" w:start="0"/>
        <w:rPr>
          <w:b/>
          <w:bCs/>
        </w:rPr>
      </w:pPr>
      <w:r>
        <w:rPr>
          <w:b/>
          <w:bCs/>
        </w:rPr>
        <w:t xml:space="preserve">Emissions </w:t>
      </w:r>
    </w:p>
    <w:p>
      <w:pPr>
        <w:pStyle w:val="Normal"/>
        <w:numPr>
          <w:ilvl w:val="0"/>
          <w:numId w:val="0"/>
        </w:numPr>
        <w:ind w:hanging="0" w:start="0"/>
        <w:rPr>
          <w:b/>
          <w:bCs/>
          <w:sz w:val="24"/>
          <w:szCs w:val="24"/>
        </w:rPr>
      </w:pPr>
      <w:r>
        <w:rPr>
          <w:b/>
          <w:bCs/>
          <w:sz w:val="24"/>
          <w:szCs w:val="24"/>
        </w:rPr>
      </w:r>
    </w:p>
    <w:p>
      <w:pPr>
        <w:pStyle w:val="Normal"/>
        <w:numPr>
          <w:ilvl w:val="0"/>
          <w:numId w:val="2"/>
        </w:numPr>
        <w:tabs>
          <w:tab w:val="clear" w:pos="720"/>
          <w:tab w:val="left" w:pos="0" w:leader="none"/>
        </w:tabs>
        <w:ind w:hanging="720" w:start="720" w:end="0"/>
        <w:rPr>
          <w:sz w:val="24"/>
          <w:szCs w:val="24"/>
        </w:rPr>
      </w:pPr>
      <w:r>
        <w:rPr>
          <w:sz w:val="24"/>
          <w:szCs w:val="24"/>
        </w:rPr>
        <w:t>Emission caps? (if so, which pollutants), taxes and trading?</w:t>
      </w:r>
    </w:p>
    <w:p>
      <w:pPr>
        <w:pStyle w:val="Normal"/>
        <w:numPr>
          <w:ilvl w:val="0"/>
          <w:numId w:val="2"/>
        </w:numPr>
        <w:tabs>
          <w:tab w:val="clear" w:pos="720"/>
          <w:tab w:val="left" w:pos="0" w:leader="none"/>
        </w:tabs>
        <w:ind w:hanging="720" w:start="720" w:end="0"/>
        <w:rPr>
          <w:sz w:val="24"/>
          <w:szCs w:val="24"/>
        </w:rPr>
      </w:pPr>
      <w:r>
        <w:rPr>
          <w:sz w:val="24"/>
          <w:szCs w:val="24"/>
        </w:rPr>
        <w:t>Eliminate tariffs and other restrictions on sale and export of advanced pollution-control technology</w:t>
      </w:r>
    </w:p>
    <w:p>
      <w:pPr>
        <w:pStyle w:val="Normal"/>
        <w:numPr>
          <w:ilvl w:val="0"/>
          <w:numId w:val="2"/>
        </w:numPr>
        <w:tabs>
          <w:tab w:val="clear" w:pos="720"/>
          <w:tab w:val="left" w:pos="0" w:leader="none"/>
        </w:tabs>
        <w:ind w:hanging="720" w:start="720" w:end="0"/>
        <w:rPr>
          <w:sz w:val="24"/>
          <w:szCs w:val="24"/>
        </w:rPr>
      </w:pPr>
      <w:r>
        <w:rPr>
          <w:color w:val="000000"/>
          <w:sz w:val="24"/>
          <w:szCs w:val="24"/>
        </w:rPr>
        <w:t>Overall pollution reduction strategy (including soil and water contaminants)</w:t>
      </w:r>
    </w:p>
    <w:p>
      <w:pPr>
        <w:pStyle w:val="Normal"/>
        <w:numPr>
          <w:ilvl w:val="0"/>
          <w:numId w:val="2"/>
        </w:numPr>
        <w:tabs>
          <w:tab w:val="clear" w:pos="720"/>
          <w:tab w:val="left" w:pos="0" w:leader="none"/>
        </w:tabs>
        <w:ind w:hanging="720" w:start="720" w:end="0"/>
        <w:rPr>
          <w:sz w:val="24"/>
          <w:szCs w:val="24"/>
        </w:rPr>
      </w:pPr>
      <w:r>
        <w:rPr>
          <w:color w:val="000000"/>
          <w:sz w:val="24"/>
          <w:szCs w:val="24"/>
        </w:rPr>
        <w:t>Harmonized/compatible environmental regulations</w:t>
      </w:r>
    </w:p>
    <w:p>
      <w:pPr>
        <w:pStyle w:val="Normal"/>
        <w:numPr>
          <w:ilvl w:val="0"/>
          <w:numId w:val="0"/>
        </w:numPr>
        <w:ind w:hanging="0" w:start="0"/>
        <w:rPr>
          <w:sz w:val="24"/>
          <w:szCs w:val="24"/>
        </w:rPr>
      </w:pPr>
      <w:r>
        <w:rPr>
          <w:sz w:val="24"/>
          <w:szCs w:val="24"/>
        </w:rPr>
      </w:r>
    </w:p>
    <w:p>
      <w:pPr>
        <w:pStyle w:val="Heading3"/>
        <w:numPr>
          <w:ilvl w:val="0"/>
          <w:numId w:val="0"/>
        </w:numPr>
        <w:ind w:hanging="0" w:start="0"/>
        <w:rPr>
          <w:b/>
          <w:bCs/>
        </w:rPr>
      </w:pPr>
      <w:r>
        <w:rPr>
          <w:b/>
          <w:bCs/>
        </w:rPr>
        <w:t>Electricity Conservation</w:t>
      </w:r>
    </w:p>
    <w:p>
      <w:pPr>
        <w:pStyle w:val="Normal"/>
        <w:numPr>
          <w:ilvl w:val="0"/>
          <w:numId w:val="0"/>
        </w:numPr>
        <w:ind w:hanging="0" w:start="0"/>
        <w:rPr>
          <w:b/>
          <w:bCs/>
          <w:sz w:val="24"/>
          <w:szCs w:val="24"/>
          <w:u w:val="single"/>
        </w:rPr>
      </w:pPr>
      <w:r>
        <w:rPr>
          <w:b/>
          <w:bCs/>
          <w:sz w:val="24"/>
          <w:szCs w:val="24"/>
          <w:u w:val="single"/>
        </w:rPr>
      </w:r>
    </w:p>
    <w:p>
      <w:pPr>
        <w:pStyle w:val="Normal"/>
        <w:numPr>
          <w:ilvl w:val="0"/>
          <w:numId w:val="2"/>
        </w:numPr>
        <w:tabs>
          <w:tab w:val="clear" w:pos="720"/>
          <w:tab w:val="left" w:pos="0" w:leader="none"/>
        </w:tabs>
        <w:ind w:hanging="720" w:start="720" w:end="0"/>
        <w:rPr>
          <w:sz w:val="24"/>
          <w:szCs w:val="24"/>
        </w:rPr>
      </w:pPr>
      <w:r>
        <w:rPr>
          <w:sz w:val="24"/>
          <w:szCs w:val="24"/>
        </w:rPr>
        <w:t xml:space="preserve">Support and funding for demand-side efficiency programs </w:t>
      </w:r>
    </w:p>
    <w:p>
      <w:pPr>
        <w:pStyle w:val="Normal"/>
        <w:numPr>
          <w:ilvl w:val="0"/>
          <w:numId w:val="2"/>
        </w:numPr>
        <w:tabs>
          <w:tab w:val="clear" w:pos="720"/>
          <w:tab w:val="left" w:pos="0" w:leader="none"/>
        </w:tabs>
        <w:ind w:hanging="720" w:start="1440" w:end="0"/>
        <w:rPr>
          <w:sz w:val="24"/>
          <w:szCs w:val="24"/>
        </w:rPr>
      </w:pPr>
      <w:r>
        <w:rPr>
          <w:sz w:val="24"/>
          <w:szCs w:val="24"/>
        </w:rPr>
        <w:t>Products</w:t>
        <w:tab/>
        <w:tab/>
      </w:r>
    </w:p>
    <w:p>
      <w:pPr>
        <w:pStyle w:val="Normal"/>
        <w:numPr>
          <w:ilvl w:val="0"/>
          <w:numId w:val="2"/>
        </w:numPr>
        <w:tabs>
          <w:tab w:val="clear" w:pos="720"/>
          <w:tab w:val="left" w:pos="0" w:leader="none"/>
        </w:tabs>
        <w:ind w:hanging="720" w:start="1440" w:end="0"/>
        <w:rPr>
          <w:sz w:val="24"/>
          <w:szCs w:val="24"/>
        </w:rPr>
      </w:pPr>
      <w:r>
        <w:rPr>
          <w:sz w:val="24"/>
          <w:szCs w:val="24"/>
        </w:rPr>
        <w:t>Home</w:t>
      </w:r>
    </w:p>
    <w:p>
      <w:pPr>
        <w:pStyle w:val="Normal"/>
        <w:numPr>
          <w:ilvl w:val="0"/>
          <w:numId w:val="2"/>
        </w:numPr>
        <w:tabs>
          <w:tab w:val="clear" w:pos="720"/>
          <w:tab w:val="left" w:pos="0" w:leader="none"/>
        </w:tabs>
        <w:ind w:hanging="720" w:start="1440" w:end="0"/>
        <w:rPr>
          <w:sz w:val="24"/>
          <w:szCs w:val="24"/>
        </w:rPr>
      </w:pPr>
      <w:r>
        <w:rPr>
          <w:sz w:val="24"/>
          <w:szCs w:val="24"/>
        </w:rPr>
        <w:t>Office</w:t>
      </w:r>
    </w:p>
    <w:p>
      <w:pPr>
        <w:pStyle w:val="Normal"/>
        <w:numPr>
          <w:ilvl w:val="0"/>
          <w:numId w:val="2"/>
        </w:numPr>
        <w:tabs>
          <w:tab w:val="clear" w:pos="720"/>
          <w:tab w:val="left" w:pos="0" w:leader="none"/>
        </w:tabs>
        <w:ind w:hanging="720" w:start="1440" w:end="0"/>
        <w:rPr>
          <w:sz w:val="24"/>
          <w:szCs w:val="24"/>
        </w:rPr>
      </w:pPr>
      <w:r>
        <w:rPr>
          <w:sz w:val="24"/>
          <w:szCs w:val="24"/>
        </w:rPr>
        <w:t>Manufacturing</w:t>
      </w:r>
    </w:p>
    <w:p>
      <w:pPr>
        <w:pStyle w:val="Normal"/>
        <w:numPr>
          <w:ilvl w:val="0"/>
          <w:numId w:val="2"/>
        </w:numPr>
        <w:tabs>
          <w:tab w:val="clear" w:pos="720"/>
          <w:tab w:val="left" w:pos="0" w:leader="none"/>
        </w:tabs>
        <w:ind w:hanging="720" w:start="720" w:end="0"/>
        <w:rPr>
          <w:sz w:val="24"/>
          <w:szCs w:val="24"/>
        </w:rPr>
      </w:pPr>
      <w:r>
        <w:rPr>
          <w:sz w:val="24"/>
          <w:szCs w:val="24"/>
        </w:rPr>
        <w:t xml:space="preserve">Tax incentives </w:t>
      </w:r>
    </w:p>
    <w:p>
      <w:pPr>
        <w:pStyle w:val="Normal"/>
        <w:numPr>
          <w:ilvl w:val="0"/>
          <w:numId w:val="2"/>
        </w:numPr>
        <w:tabs>
          <w:tab w:val="clear" w:pos="720"/>
          <w:tab w:val="left" w:pos="0" w:leader="none"/>
        </w:tabs>
        <w:ind w:hanging="720" w:start="720" w:end="0"/>
        <w:rPr>
          <w:sz w:val="24"/>
          <w:szCs w:val="24"/>
        </w:rPr>
      </w:pPr>
      <w:r>
        <w:rPr>
          <w:sz w:val="24"/>
          <w:szCs w:val="24"/>
        </w:rPr>
        <w:t xml:space="preserve">Uniform standards </w:t>
      </w:r>
    </w:p>
    <w:p>
      <w:pPr>
        <w:pStyle w:val="Normal"/>
        <w:numPr>
          <w:ilvl w:val="0"/>
          <w:numId w:val="0"/>
        </w:numPr>
        <w:ind w:hanging="0" w:start="0"/>
        <w:rPr>
          <w:sz w:val="24"/>
          <w:szCs w:val="24"/>
        </w:rPr>
      </w:pPr>
      <w:r>
        <w:rPr>
          <w:sz w:val="24"/>
          <w:szCs w:val="24"/>
        </w:rPr>
      </w:r>
    </w:p>
    <w:p>
      <w:pPr>
        <w:pStyle w:val="Heading3"/>
        <w:numPr>
          <w:ilvl w:val="0"/>
          <w:numId w:val="0"/>
        </w:numPr>
        <w:ind w:hanging="0" w:start="0"/>
        <w:rPr/>
      </w:pPr>
      <w:r>
        <w:rPr>
          <w:b/>
          <w:bCs/>
        </w:rPr>
        <w:t>Technology transfer</w:t>
      </w:r>
      <w:r>
        <w:rPr/>
        <w:t xml:space="preserve"> </w:t>
      </w:r>
    </w:p>
    <w:p>
      <w:pPr>
        <w:pStyle w:val="Normal"/>
        <w:numPr>
          <w:ilvl w:val="0"/>
          <w:numId w:val="0"/>
        </w:numPr>
        <w:ind w:hanging="0" w:start="0"/>
        <w:rPr/>
      </w:pPr>
      <w:r>
        <w:rPr/>
      </w:r>
    </w:p>
    <w:p>
      <w:pPr>
        <w:pStyle w:val="Normal"/>
        <w:numPr>
          <w:ilvl w:val="0"/>
          <w:numId w:val="2"/>
        </w:numPr>
        <w:tabs>
          <w:tab w:val="clear" w:pos="720"/>
          <w:tab w:val="left" w:pos="0" w:leader="none"/>
        </w:tabs>
        <w:ind w:hanging="720" w:start="720" w:end="0"/>
        <w:rPr>
          <w:sz w:val="24"/>
          <w:szCs w:val="24"/>
        </w:rPr>
      </w:pPr>
      <w:r>
        <w:rPr>
          <w:sz w:val="24"/>
          <w:szCs w:val="24"/>
        </w:rPr>
        <w:t>Eliminate tariffs on “green” technology</w:t>
      </w:r>
    </w:p>
    <w:p>
      <w:pPr>
        <w:pStyle w:val="Normal"/>
        <w:numPr>
          <w:ilvl w:val="0"/>
          <w:numId w:val="2"/>
        </w:numPr>
        <w:tabs>
          <w:tab w:val="clear" w:pos="720"/>
          <w:tab w:val="left" w:pos="0" w:leader="none"/>
        </w:tabs>
        <w:ind w:hanging="720" w:start="720" w:end="0"/>
        <w:rPr>
          <w:sz w:val="24"/>
          <w:szCs w:val="24"/>
        </w:rPr>
      </w:pPr>
      <w:r>
        <w:rPr>
          <w:sz w:val="24"/>
          <w:szCs w:val="24"/>
        </w:rPr>
        <w:t>Fund for clean technology transfer</w:t>
      </w:r>
    </w:p>
    <w:p>
      <w:pPr>
        <w:pStyle w:val="Normal"/>
        <w:numPr>
          <w:ilvl w:val="0"/>
          <w:numId w:val="0"/>
        </w:numPr>
        <w:ind w:hanging="0" w:start="0"/>
        <w:rPr>
          <w:sz w:val="24"/>
          <w:szCs w:val="24"/>
        </w:rPr>
      </w:pPr>
      <w:r>
        <w:rPr>
          <w:sz w:val="24"/>
          <w:szCs w:val="24"/>
        </w:rPr>
      </w:r>
    </w:p>
    <w:p>
      <w:pPr>
        <w:pStyle w:val="Heading6"/>
        <w:numPr>
          <w:ilvl w:val="0"/>
          <w:numId w:val="0"/>
        </w:numPr>
        <w:tabs>
          <w:tab w:val="clear" w:pos="7251"/>
        </w:tabs>
        <w:ind w:hanging="0" w:start="0"/>
        <w:rPr/>
      </w:pPr>
      <w:r>
        <w:rPr/>
        <w:t>Climate Change</w:t>
      </w:r>
    </w:p>
    <w:p>
      <w:pPr>
        <w:pStyle w:val="Normal"/>
        <w:numPr>
          <w:ilvl w:val="0"/>
          <w:numId w:val="0"/>
        </w:numPr>
        <w:ind w:hanging="0" w:start="0"/>
        <w:rPr>
          <w:b/>
          <w:bCs/>
          <w:sz w:val="24"/>
          <w:szCs w:val="24"/>
          <w:u w:val="single"/>
        </w:rPr>
      </w:pPr>
      <w:r>
        <w:rPr>
          <w:b/>
          <w:bCs/>
          <w:sz w:val="24"/>
          <w:szCs w:val="24"/>
          <w:u w:val="single"/>
        </w:rPr>
      </w:r>
    </w:p>
    <w:p>
      <w:pPr>
        <w:pStyle w:val="Normal"/>
        <w:numPr>
          <w:ilvl w:val="0"/>
          <w:numId w:val="2"/>
        </w:numPr>
        <w:tabs>
          <w:tab w:val="clear" w:pos="720"/>
          <w:tab w:val="left" w:pos="0" w:leader="none"/>
        </w:tabs>
        <w:ind w:hanging="720" w:start="720" w:end="0"/>
        <w:rPr>
          <w:b/>
          <w:bCs/>
          <w:sz w:val="24"/>
          <w:szCs w:val="24"/>
          <w:u w:val="single"/>
        </w:rPr>
      </w:pPr>
      <w:r>
        <w:rPr>
          <w:sz w:val="24"/>
          <w:szCs w:val="24"/>
        </w:rPr>
        <w:t>Carbon sequestration</w:t>
      </w:r>
    </w:p>
    <w:p>
      <w:pPr>
        <w:pStyle w:val="Normal"/>
        <w:numPr>
          <w:ilvl w:val="0"/>
          <w:numId w:val="2"/>
        </w:numPr>
        <w:tabs>
          <w:tab w:val="clear" w:pos="720"/>
          <w:tab w:val="left" w:pos="0" w:leader="none"/>
        </w:tabs>
        <w:ind w:hanging="720" w:start="720" w:end="0"/>
        <w:rPr>
          <w:b/>
          <w:bCs/>
          <w:sz w:val="24"/>
          <w:szCs w:val="24"/>
          <w:u w:val="single"/>
        </w:rPr>
      </w:pPr>
      <w:r>
        <w:rPr>
          <w:sz w:val="24"/>
          <w:szCs w:val="24"/>
        </w:rPr>
        <w:t>Energy efficiency</w:t>
      </w:r>
    </w:p>
    <w:p>
      <w:pPr>
        <w:pStyle w:val="Normal"/>
        <w:numPr>
          <w:ilvl w:val="0"/>
          <w:numId w:val="2"/>
        </w:numPr>
        <w:tabs>
          <w:tab w:val="clear" w:pos="720"/>
          <w:tab w:val="left" w:pos="0" w:leader="none"/>
        </w:tabs>
        <w:ind w:hanging="720" w:start="720" w:end="0"/>
        <w:rPr>
          <w:b/>
          <w:bCs/>
          <w:sz w:val="24"/>
          <w:szCs w:val="24"/>
          <w:u w:val="single"/>
        </w:rPr>
      </w:pPr>
      <w:r>
        <w:rPr>
          <w:sz w:val="24"/>
          <w:szCs w:val="24"/>
        </w:rPr>
        <w:t xml:space="preserve">Renewables </w:t>
      </w:r>
    </w:p>
    <w:p>
      <w:pPr>
        <w:pStyle w:val="Normal"/>
        <w:rPr>
          <w:color w:val="000000"/>
          <w:sz w:val="24"/>
          <w:szCs w:val="24"/>
        </w:rPr>
      </w:pPr>
      <w:r>
        <w:rPr>
          <w:color w:val="000000"/>
          <w:sz w:val="24"/>
          <w:szCs w:val="24"/>
        </w:rPr>
      </w:r>
    </w:p>
    <w:p>
      <w:pPr>
        <w:pStyle w:val="Normal"/>
        <w:rPr>
          <w:color w:val="000000"/>
          <w:sz w:val="24"/>
          <w:szCs w:val="24"/>
        </w:rPr>
      </w:pPr>
      <w:r>
        <w:rPr>
          <w:color w:val="000000"/>
          <w:sz w:val="24"/>
          <w:szCs w:val="24"/>
        </w:rPr>
      </w:r>
    </w:p>
    <w:p>
      <w:pPr>
        <w:pStyle w:val="Normal"/>
        <w:rPr>
          <w:sz w:val="24"/>
          <w:szCs w:val="24"/>
          <w:u w:val="single"/>
        </w:rPr>
      </w:pPr>
      <w:r>
        <w:rPr>
          <w:sz w:val="24"/>
          <w:szCs w:val="24"/>
          <w:u w:val="single"/>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Monotype Sorts">
    <w:altName w:val="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m"/>
      <w:lvlJc w:val="start"/>
      <w:pPr>
        <w:tabs>
          <w:tab w:val="num" w:pos="360"/>
        </w:tabs>
        <w:ind w:start="360" w:hanging="360"/>
      </w:pPr>
      <w:rPr>
        <w:rFonts w:ascii="Monotype Sorts" w:hAnsi="Monotype Sorts" w:cs="Monotype Sort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120" w:after="0"/>
      <w:outlineLvl w:val="0"/>
    </w:pPr>
    <w:rPr>
      <w:b/>
      <w:bCs/>
      <w:sz w:val="24"/>
      <w:szCs w:val="24"/>
    </w:rPr>
  </w:style>
  <w:style w:type="paragraph" w:styleId="Heading2">
    <w:name w:val="heading 2"/>
    <w:basedOn w:val="Normal"/>
    <w:next w:val="Normal"/>
    <w:qFormat/>
    <w:pPr>
      <w:keepNext w:val="true"/>
      <w:numPr>
        <w:ilvl w:val="1"/>
        <w:numId w:val="1"/>
      </w:numPr>
      <w:spacing w:before="120" w:after="0"/>
      <w:outlineLvl w:val="1"/>
    </w:pPr>
    <w:rPr>
      <w:b/>
      <w:bCs/>
      <w:sz w:val="22"/>
      <w:szCs w:val="22"/>
    </w:rPr>
  </w:style>
  <w:style w:type="paragraph" w:styleId="Heading3">
    <w:name w:val="heading 3"/>
    <w:basedOn w:val="Normal"/>
    <w:next w:val="Normal"/>
    <w:qFormat/>
    <w:pPr>
      <w:keepNext w:val="true"/>
      <w:numPr>
        <w:ilvl w:val="2"/>
        <w:numId w:val="1"/>
      </w:numPr>
      <w:outlineLvl w:val="2"/>
    </w:pPr>
    <w:rPr>
      <w:sz w:val="24"/>
      <w:szCs w:val="24"/>
      <w:u w:val="single"/>
    </w:rPr>
  </w:style>
  <w:style w:type="paragraph" w:styleId="Heading4">
    <w:name w:val="heading 4"/>
    <w:basedOn w:val="Normal"/>
    <w:next w:val="Normal"/>
    <w:qFormat/>
    <w:pPr>
      <w:keepNext w:val="true"/>
      <w:numPr>
        <w:ilvl w:val="3"/>
        <w:numId w:val="1"/>
      </w:numPr>
      <w:outlineLvl w:val="3"/>
    </w:pPr>
    <w:rPr>
      <w:sz w:val="24"/>
      <w:szCs w:val="24"/>
    </w:rPr>
  </w:style>
  <w:style w:type="paragraph" w:styleId="Heading5">
    <w:name w:val="heading 5"/>
    <w:basedOn w:val="Normal"/>
    <w:next w:val="Normal"/>
    <w:qFormat/>
    <w:pPr>
      <w:keepNext w:val="true"/>
      <w:numPr>
        <w:ilvl w:val="4"/>
        <w:numId w:val="1"/>
      </w:numPr>
      <w:outlineLvl w:val="4"/>
    </w:pPr>
    <w:rPr>
      <w:color w:val="000000"/>
      <w:sz w:val="24"/>
      <w:szCs w:val="24"/>
      <w:u w:val="single"/>
    </w:rPr>
  </w:style>
  <w:style w:type="paragraph" w:styleId="Heading6">
    <w:name w:val="heading 6"/>
    <w:basedOn w:val="Normal"/>
    <w:next w:val="Normal"/>
    <w:qFormat/>
    <w:pPr>
      <w:keepNext w:val="true"/>
      <w:numPr>
        <w:ilvl w:val="5"/>
        <w:numId w:val="1"/>
      </w:numPr>
      <w:tabs>
        <w:tab w:val="clear" w:pos="720"/>
        <w:tab w:val="right" w:pos="7251" w:leader="none"/>
      </w:tabs>
      <w:outlineLvl w:val="5"/>
    </w:pPr>
    <w:rPr>
      <w:b/>
      <w:bCs/>
      <w:sz w:val="24"/>
      <w:szCs w:val="24"/>
      <w:u w:val="single"/>
    </w:rPr>
  </w:style>
  <w:style w:type="paragraph" w:styleId="Heading7">
    <w:name w:val="heading 7"/>
    <w:basedOn w:val="Normal"/>
    <w:next w:val="Normal"/>
    <w:qFormat/>
    <w:pPr>
      <w:keepNext w:val="true"/>
      <w:numPr>
        <w:ilvl w:val="6"/>
        <w:numId w:val="1"/>
      </w:numPr>
      <w:jc w:val="center"/>
      <w:outlineLvl w:val="6"/>
    </w:pPr>
    <w:rPr>
      <w:b/>
      <w:bCs/>
      <w:sz w:val="24"/>
      <w:szCs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3">
    <w:name w:val="toc 3"/>
    <w:basedOn w:val="Normal"/>
    <w:next w:val="Normal"/>
    <w:pPr>
      <w:tabs>
        <w:tab w:val="clear" w:pos="720"/>
        <w:tab w:val="right" w:pos="9346" w:leader="none"/>
      </w:tabs>
      <w:ind w:hanging="994" w:start="1397" w:end="0"/>
    </w:pPr>
    <w:rPr>
      <w:sz w:val="22"/>
      <w:szCs w:val="22"/>
      <w:lang w:val="en-C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2001-05-14T12:17:00Z</dcterms:created>
  <dc:creator>Martine Veilleux</dc:creator>
  <dc:description/>
  <dc:language>en-CA</dc:language>
  <cp:lastModifiedBy>Martine Veilleux</cp:lastModifiedBy>
  <cp:lastPrinted>2001-05-23T14:40:00Z</cp:lastPrinted>
  <dcterms:modified xsi:type="dcterms:W3CDTF">2001-05-23T17:02:00Z</dcterms:modified>
  <cp:revision>39</cp:revision>
  <dc:subject/>
  <dc:title/>
</cp:coreProperties>
</file>