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Tim Belden</w:t>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rPr/>
            </w:pPr>
            <w:r>
              <w:rPr/>
              <w:t>Christian Yoder</w:t>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Sager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Recommendation for Secucuring Replacement Quotes Per MWh on the Power Trades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sz w:val="22"/>
        </w:rPr>
      </w:pPr>
      <w:r>
        <w:rPr>
          <w:sz w:val="22"/>
        </w:rPr>
      </w:r>
      <w:bookmarkStart w:id="1" w:name="StartOfMemo"/>
      <w:bookmarkStart w:id="2" w:name="StartOfMemo"/>
      <w:bookmarkEnd w:id="2"/>
    </w:p>
    <w:p>
      <w:pPr>
        <w:pStyle w:val="Body"/>
        <w:jc w:val="both"/>
        <w:rPr>
          <w:sz w:val="22"/>
        </w:rPr>
      </w:pPr>
      <w:r>
        <w:rPr>
          <w:sz w:val="22"/>
        </w:rPr>
      </w:r>
    </w:p>
    <w:p>
      <w:pPr>
        <w:pStyle w:val="Body"/>
        <w:spacing w:before="120" w:after="0"/>
        <w:ind w:start="0" w:end="720"/>
        <w:jc w:val="both"/>
        <w:rPr>
          <w:sz w:val="22"/>
        </w:rPr>
      </w:pPr>
      <w:r>
        <w:rPr>
          <w:sz w:val="22"/>
        </w:rPr>
      </w:r>
    </w:p>
    <w:tbl>
      <w:tblPr>
        <w:tblW w:w="10260" w:type="dxa"/>
        <w:jc w:val="start"/>
        <w:tblInd w:w="198" w:type="dxa"/>
        <w:tblLayout w:type="fixed"/>
        <w:tblCellMar>
          <w:top w:w="0" w:type="dxa"/>
          <w:start w:w="108" w:type="dxa"/>
          <w:bottom w:w="0" w:type="dxa"/>
          <w:end w:w="108" w:type="dxa"/>
        </w:tblCellMar>
      </w:tblPr>
      <w:tblGrid>
        <w:gridCol w:w="5040"/>
        <w:gridCol w:w="5220"/>
      </w:tblGrid>
      <w:tr>
        <w:trPr/>
        <w:tc>
          <w:tcPr>
            <w:tcW w:w="5040" w:type="dxa"/>
            <w:tcBorders/>
          </w:tcPr>
          <w:p>
            <w:pPr>
              <w:pStyle w:val="Heading1"/>
              <w:ind w:hanging="0" w:start="0"/>
              <w:jc w:val="center"/>
              <w:rPr>
                <w:rFonts w:cs="Arial"/>
                <w:sz w:val="20"/>
              </w:rPr>
            </w:pPr>
            <w:r>
              <w:rPr>
                <w:rFonts w:cs="Arial"/>
                <w:sz w:val="20"/>
              </w:rPr>
              <w:t>ACTION</w:t>
            </w:r>
          </w:p>
          <w:p>
            <w:pPr>
              <w:pStyle w:val="Normal"/>
              <w:jc w:val="center"/>
              <w:rPr>
                <w:rFonts w:cs="Arial"/>
                <w:sz w:val="20"/>
              </w:rPr>
            </w:pPr>
            <w:r>
              <w:rPr>
                <w:rFonts w:cs="Arial"/>
                <w:sz w:val="20"/>
              </w:rPr>
            </w:r>
          </w:p>
        </w:tc>
        <w:tc>
          <w:tcPr>
            <w:tcW w:w="5220" w:type="dxa"/>
            <w:tcBorders/>
          </w:tcPr>
          <w:p>
            <w:pPr>
              <w:pStyle w:val="Heading1"/>
              <w:ind w:hanging="0" w:start="0"/>
              <w:jc w:val="center"/>
              <w:rPr>
                <w:rFonts w:cs="Arial"/>
                <w:sz w:val="20"/>
              </w:rPr>
            </w:pPr>
            <w:r>
              <w:rPr>
                <w:rFonts w:cs="Arial"/>
                <w:sz w:val="20"/>
              </w:rPr>
              <w:t>COMMENTS</w:t>
            </w:r>
          </w:p>
        </w:tc>
      </w:tr>
      <w:tr>
        <w:trPr/>
        <w:tc>
          <w:tcPr>
            <w:tcW w:w="5040" w:type="dxa"/>
            <w:tcBorders/>
          </w:tcPr>
          <w:p>
            <w:pPr>
              <w:pStyle w:val="BodyTextIndent"/>
              <w:numPr>
                <w:ilvl w:val="0"/>
                <w:numId w:val="2"/>
              </w:numPr>
              <w:ind w:hanging="360" w:start="360" w:end="0"/>
              <w:rPr>
                <w:rFonts w:ascii="Arial" w:hAnsi="Arial" w:cs="Arial"/>
              </w:rPr>
            </w:pPr>
            <w:r>
              <w:rPr>
                <w:rFonts w:cs="Arial" w:ascii="Arial" w:hAnsi="Arial"/>
              </w:rPr>
              <w:t>Immediately after fax notice of termination is delivered to PG&amp;E, attempt to obtain 4 bids for 100 MW at NP-15, for delivery from April 10</w:t>
            </w:r>
            <w:r>
              <w:rPr>
                <w:rFonts w:cs="Arial" w:ascii="Arial" w:hAnsi="Arial"/>
                <w:vertAlign w:val="superscript"/>
              </w:rPr>
              <w:t>th</w:t>
            </w:r>
            <w:r>
              <w:rPr>
                <w:rFonts w:cs="Arial" w:ascii="Arial" w:hAnsi="Arial"/>
              </w:rPr>
              <w:t xml:space="preserve"> through 12/31/2005, Peak Hours</w:t>
            </w:r>
          </w:p>
          <w:p>
            <w:pPr>
              <w:pStyle w:val="Normal"/>
              <w:ind w:hanging="360" w:start="360" w:end="0"/>
              <w:jc w:val="both"/>
              <w:rPr>
                <w:rFonts w:ascii="Arial" w:hAnsi="Arial" w:cs="Arial"/>
                <w:sz w:val="20"/>
              </w:rPr>
            </w:pPr>
            <w:r>
              <w:rPr>
                <w:rFonts w:cs="Arial"/>
                <w:sz w:val="20"/>
              </w:rPr>
            </w:r>
          </w:p>
          <w:p>
            <w:pPr>
              <w:pStyle w:val="Normal"/>
              <w:ind w:start="360" w:end="0"/>
              <w:jc w:val="both"/>
              <w:rPr/>
            </w:pPr>
            <w:r>
              <w:rPr>
                <w:rFonts w:cs="Arial"/>
                <w:sz w:val="20"/>
              </w:rPr>
              <w:t>Attempt to obtain bids from 3</w:t>
            </w:r>
            <w:r>
              <w:rPr>
                <w:rFonts w:cs="Arial"/>
                <w:sz w:val="20"/>
                <w:vertAlign w:val="superscript"/>
              </w:rPr>
              <w:t>rd</w:t>
            </w:r>
            <w:r>
              <w:rPr>
                <w:rFonts w:cs="Arial"/>
                <w:sz w:val="20"/>
              </w:rPr>
              <w:t xml:space="preserve"> parties with whom we typically would do trades of similar length and quantity (including credit worthiness issues).  Also consider using Brokers</w:t>
            </w:r>
          </w:p>
          <w:p>
            <w:pPr>
              <w:pStyle w:val="Normal"/>
              <w:ind w:hanging="360" w:start="360" w:end="0"/>
              <w:jc w:val="both"/>
              <w:rPr>
                <w:rFonts w:cs="Arial"/>
                <w:sz w:val="20"/>
              </w:rPr>
            </w:pPr>
            <w:r>
              <w:rPr>
                <w:rFonts w:cs="Arial"/>
                <w:sz w:val="20"/>
              </w:rPr>
            </w:r>
          </w:p>
        </w:tc>
        <w:tc>
          <w:tcPr>
            <w:tcW w:w="5220" w:type="dxa"/>
            <w:tcBorders/>
          </w:tcPr>
          <w:p>
            <w:pPr>
              <w:pStyle w:val="BodyTextIndent2"/>
              <w:numPr>
                <w:ilvl w:val="0"/>
                <w:numId w:val="3"/>
              </w:numPr>
              <w:ind w:hanging="360" w:start="342" w:end="0"/>
              <w:jc w:val="both"/>
              <w:rPr>
                <w:rFonts w:ascii="Arial" w:hAnsi="Arial" w:cs="Arial"/>
                <w:sz w:val="20"/>
              </w:rPr>
            </w:pPr>
            <w:r>
              <w:rPr>
                <w:rFonts w:cs="Arial" w:ascii="Arial" w:hAnsi="Arial"/>
                <w:sz w:val="20"/>
              </w:rPr>
              <w:t xml:space="preserve">Be direct and simple indicating that bids should be "firm".  OK to split bids into components (balance of the month, year and 4 years). Do not indicate purpose behind the request for bid.  Keep written log of bids obtained on sheet to be proved by credit.  After bid has been secured, attempt to secure written verification on letter to be provided by legal.  </w:t>
            </w:r>
          </w:p>
          <w:p>
            <w:pPr>
              <w:pStyle w:val="BodyTextIndent2"/>
              <w:tabs>
                <w:tab w:val="left" w:pos="432" w:leader="none"/>
              </w:tabs>
              <w:ind w:hanging="0" w:start="342" w:end="0"/>
              <w:jc w:val="both"/>
              <w:rPr>
                <w:rFonts w:ascii="Arial" w:hAnsi="Arial" w:cs="Arial"/>
                <w:sz w:val="20"/>
              </w:rPr>
            </w:pPr>
            <w:r>
              <w:rPr>
                <w:rFonts w:cs="Arial" w:ascii="Arial" w:hAnsi="Arial"/>
                <w:sz w:val="20"/>
              </w:rPr>
            </w:r>
          </w:p>
          <w:p>
            <w:pPr>
              <w:pStyle w:val="Normal"/>
              <w:numPr>
                <w:ilvl w:val="0"/>
                <w:numId w:val="3"/>
              </w:numPr>
              <w:tabs>
                <w:tab w:val="clear" w:pos="540"/>
              </w:tabs>
              <w:ind w:hanging="360" w:start="342" w:end="0"/>
              <w:jc w:val="both"/>
              <w:rPr>
                <w:rFonts w:cs="Arial"/>
                <w:sz w:val="20"/>
              </w:rPr>
            </w:pPr>
            <w:r>
              <w:rPr>
                <w:rFonts w:cs="Arial"/>
                <w:sz w:val="20"/>
              </w:rPr>
              <w:t>If less than 4 bids, 3 OK.  If 3 not available, check with legal.</w:t>
            </w:r>
          </w:p>
          <w:p>
            <w:pPr>
              <w:pStyle w:val="Normal"/>
              <w:tabs>
                <w:tab w:val="left" w:pos="432" w:leader="none"/>
                <w:tab w:val="left" w:pos="540" w:leader="none"/>
              </w:tabs>
              <w:ind w:start="342" w:end="0"/>
              <w:jc w:val="both"/>
              <w:rPr>
                <w:rFonts w:cs="Arial"/>
                <w:sz w:val="20"/>
              </w:rPr>
            </w:pPr>
            <w:r>
              <w:rPr>
                <w:rFonts w:cs="Arial"/>
                <w:sz w:val="20"/>
              </w:rPr>
            </w:r>
          </w:p>
          <w:p>
            <w:pPr>
              <w:pStyle w:val="Normal"/>
              <w:numPr>
                <w:ilvl w:val="0"/>
                <w:numId w:val="3"/>
              </w:numPr>
              <w:tabs>
                <w:tab w:val="clear" w:pos="540"/>
              </w:tabs>
              <w:ind w:hanging="360" w:start="342" w:end="0"/>
              <w:jc w:val="both"/>
              <w:rPr>
                <w:rFonts w:cs="Arial"/>
                <w:sz w:val="20"/>
              </w:rPr>
            </w:pPr>
            <w:r>
              <w:rPr>
                <w:rFonts w:cs="Arial"/>
                <w:sz w:val="20"/>
              </w:rPr>
              <w:t>If 1 or fewer bids consider alternate bid profiles that best resemble trade.</w:t>
            </w:r>
          </w:p>
          <w:p>
            <w:pPr>
              <w:pStyle w:val="Normal"/>
              <w:numPr>
                <w:ilvl w:val="1"/>
                <w:numId w:val="3"/>
              </w:numPr>
              <w:tabs>
                <w:tab w:val="clear" w:pos="540"/>
                <w:tab w:val="left" w:pos="792" w:leader="none"/>
                <w:tab w:val="left" w:pos="1332" w:leader="none"/>
                <w:tab w:val="left" w:pos="2835" w:leader="none"/>
              </w:tabs>
              <w:ind w:hanging="450" w:start="792" w:end="0"/>
              <w:jc w:val="both"/>
              <w:rPr>
                <w:rFonts w:cs="Arial"/>
                <w:sz w:val="20"/>
              </w:rPr>
            </w:pPr>
            <w:r>
              <w:rPr>
                <w:rFonts w:cs="Arial"/>
                <w:sz w:val="20"/>
              </w:rPr>
              <w:t>Reduce block to 50 MW</w:t>
            </w:r>
          </w:p>
          <w:p>
            <w:pPr>
              <w:pStyle w:val="Normal"/>
              <w:numPr>
                <w:ilvl w:val="1"/>
                <w:numId w:val="3"/>
              </w:numPr>
              <w:tabs>
                <w:tab w:val="clear" w:pos="540"/>
                <w:tab w:val="left" w:pos="792" w:leader="none"/>
                <w:tab w:val="left" w:pos="1332" w:leader="none"/>
                <w:tab w:val="left" w:pos="2835" w:leader="none"/>
              </w:tabs>
              <w:ind w:hanging="450" w:start="792" w:end="0"/>
              <w:jc w:val="both"/>
              <w:rPr>
                <w:rFonts w:cs="Arial"/>
                <w:sz w:val="20"/>
              </w:rPr>
            </w:pPr>
            <w:r>
              <w:rPr>
                <w:rFonts w:cs="Arial"/>
                <w:sz w:val="20"/>
              </w:rPr>
              <w:t>Get bids by year</w:t>
            </w:r>
          </w:p>
          <w:p>
            <w:pPr>
              <w:pStyle w:val="Normal"/>
              <w:numPr>
                <w:ilvl w:val="1"/>
                <w:numId w:val="3"/>
              </w:numPr>
              <w:tabs>
                <w:tab w:val="clear" w:pos="540"/>
                <w:tab w:val="left" w:pos="792" w:leader="none"/>
                <w:tab w:val="left" w:pos="1332" w:leader="none"/>
                <w:tab w:val="left" w:pos="2835" w:leader="none"/>
              </w:tabs>
              <w:ind w:hanging="450" w:start="792" w:end="0"/>
              <w:jc w:val="both"/>
              <w:rPr>
                <w:rFonts w:cs="Arial"/>
                <w:sz w:val="20"/>
              </w:rPr>
            </w:pPr>
            <w:r>
              <w:rPr>
                <w:rFonts w:cs="Arial"/>
                <w:sz w:val="20"/>
              </w:rPr>
              <w:t>Change delivery point</w:t>
            </w:r>
          </w:p>
          <w:p>
            <w:pPr>
              <w:pStyle w:val="Normal"/>
              <w:tabs>
                <w:tab w:val="left" w:pos="432" w:leader="none"/>
                <w:tab w:val="left" w:pos="540" w:leader="none"/>
                <w:tab w:val="left" w:pos="792" w:leader="none"/>
                <w:tab w:val="left" w:pos="1332" w:leader="none"/>
              </w:tabs>
              <w:ind w:start="342" w:end="0"/>
              <w:jc w:val="both"/>
              <w:rPr>
                <w:rFonts w:cs="Arial"/>
                <w:sz w:val="20"/>
              </w:rPr>
            </w:pPr>
            <w:r>
              <w:rPr>
                <w:rFonts w:cs="Arial"/>
                <w:sz w:val="20"/>
              </w:rPr>
            </w:r>
          </w:p>
          <w:p>
            <w:pPr>
              <w:pStyle w:val="Normal"/>
              <w:tabs>
                <w:tab w:val="left" w:pos="432" w:leader="none"/>
                <w:tab w:val="left" w:pos="540" w:leader="none"/>
                <w:tab w:val="left" w:pos="792" w:leader="none"/>
                <w:tab w:val="left" w:pos="1332" w:leader="none"/>
              </w:tabs>
              <w:ind w:start="342" w:end="0"/>
              <w:jc w:val="both"/>
              <w:rPr>
                <w:rFonts w:cs="Arial"/>
                <w:sz w:val="20"/>
              </w:rPr>
            </w:pPr>
            <w:r>
              <w:rPr>
                <w:rFonts w:cs="Arial"/>
                <w:sz w:val="20"/>
              </w:rPr>
            </w:r>
          </w:p>
        </w:tc>
      </w:tr>
      <w:tr>
        <w:trPr/>
        <w:tc>
          <w:tcPr>
            <w:tcW w:w="5040" w:type="dxa"/>
            <w:tcBorders/>
          </w:tcPr>
          <w:p>
            <w:pPr>
              <w:pStyle w:val="BodyTextIndent"/>
              <w:numPr>
                <w:ilvl w:val="0"/>
                <w:numId w:val="2"/>
              </w:numPr>
              <w:ind w:hanging="360" w:start="360" w:end="0"/>
              <w:rPr>
                <w:rFonts w:ascii="Arial" w:hAnsi="Arial" w:cs="Arial"/>
              </w:rPr>
            </w:pPr>
            <w:r>
              <w:rPr>
                <w:rFonts w:cs="Arial" w:ascii="Arial" w:hAnsi="Arial"/>
              </w:rPr>
              <w:t>Attempt to obtain 4 bids for 25 MW at NP-15 for term July 1 – Sept. 30, 2001, Peak Hours</w:t>
            </w:r>
          </w:p>
        </w:tc>
        <w:tc>
          <w:tcPr>
            <w:tcW w:w="5220" w:type="dxa"/>
            <w:tcBorders/>
          </w:tcPr>
          <w:p>
            <w:pPr>
              <w:pStyle w:val="Normal"/>
              <w:rPr>
                <w:rFonts w:cs="Arial"/>
                <w:sz w:val="20"/>
              </w:rPr>
            </w:pPr>
            <w:r>
              <w:rPr>
                <w:rFonts w:cs="Arial"/>
                <w:sz w:val="20"/>
              </w:rPr>
              <w:t>Same as above</w:t>
            </w:r>
          </w:p>
        </w:tc>
      </w:tr>
    </w:tbl>
    <w:p>
      <w:pPr>
        <w:pStyle w:val="Body"/>
        <w:spacing w:before="120" w:after="0"/>
        <w:ind w:start="720" w:end="720"/>
        <w:jc w:val="both"/>
        <w:rPr>
          <w:rFonts w:cs="Arial"/>
        </w:rPr>
      </w:pPr>
      <w:r>
        <w:rPr>
          <w:rFonts w:cs="Arial"/>
        </w:rPr>
      </w:r>
    </w:p>
    <w:p>
      <w:pPr>
        <w:pStyle w:val="BodyText"/>
        <w:ind w:start="1440" w:end="720"/>
        <w:rPr>
          <w:rFonts w:cs="Arial"/>
        </w:rPr>
      </w:pPr>
      <w:r>
        <w:rPr>
          <w:rFonts w:cs="Arial"/>
        </w:rPr>
      </w:r>
    </w:p>
    <w:p>
      <w:pPr>
        <w:pStyle w:val="BodyText"/>
        <w:ind w:start="1440" w:end="720"/>
        <w:rPr/>
      </w:pPr>
      <w:r>
        <w:rPr/>
      </w:r>
    </w:p>
    <w:p>
      <w:pPr>
        <w:pStyle w:val="BodyText"/>
        <w:ind w:start="1440" w:end="720"/>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/mnt/main-storage/datasets/enron-docs/doc/Recommendation_Memo.doc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/mnt/main-storage/datasets/enron-docs/doc/Recommendation_Memo.doc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Attorney Client Work Product;</w:t>
    </w:r>
  </w:p>
  <w:p>
    <w:pPr>
      <w:pStyle w:val="Header"/>
      <w:tabs>
        <w:tab w:val="clear" w:pos="4320"/>
        <w:tab w:val="clear" w:pos="8640"/>
        <w:tab w:val="right" w:pos="936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ab/>
    </w:r>
    <w:r>
      <w:rPr>
        <w:b/>
        <w:smallCaps/>
        <w:sz w:val="20"/>
      </w:rPr>
      <w:t>Not Discoverable</w:t>
    </w:r>
  </w:p>
  <w:p>
    <w:pPr>
      <w:pStyle w:val="Header"/>
      <w:tabs>
        <w:tab w:val="clear" w:pos="4320"/>
        <w:tab w:val="clear" w:pos="8640"/>
        <w:tab w:val="right" w:pos="9360" w:leader="none"/>
      </w:tabs>
      <w:spacing w:before="0" w:after="240"/>
      <w:rPr>
        <w:b/>
        <w:smallCaps/>
        <w:sz w:val="20"/>
      </w:rPr>
    </w:pPr>
    <w:r>
      <w:rPr>
        <w:b/>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1">
    <w:name w:val="WW8Num2z1"/>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Arial" w:hAnsi="Helv;Arial" w:cs="Helv;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Arial" w:hAnsi="Helv;Arial" w:cs="Helv;Arial"/>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Arial" w:hAnsi="Helv;Arial" w:cs="Helv;Arial"/>
      <w:sz w:val="20"/>
    </w:rPr>
  </w:style>
  <w:style w:type="paragraph" w:styleId="BodyText2">
    <w:name w:val="Body Text 2"/>
    <w:basedOn w:val="Normal"/>
    <w:qFormat/>
    <w:pPr>
      <w:autoSpaceDE w:val="false"/>
      <w:spacing w:lineRule="atLeast" w:line="240" w:before="120" w:after="0"/>
      <w:jc w:val="both"/>
    </w:pPr>
    <w:rPr>
      <w:rFonts w:ascii="Helv;Arial" w:hAnsi="Helv;Arial" w:cs="Helv;Arial"/>
      <w:i/>
      <w:iCs/>
      <w:sz w:val="20"/>
    </w:rPr>
  </w:style>
  <w:style w:type="paragraph" w:styleId="BodyTextIndent2">
    <w:name w:val="Body Text Indent 2"/>
    <w:basedOn w:val="Normal"/>
    <w:qFormat/>
    <w:pPr>
      <w:tabs>
        <w:tab w:val="clear" w:pos="540"/>
      </w:tabs>
      <w:ind w:hanging="252" w:start="252" w:end="0"/>
    </w:pPr>
    <w:rPr>
      <w:rFonts w:ascii="Times New Roman" w:hAnsi="Times New Roman" w:cs="Times New Roman"/>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2001-04-09T13:00:00Z</dcterms:created>
  <dc:creator>Jeff Ford</dc:creator>
  <dc:description/>
  <dc:language>en-CA</dc:language>
  <cp:lastModifiedBy>bwhiteh</cp:lastModifiedBy>
  <cp:lastPrinted>2001-04-09T10:30:00Z</cp:lastPrinted>
  <dcterms:modified xsi:type="dcterms:W3CDTF">2001-04-09T13:00:00Z</dcterms:modified>
  <cp:revision>3</cp:revision>
  <dc:subject>Analysis of ECT's Financial, Power and Gas Forms</dc:subject>
  <dc:title>Eron Capital &amp; Trade Resources Memo</dc:title>
</cp:coreProperties>
</file>