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start="-720" w:end="0"/>
        <w:rPr>
          <w:b/>
          <w:sz w:val="24"/>
        </w:rPr>
      </w:pPr>
      <w:r>
        <w:rPr>
          <w:b/>
          <w:sz w:val="24"/>
        </w:rPr>
        <w:t>Recap of Risk Management Policy Changes from October to February:</w:t>
      </w:r>
    </w:p>
    <w:p>
      <w:pPr>
        <w:pStyle w:val="BodyTextIndent"/>
        <w:rPr/>
      </w:pPr>
      <w:r>
        <w:rPr/>
        <w:t>&lt;Note&gt; The version of the policy approved by the BOD on October 7, 2000 was the last version circulated with the compliance certificates signed by traders and risk management personnel.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ind w:start="-720" w:end="0"/>
        <w:rPr>
          <w:b/>
          <w:u w:val="single"/>
        </w:rPr>
      </w:pPr>
      <w:r>
        <w:rPr>
          <w:b/>
          <w:u w:val="single"/>
        </w:rPr>
        <w:t>December 12, 2000</w:t>
      </w:r>
    </w:p>
    <w:p>
      <w:pPr>
        <w:pStyle w:val="Department"/>
        <w:ind w:hanging="630" w:start="-90" w:end="-1710"/>
        <w:rPr/>
      </w:pPr>
      <w:r>
        <w:rPr/>
        <w:tab/>
        <w:tab/>
        <w:tab/>
        <w:tab/>
        <w:tab/>
        <w:tab/>
        <w:tab/>
        <w:tab/>
      </w:r>
      <w:r>
        <w:rPr>
          <w:b/>
          <w:u w:val="single"/>
        </w:rPr>
        <w:t>New Requirements</w:t>
      </w:r>
      <w:r>
        <w:rPr/>
        <w:tab/>
      </w:r>
      <w:r>
        <w:rPr>
          <w:b/>
        </w:rPr>
        <w:tab/>
      </w:r>
      <w:r>
        <w:rPr>
          <w:b/>
          <w:u w:val="single"/>
        </w:rPr>
        <w:t>Old Requirements</w:t>
      </w:r>
    </w:p>
    <w:p>
      <w:pPr>
        <w:pStyle w:val="Department"/>
        <w:numPr>
          <w:ilvl w:val="0"/>
          <w:numId w:val="5"/>
        </w:numPr>
        <w:tabs>
          <w:tab w:val="clear" w:pos="720"/>
          <w:tab w:val="left" w:pos="-360" w:leader="none"/>
        </w:tabs>
        <w:ind w:hanging="360" w:start="-360" w:end="-1710"/>
        <w:rPr/>
      </w:pPr>
      <w:r>
        <w:rPr>
          <w:b/>
        </w:rPr>
        <w:t>Loss Notification Requirements:</w:t>
      </w:r>
    </w:p>
    <w:p>
      <w:pPr>
        <w:pStyle w:val="Department"/>
        <w:ind w:hanging="630" w:start="-90" w:end="-1710"/>
        <w:rPr/>
      </w:pPr>
      <w:r>
        <w:rPr/>
      </w:r>
    </w:p>
    <w:p>
      <w:pPr>
        <w:pStyle w:val="Department"/>
        <w:numPr>
          <w:ilvl w:val="0"/>
          <w:numId w:val="3"/>
        </w:numPr>
        <w:tabs>
          <w:tab w:val="clear" w:pos="720"/>
          <w:tab w:val="left" w:pos="0" w:leader="none"/>
        </w:tabs>
        <w:ind w:hanging="360" w:start="0" w:end="-1710"/>
        <w:rPr>
          <w:b/>
        </w:rPr>
      </w:pPr>
      <w:r>
        <w:rPr>
          <w:b/>
        </w:rPr>
        <w:t>Daily Loss in any Commodity group or Portfolio:</w:t>
      </w:r>
    </w:p>
    <w:p>
      <w:pPr>
        <w:pStyle w:val="Department"/>
        <w:ind w:hanging="270" w:start="-90" w:end="-1710"/>
        <w:rPr>
          <w:b/>
        </w:rPr>
      </w:pPr>
      <w:r>
        <w:rPr>
          <w:b/>
        </w:rPr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Business Unit Office of the Chairman</w:t>
        <w:tab/>
        <w:t>100% of VaR</w:t>
        <w:tab/>
        <w:tab/>
        <w:tab/>
        <w:t>not specifically stated</w:t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Enron Corp. President</w:t>
        <w:tab/>
        <w:tab/>
        <w:tab/>
        <w:t>125% of VaR</w:t>
        <w:tab/>
        <w:tab/>
        <w:tab/>
        <w:t>50% of VaR</w:t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Enron Corp. Chairman</w:t>
        <w:tab/>
        <w:tab/>
        <w:tab/>
        <w:t xml:space="preserve">150% of VaR </w:t>
        <w:tab/>
        <w:tab/>
        <w:tab/>
        <w:t>75% of VaR</w:t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Audit Committee</w:t>
        <w:tab/>
        <w:tab/>
        <w:t>no reporting at commodity group level</w:t>
        <w:tab/>
        <w:t>all are reported quarterly</w:t>
      </w:r>
    </w:p>
    <w:p>
      <w:pPr>
        <w:pStyle w:val="Department"/>
        <w:tabs>
          <w:tab w:val="clear" w:pos="720"/>
          <w:tab w:val="left" w:pos="-180" w:leader="none"/>
        </w:tabs>
        <w:ind w:hanging="270" w:end="-1710"/>
        <w:rPr/>
      </w:pPr>
      <w:r>
        <w:rPr/>
        <w:tab/>
        <w:tab/>
        <w:tab/>
        <w:tab/>
        <w:tab/>
        <w:tab/>
        <w:tab/>
        <w:tab/>
        <w:tab/>
        <w:tab/>
        <w:tab/>
      </w:r>
    </w:p>
    <w:p>
      <w:pPr>
        <w:pStyle w:val="Department"/>
        <w:numPr>
          <w:ilvl w:val="0"/>
          <w:numId w:val="2"/>
        </w:numPr>
        <w:tabs>
          <w:tab w:val="clear" w:pos="720"/>
          <w:tab w:val="left" w:pos="90" w:leader="none"/>
        </w:tabs>
        <w:ind w:hanging="360" w:start="90" w:end="-1710"/>
        <w:rPr>
          <w:b/>
        </w:rPr>
      </w:pPr>
      <w:r>
        <w:rPr>
          <w:b/>
        </w:rPr>
        <w:t>Cumulative 5-day Loss in any Commodity Group or Portfolio:</w:t>
      </w:r>
    </w:p>
    <w:p>
      <w:pPr>
        <w:pStyle w:val="Department"/>
        <w:tabs>
          <w:tab w:val="clear" w:pos="720"/>
          <w:tab w:val="left" w:pos="-180" w:leader="none"/>
        </w:tabs>
        <w:ind w:hanging="270" w:end="-1710"/>
        <w:rPr>
          <w:b/>
        </w:rPr>
      </w:pPr>
      <w:r>
        <w:rPr>
          <w:b/>
        </w:rPr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Business Unit Office of the Chairman</w:t>
        <w:tab/>
        <w:t>125% of VaR</w:t>
        <w:tab/>
        <w:tab/>
        <w:tab/>
        <w:t>not specifically stated</w:t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Enron Corp. President</w:t>
        <w:tab/>
        <w:tab/>
        <w:tab/>
        <w:t>150% of VaR</w:t>
      </w:r>
      <w:r>
        <w:rPr>
          <w:b/>
        </w:rPr>
        <w:tab/>
      </w:r>
      <w:r>
        <w:rPr/>
        <w:tab/>
        <w:tab/>
        <w:t>75% of VaR</w:t>
      </w:r>
    </w:p>
    <w:p>
      <w:pPr>
        <w:pStyle w:val="Department"/>
        <w:numPr>
          <w:ilvl w:val="0"/>
          <w:numId w:val="8"/>
        </w:numPr>
        <w:tabs>
          <w:tab w:val="clear" w:pos="720"/>
          <w:tab w:val="left" w:pos="-180" w:leader="none"/>
        </w:tabs>
        <w:ind w:hanging="270" w:start="0" w:end="-1710"/>
        <w:rPr>
          <w:b/>
        </w:rPr>
      </w:pPr>
      <w:r>
        <w:rPr/>
        <w:t>Report to Enron Corp. Chairman</w:t>
        <w:tab/>
        <w:tab/>
        <w:tab/>
        <w:t>175% of VaR</w:t>
        <w:tab/>
        <w:tab/>
        <w:tab/>
        <w:t>100% of VaR</w:t>
      </w:r>
    </w:p>
    <w:p>
      <w:pPr>
        <w:pStyle w:val="Department"/>
        <w:numPr>
          <w:ilvl w:val="0"/>
          <w:numId w:val="6"/>
        </w:numPr>
        <w:tabs>
          <w:tab w:val="clear" w:pos="720"/>
          <w:tab w:val="left" w:pos="-180" w:leader="none"/>
        </w:tabs>
        <w:ind w:hanging="270" w:start="0" w:end="-1710"/>
        <w:rPr/>
      </w:pPr>
      <w:r>
        <w:rPr/>
        <w:t>Report to Audit Committee</w:t>
        <w:tab/>
        <w:tab/>
        <w:t xml:space="preserve">no reporting at commodity group level </w:t>
        <w:tab/>
        <w:t>all are reported quarterly</w:t>
      </w:r>
    </w:p>
    <w:p>
      <w:pPr>
        <w:pStyle w:val="Department"/>
        <w:tabs>
          <w:tab w:val="clear" w:pos="720"/>
          <w:tab w:val="left" w:pos="-180" w:leader="none"/>
        </w:tabs>
        <w:ind w:hanging="720" w:end="-1710"/>
        <w:rPr>
          <w:b/>
        </w:rPr>
      </w:pPr>
      <w:r>
        <w:rPr>
          <w:b/>
        </w:rPr>
      </w:r>
    </w:p>
    <w:p>
      <w:pPr>
        <w:pStyle w:val="Normal"/>
        <w:ind w:hanging="630" w:start="-90" w:end="-1710"/>
        <w:rPr>
          <w:b/>
        </w:rPr>
      </w:pPr>
      <w:r>
        <w:rPr>
          <w:b/>
        </w:rPr>
      </w:r>
    </w:p>
    <w:p>
      <w:pPr>
        <w:pStyle w:val="Normal"/>
        <w:ind w:end="-1710"/>
        <w:rPr/>
      </w:pPr>
      <w:r>
        <w:rPr/>
      </w:r>
    </w:p>
    <w:p>
      <w:pPr>
        <w:pStyle w:val="Normal"/>
        <w:ind w:hanging="630" w:start="-90" w:end="-1710"/>
        <w:rPr>
          <w:b/>
          <w:u w:val="single"/>
        </w:rPr>
      </w:pPr>
      <w:r>
        <w:rPr>
          <w:b/>
          <w:u w:val="single"/>
        </w:rPr>
        <w:t>February 13, 2001</w:t>
      </w:r>
    </w:p>
    <w:p>
      <w:pPr>
        <w:pStyle w:val="Normal"/>
        <w:tabs>
          <w:tab w:val="clear" w:pos="720"/>
          <w:tab w:val="left" w:pos="-360" w:leader="none"/>
        </w:tabs>
        <w:ind w:hanging="360" w:start="-360" w:end="0"/>
        <w:rPr>
          <w:b/>
          <w:color w:val="000000"/>
          <w:u w:val="single"/>
          <w:lang w:eastAsia="en-US"/>
        </w:rPr>
      </w:pPr>
      <w:r>
        <w:rPr>
          <w:b/>
          <w:color w:val="000000"/>
          <w:u w:val="single"/>
          <w:lang w:eastAsia="en-US"/>
        </w:rPr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  <w:t>Clarify the cross-commodity trading policy to specify that trading limits are to be applied against Enron’s consolidated commodity positions on an individual commodity group basis;  Enron’s consolidated Daily Position Report should provide required market risk disclosures by primary commodity group; (for example, Enron’s exposure to the North American Natural Gas market shall be aggregated across the company).</w:t>
      </w:r>
    </w:p>
    <w:p>
      <w:pPr>
        <w:pStyle w:val="Normal"/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9"/>
        </w:numPr>
        <w:tabs>
          <w:tab w:val="clear" w:pos="720"/>
          <w:tab w:val="left" w:pos="0" w:leader="none"/>
        </w:tabs>
        <w:ind w:hanging="360" w:start="0" w:end="0"/>
        <w:rPr>
          <w:color w:val="000000"/>
          <w:lang w:eastAsia="en-US"/>
        </w:rPr>
      </w:pPr>
      <w:r>
        <w:rPr>
          <w:color w:val="000000"/>
          <w:lang w:eastAsia="en-US"/>
        </w:rPr>
        <w:t>Delegate cross-commodity trading approval among established commodity groups to the respective Business Units Offices of the Chairman, with appropriate reporting to the Enron Corp. Chief Risk Officer.</w:t>
      </w:r>
    </w:p>
    <w:p>
      <w:pPr>
        <w:pStyle w:val="Normal"/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1"/>
        </w:numPr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  <w:t>Specify the operational control requirement that all trades executed over the telephone must be recorded electronically.</w:t>
      </w:r>
    </w:p>
    <w:p>
      <w:pPr>
        <w:pStyle w:val="Normal"/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  <w:t>Refine the calculation of Discretionary VaR available for allocation to consider portfolio diversification effect, VaR utilization, and other significant factors as determined by the Chief Risk Officer.</w:t>
      </w:r>
    </w:p>
    <w:p>
      <w:pPr>
        <w:pStyle w:val="Normal"/>
        <w:tabs>
          <w:tab w:val="clear" w:pos="720"/>
          <w:tab w:val="left" w:pos="-360" w:leader="none"/>
        </w:tabs>
        <w:ind w:hanging="360" w:start="-360" w:end="0"/>
        <w:rPr>
          <w:color w:val="000000"/>
          <w:lang w:eastAsia="en-US"/>
        </w:rPr>
      </w:pPr>
      <w:r>
        <w:rPr>
          <w:color w:val="000000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Monotype Sorts">
    <w:charset w:val="02"/>
    <w:family w:val="auto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2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5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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9">
    <w:lvl w:ilvl="0">
      <w:numFmt w:val="bullet"/>
      <w:lvlText w:val="–"/>
      <w:lvlJc w:val="start"/>
      <w:pPr>
        <w:tabs>
          <w:tab w:val="num" w:pos="720"/>
        </w:tabs>
        <w:ind w:start="0" w:hanging="0"/>
      </w:pPr>
      <w:rPr>
        <w:rFonts w:ascii="Arial" w:hAnsi="Arial" w:cs="Arial" w:hint="default"/>
        <w:sz w:val="26"/>
      </w:rPr>
    </w:lvl>
  </w:abstractNum>
  <w:abstractNum w:abstractNumId="1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Monotype Sorts" w:hAnsi="Monotype Sorts" w:cs="Monotype Sorts"/>
      <w:sz w:val="20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Monotype Sorts" w:hAnsi="Monotype Sorts" w:cs="Monotype Sorts"/>
      <w:sz w:val="20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Monotype Sorts" w:hAnsi="Monotype Sorts" w:cs="Monotype Sorts"/>
      <w:sz w:val="20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Monotype Sorts" w:hAnsi="Monotype Sorts" w:cs="Monotype Sorts"/>
      <w:sz w:val="20"/>
    </w:rPr>
  </w:style>
  <w:style w:type="character" w:styleId="WW8Num13z0">
    <w:name w:val="WW8Num13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St6z0">
    <w:name w:val="WW8NumSt6z0"/>
    <w:qFormat/>
    <w:rPr>
      <w:rFonts w:ascii="Arial" w:hAnsi="Arial" w:cs="Arial"/>
      <w:sz w:val="26"/>
    </w:rPr>
  </w:style>
  <w:style w:type="character" w:styleId="WW8NumSt7z0">
    <w:name w:val="WW8NumSt7z0"/>
    <w:qFormat/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Department">
    <w:name w:val="Department"/>
    <w:basedOn w:val="Normal"/>
    <w:qFormat/>
    <w:pPr/>
    <w:rPr/>
  </w:style>
  <w:style w:type="paragraph" w:styleId="BodyTextIndent">
    <w:name w:val="Body Text Indent"/>
    <w:basedOn w:val="Normal"/>
    <w:pPr>
      <w:ind w:hanging="0" w:start="-72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2001-02-16T18:26:00Z</dcterms:created>
  <dc:creator>cschult</dc:creator>
  <dc:description/>
  <dc:language>en-CA</dc:language>
  <cp:lastModifiedBy>cschult</cp:lastModifiedBy>
  <dcterms:modified xsi:type="dcterms:W3CDTF">2001-02-16T19:38:00Z</dcterms:modified>
  <cp:revision>7</cp:revision>
  <dc:subject/>
  <dc:title>Recap of Policy Changes from October to February:</dc:title>
</cp:coreProperties>
</file>