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00"/>
        <w:ind w:start="6480" w:end="0"/>
        <w:rPr>
          <w:sz w:val="24"/>
        </w:rPr>
      </w:pPr>
      <w:r>
        <w:rPr>
          <w:sz w:val="24"/>
        </w:rPr>
        <w:drawing>
          <wp:inline distT="0" distB="0" distL="0" distR="0">
            <wp:extent cx="1654175" cy="1471930"/>
            <wp:effectExtent l="0" t="0" r="0" b="0"/>
            <wp:docPr id="1" name="rppi%20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pi%20logo2" descr="" title=""/>
                    <pic:cNvPicPr>
                      <a:picLocks noChangeAspect="1" noChangeArrowheads="1"/>
                    </pic:cNvPicPr>
                  </pic:nvPicPr>
                  <pic:blipFill>
                    <a:blip r:embed="rId2"/>
                    <a:srcRect l="-17" t="-18" r="-17" b="-18"/>
                    <a:stretch>
                      <a:fillRect/>
                    </a:stretch>
                  </pic:blipFill>
                  <pic:spPr bwMode="auto">
                    <a:xfrm>
                      <a:off x="0" y="0"/>
                      <a:ext cx="1654175" cy="147193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8">
                <wp:simplePos x="0" y="0"/>
                <wp:positionH relativeFrom="column">
                  <wp:posOffset>-177165</wp:posOffset>
                </wp:positionH>
                <wp:positionV relativeFrom="paragraph">
                  <wp:posOffset>459740</wp:posOffset>
                </wp:positionV>
                <wp:extent cx="4114800" cy="1028700"/>
                <wp:effectExtent l="0" t="0" r="0" b="0"/>
                <wp:wrapNone/>
                <wp:docPr id="2" name="Frame1"/>
                <a:graphic xmlns:a="http://schemas.openxmlformats.org/drawingml/2006/main">
                  <a:graphicData uri="http://schemas.microsoft.com/office/word/2010/wordprocessingShape">
                    <wps:wsp>
                      <wps:cNvSpPr txBox="1"/>
                      <wps:spPr>
                        <a:xfrm>
                          <a:off x="0" y="0"/>
                          <a:ext cx="4114800" cy="1028700"/>
                        </a:xfrm>
                        <a:prstGeom prst="rect"/>
                        <a:solidFill>
                          <a:srgbClr val="FFFFFF"/>
                        </a:solidFill>
                      </wps:spPr>
                      <wps:txbx>
                        <w:txbxContent>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A Recipe for Blackouts &amp; Higher Long-run Costs</w:t>
                            </w:r>
                          </w:p>
                        </w:txbxContent>
                      </wps:txbx>
                      <wps:bodyPr anchor="t" lIns="92075" tIns="46355" rIns="92075" bIns="46355">
                        <a:noAutofit/>
                      </wps:bodyPr>
                    </wps:wsp>
                  </a:graphicData>
                </a:graphic>
              </wp:anchor>
            </w:drawing>
          </mc:Choice>
          <mc:Fallback>
            <w:pict>
              <v:rect fillcolor="#FFFFFF" style="position:absolute;rotation:-0;width:324pt;height:81pt;mso-wrap-distance-left:9.05pt;mso-wrap-distance-right:9.05pt;mso-wrap-distance-top:0pt;mso-wrap-distance-bottom:0pt;margin-top:36.2pt;mso-position-vertical-relative:text;margin-left:-13.95pt;mso-position-horizontal-relative:text">
                <v:textbox inset="0.100694444444444in,0.0506944444444444in,0.100694444444444in,0.0506944444444444in">
                  <w:txbxContent>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A Recipe for Blackouts &amp; Higher Long-run Costs</w:t>
                      </w:r>
                    </w:p>
                  </w:txbxContent>
                </v:textbox>
                <w10:wrap type="none"/>
              </v:rect>
            </w:pict>
          </mc:Fallback>
        </mc:AlternateContent>
      </w:r>
    </w:p>
    <w:p>
      <w:pPr>
        <w:pStyle w:val="Date"/>
        <w:spacing w:before="0" w:after="160"/>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BodyText2"/>
        <w:spacing w:lineRule="auto" w:line="240" w:before="0" w:after="0"/>
        <w:jc w:val="start"/>
        <w:rPr>
          <w:sz w:val="24"/>
        </w:rPr>
      </w:pPr>
      <w:r>
        <w:rPr>
          <w:sz w:val="24"/>
        </w:rPr>
      </w:r>
    </w:p>
    <w:p>
      <w:pPr>
        <w:pStyle w:val="BodyText2"/>
        <w:spacing w:lineRule="auto" w:line="240" w:before="0" w:after="0"/>
        <w:jc w:val="start"/>
        <w:rPr/>
      </w:pPr>
      <w:r>
        <w:rPr/>
        <w:t>Prices carry information through the economy.  They encapsulate data about raw costs, supply, demand, labor, culture, markets, and tradeoffs so complex that even today’s computers cannot completely unravel them.  In simplest form, prices help tell consumers when it makes sense to consume more or less of a good, while telling suppliers when to invest more or less in production.</w:t>
      </w:r>
    </w:p>
    <w:p>
      <w:pPr>
        <w:pStyle w:val="BodyText2"/>
        <w:spacing w:lineRule="auto" w:line="240" w:before="0" w:after="0"/>
        <w:jc w:val="start"/>
        <w:rPr/>
      </w:pPr>
      <w:r>
        <w:rPr/>
      </w:r>
    </w:p>
    <w:p>
      <w:pPr>
        <w:pStyle w:val="Normal"/>
        <w:tabs>
          <w:tab w:val="clear" w:pos="720"/>
          <w:tab w:val="left" w:pos="1080" w:leader="none"/>
        </w:tabs>
        <w:rPr>
          <w:b/>
          <w:sz w:val="24"/>
        </w:rPr>
      </w:pPr>
      <w:r>
        <w:rPr>
          <w:sz w:val="24"/>
        </w:rPr>
        <w:t>Prices carry accurate information when they are set naturally by the interaction of supply and demand.  The same information cannot successfully be reproduced by analysis and calculation in a rate-setting or price-controlling process.  Governmental price-setting at best creates a rough and inflexible approximation of a market price without any feedback from actual transactions from suppliers or purchasers.  Price controls have a centuries-long history of distorting and disrupting markets where competitive prices are possible—leading to shortages of supply, inadequate investment, over-consumption, and myriad other problems.</w:t>
      </w:r>
    </w:p>
    <w:p>
      <w:pPr>
        <w:pStyle w:val="Normal"/>
        <w:tabs>
          <w:tab w:val="clear" w:pos="720"/>
          <w:tab w:val="left" w:pos="1080" w:leader="none"/>
        </w:tabs>
        <w:rPr>
          <w:b/>
          <w:sz w:val="24"/>
        </w:rPr>
      </w:pPr>
      <w:r>
        <w:rPr>
          <w:b/>
          <w:sz w:val="24"/>
        </w:rPr>
      </w:r>
    </w:p>
    <w:p>
      <w:pPr>
        <w:pStyle w:val="Normal"/>
        <w:tabs>
          <w:tab w:val="clear" w:pos="720"/>
          <w:tab w:val="left" w:pos="1080" w:leader="none"/>
        </w:tabs>
        <w:rPr>
          <w:sz w:val="24"/>
        </w:rPr>
      </w:pPr>
      <w:r>
        <w:rPr>
          <w:sz w:val="24"/>
        </w:rPr>
        <w:t>In electricity markets, including California’s, these fundamental economic truths are the same. The electricity market in California—and to some extent the entire West—is currently dysfunctional, and the fix is to return to market basics, not to superimpose further distortions.</w:t>
      </w:r>
    </w:p>
    <w:p>
      <w:pPr>
        <w:pStyle w:val="Normal"/>
        <w:tabs>
          <w:tab w:val="clear" w:pos="720"/>
          <w:tab w:val="left" w:pos="1080" w:leader="none"/>
        </w:tabs>
        <w:rPr>
          <w:sz w:val="24"/>
        </w:rPr>
      </w:pPr>
      <w:r>
        <w:rPr>
          <w:sz w:val="24"/>
        </w:rPr>
      </w:r>
    </w:p>
    <w:p>
      <w:pPr>
        <w:pStyle w:val="BodyText2"/>
        <w:spacing w:lineRule="auto" w:line="240" w:before="0" w:after="0"/>
        <w:jc w:val="start"/>
        <w:rPr>
          <w:b/>
        </w:rPr>
      </w:pPr>
      <w:r>
        <w:rPr>
          <w:b/>
        </w:rPr>
        <w:t>Retail Price Caps in California Have Been a Disaster</w:t>
      </w:r>
    </w:p>
    <w:p>
      <w:pPr>
        <w:pStyle w:val="BodyText2"/>
        <w:spacing w:lineRule="auto" w:line="240" w:before="0" w:after="0"/>
        <w:jc w:val="start"/>
        <w:rPr>
          <w:b/>
        </w:rPr>
      </w:pPr>
      <w:r>
        <w:rPr>
          <w:b/>
        </w:rPr>
      </w:r>
    </w:p>
    <w:p>
      <w:pPr>
        <w:pStyle w:val="BodyText2"/>
        <w:spacing w:lineRule="auto" w:line="240" w:before="0" w:after="0"/>
        <w:jc w:val="start"/>
        <w:rPr/>
      </w:pPr>
      <w:r>
        <w:rPr/>
        <w:t>There is no question that retail price caps have exacerbated California’s energy crisis.  Analysts from all perspectives have shown how retail price caps disconnected consumer behavior from the realities of electricity costs and changes in wholesale prices—leading to increased, rather than decreased, consumption in a time of acute scarcity.  Increased consumption at prices below cost led to daily financial losses for the state’s electric utilities which in turn drove up wholesale prices even further.  Even the state’s Democratic leaders, who long sought to avoid price increases, have come forth and argued that the state’s electricity crisis cannot be solved without price increases.</w:t>
      </w:r>
    </w:p>
    <w:p>
      <w:pPr>
        <w:pStyle w:val="BodyText2"/>
        <w:spacing w:lineRule="auto" w:line="240" w:before="0" w:after="0"/>
        <w:jc w:val="start"/>
        <w:rPr/>
      </w:pPr>
      <w:r>
        <w:rPr/>
      </w:r>
    </w:p>
    <w:p>
      <w:pPr>
        <w:pStyle w:val="BodyText2"/>
        <w:spacing w:lineRule="auto" w:line="240" w:before="0" w:after="0"/>
        <w:jc w:val="start"/>
        <w:rPr/>
      </w:pPr>
      <w:r>
        <w:rPr/>
        <w:t>Sadly, each day under retail price caps has compounded the problem and made finding solutions more difficult.  While a 20 percent price increase might have rebalanced the market in November 2000, by March 2001 an up to 40 percent price increase would not have proved sufficient.</w:t>
      </w:r>
    </w:p>
    <w:p>
      <w:pPr>
        <w:pStyle w:val="BodyText2"/>
        <w:spacing w:lineRule="auto" w:line="240" w:before="0" w:after="0"/>
        <w:jc w:val="start"/>
        <w:rPr>
          <w:b/>
        </w:rPr>
      </w:pPr>
      <w:r>
        <w:rPr>
          <w:b/>
        </w:rPr>
      </w:r>
    </w:p>
    <w:p>
      <w:pPr>
        <w:pStyle w:val="BodyText2"/>
        <w:spacing w:lineRule="auto" w:line="240" w:before="0" w:after="0"/>
        <w:jc w:val="start"/>
        <w:rPr>
          <w:b/>
        </w:rPr>
      </w:pPr>
      <w:r>
        <w:rPr>
          <w:b/>
        </w:rPr>
        <w:t>Wholesale Price Caps Have Not Worked, Either</w:t>
      </w:r>
    </w:p>
    <w:p>
      <w:pPr>
        <w:pStyle w:val="BodyText2"/>
        <w:spacing w:lineRule="auto" w:line="240" w:before="0" w:after="0"/>
        <w:jc w:val="start"/>
        <w:rPr>
          <w:b/>
        </w:rPr>
      </w:pPr>
      <w:r>
        <w:rPr>
          <w:b/>
        </w:rPr>
      </w:r>
    </w:p>
    <w:p>
      <w:pPr>
        <w:pStyle w:val="BodyText2"/>
        <w:spacing w:lineRule="auto" w:line="240" w:before="0" w:after="0"/>
        <w:jc w:val="start"/>
        <w:rPr/>
      </w:pPr>
      <w:r>
        <w:rPr/>
        <w:t>As California’s wholesale power prices rose rapidly in the spring of 2000, the state Independent System Operator (ISO) was quick to impose a price cap.  The obvious and predictable effects of price controls quickly kicked in, and the amount of power supplied to the state dropped off as suppliers pursued more lucrative opportunities out-of-state.  Because consumer prices were not affected, consumers did not reduce demand, and acute scarcity turned into shortages.  The situation rapidly grew untenable, with ISO staff spending more time trying to hustle up power supplies than running the grid.  As supplies continued to fall, the ISO had to lift the caps to head off blackouts.  Contrast this unfolding of events with the previous “worst-case scenario” of the price spikes in the Midwest in the summer of 1998: price caps were not imposed, market prices attracted both power and investment to the region, and now new power plants are being built.  The price spike problem in the Midwest has not recurred.</w:t>
      </w:r>
    </w:p>
    <w:p>
      <w:pPr>
        <w:pStyle w:val="BodyText2"/>
        <w:spacing w:lineRule="auto" w:line="240" w:before="0" w:after="0"/>
        <w:jc w:val="start"/>
        <w:rPr/>
      </w:pPr>
      <w:r>
        <w:rPr/>
      </w:r>
    </w:p>
    <w:p>
      <w:pPr>
        <w:pStyle w:val="BodyText2"/>
        <w:spacing w:lineRule="auto" w:line="240" w:before="0" w:after="0"/>
        <w:jc w:val="start"/>
        <w:rPr/>
      </w:pPr>
      <w:r>
        <w:rPr/>
        <w:t xml:space="preserve">The extent to which price caps have reduced the supply of electricity in California is staggering.  Compared to the summer of 1999, net scheduled imports of electricity to California in the summer of 2000 fell 49 percent, and net real time imports fell 33 percent.  The main reason for these drops was the </w:t>
      </w:r>
      <w:r>
        <w:rPr>
          <w:i/>
        </w:rPr>
        <w:t xml:space="preserve">increase in exports </w:t>
      </w:r>
      <w:r>
        <w:rPr/>
        <w:t>from California.  The ISO’s wholesale caps had led generators to sell their power to neighboring states.</w:t>
      </w:r>
    </w:p>
    <w:p>
      <w:pPr>
        <w:pStyle w:val="BodyText2"/>
        <w:spacing w:lineRule="auto" w:line="240" w:before="0" w:after="0"/>
        <w:jc w:val="start"/>
        <w:rPr/>
      </w:pPr>
      <w:r>
        <w:rPr/>
      </w:r>
    </w:p>
    <w:p>
      <w:pPr>
        <w:pStyle w:val="BodyText2"/>
        <w:spacing w:lineRule="auto" w:line="240" w:before="0" w:after="0"/>
        <w:jc w:val="start"/>
        <w:rPr/>
      </w:pPr>
      <w:r>
        <w:rPr/>
        <w:t>Wholesale price caps not only led to diminished electricity supply but also failed to lower final consumer prices.  The caps lowered peak prices, but electricity sellers compensated by raising prices during off-peak times.</w:t>
      </w:r>
    </w:p>
    <w:p>
      <w:pPr>
        <w:pStyle w:val="BodyText2"/>
        <w:spacing w:lineRule="auto" w:line="240" w:before="0" w:after="0"/>
        <w:jc w:val="start"/>
        <w:rPr/>
      </w:pPr>
      <w:r>
        <w:rPr/>
      </w:r>
    </w:p>
    <w:p>
      <w:pPr>
        <w:pStyle w:val="BodyText2"/>
        <w:spacing w:lineRule="auto" w:line="240" w:before="0" w:after="0"/>
        <w:jc w:val="start"/>
        <w:rPr>
          <w:b/>
        </w:rPr>
      </w:pPr>
      <w:r>
        <w:rPr>
          <w:b/>
        </w:rPr>
        <w:t>Pathologies of Price Caps</w:t>
      </w:r>
    </w:p>
    <w:p>
      <w:pPr>
        <w:pStyle w:val="BodyText2"/>
        <w:spacing w:lineRule="auto" w:line="240" w:before="0" w:after="0"/>
        <w:jc w:val="start"/>
        <w:rPr/>
      </w:pPr>
      <w:r>
        <w:rPr/>
      </w:r>
    </w:p>
    <w:p>
      <w:pPr>
        <w:pStyle w:val="BodyText3"/>
        <w:rPr/>
      </w:pPr>
      <w:r>
        <w:rPr/>
        <w:t>The fundamental economic effects of price caps include:</w:t>
      </w:r>
    </w:p>
    <w:p>
      <w:pPr>
        <w:pStyle w:val="BodyText3"/>
        <w:rPr/>
      </w:pPr>
      <w:r>
        <w:rPr/>
      </w:r>
    </w:p>
    <w:p>
      <w:pPr>
        <w:pStyle w:val="BodyText3"/>
        <w:numPr>
          <w:ilvl w:val="0"/>
          <w:numId w:val="3"/>
        </w:numPr>
        <w:rPr/>
      </w:pPr>
      <w:r>
        <w:rPr/>
        <w:t xml:space="preserve">Reduced supply; </w:t>
      </w:r>
    </w:p>
    <w:p>
      <w:pPr>
        <w:pStyle w:val="BodyText3"/>
        <w:numPr>
          <w:ilvl w:val="0"/>
          <w:numId w:val="3"/>
        </w:numPr>
        <w:rPr/>
      </w:pPr>
      <w:r>
        <w:rPr/>
        <w:t xml:space="preserve">Less conservation; </w:t>
      </w:r>
    </w:p>
    <w:p>
      <w:pPr>
        <w:pStyle w:val="BodyText3"/>
        <w:numPr>
          <w:ilvl w:val="0"/>
          <w:numId w:val="3"/>
        </w:numPr>
        <w:rPr/>
      </w:pPr>
      <w:r>
        <w:rPr/>
        <w:t xml:space="preserve">Higher off-peak prices; and </w:t>
      </w:r>
    </w:p>
    <w:p>
      <w:pPr>
        <w:pStyle w:val="BodyText3"/>
        <w:numPr>
          <w:ilvl w:val="0"/>
          <w:numId w:val="3"/>
        </w:numPr>
        <w:rPr/>
      </w:pPr>
      <w:r>
        <w:rPr/>
        <w:t>Longer-term distortions of investment and resource-consuming, opportunistic behavior in the market.</w:t>
      </w:r>
    </w:p>
    <w:p>
      <w:pPr>
        <w:pStyle w:val="BodyText3"/>
        <w:tabs>
          <w:tab w:val="clear" w:pos="1080"/>
        </w:tabs>
        <w:rPr/>
      </w:pPr>
      <w:r>
        <w:rPr/>
      </w:r>
    </w:p>
    <w:p>
      <w:pPr>
        <w:pStyle w:val="BodyText3"/>
        <w:rPr/>
      </w:pPr>
      <w:r>
        <w:rPr/>
        <w:t>Moreover, each emerging negative effect of price caps begs for further government intervention and market distortions.  The fact that politically-set prices set in motion the problem is lost in the rhetoric of the day.  In California, the March 2001 retail price hikes of more than 40 percent will at best stanch the electricity system’s financial hemorrhage.  Just months earlier, a mere 20 percent price increase would probably have halted the crisis, but state leaders refused to raise prices sufficiently, even temporarily, instead searching in vain for a way to regulate the state out of the problem.</w:t>
      </w:r>
    </w:p>
    <w:p>
      <w:pPr>
        <w:pStyle w:val="BodyText3"/>
        <w:rPr/>
      </w:pPr>
      <w:r>
        <w:rPr/>
      </w:r>
    </w:p>
    <w:p>
      <w:pPr>
        <w:pStyle w:val="BodyText3"/>
        <w:rPr/>
      </w:pPr>
      <w:r>
        <w:rPr/>
        <w:t xml:space="preserve">In the summer of 2000, if prices had been set naturally by the market and competition encouraged, electricity prices would have risen earlier in response to reduced flows through hydro dams and higher natural gas prices.  Higher prices would have inspired conservation by consumers, pushing prices back down somewhat, and the entry of competitors to the generation market would have led to increased future supplies.  In the end, the volatility and pain experienced by the current electricity market would have been substantially less acute and of shorter duration than the state’s consumers are presently suffering under politicized prices.  Perhaps most importantly, the adjustment would not have entailed the blackouts California has endured and is likely to continue to endure, even with the recent rate increase.  </w:t>
      </w:r>
    </w:p>
    <w:p>
      <w:pPr>
        <w:pStyle w:val="BodyText3"/>
        <w:rPr/>
      </w:pPr>
      <w:r>
        <w:rPr/>
      </w:r>
    </w:p>
    <w:p>
      <w:pPr>
        <w:pStyle w:val="BodyText3"/>
        <w:rPr>
          <w:b/>
          <w:i/>
          <w:i/>
        </w:rPr>
      </w:pPr>
      <w:r>
        <w:rPr>
          <w:b/>
          <w:i/>
        </w:rPr>
        <w:t>Reduced supply of electricity</w:t>
      </w:r>
    </w:p>
    <w:p>
      <w:pPr>
        <w:pStyle w:val="BodyText3"/>
        <w:rPr>
          <w:b/>
          <w:i/>
          <w:i/>
        </w:rPr>
      </w:pPr>
      <w:r>
        <w:rPr>
          <w:b/>
          <w:i/>
        </w:rPr>
      </w:r>
    </w:p>
    <w:p>
      <w:pPr>
        <w:pStyle w:val="Normal"/>
        <w:tabs>
          <w:tab w:val="clear" w:pos="720"/>
          <w:tab w:val="left" w:pos="1080" w:leader="none"/>
        </w:tabs>
        <w:rPr>
          <w:sz w:val="24"/>
        </w:rPr>
      </w:pPr>
      <w:r>
        <w:rPr>
          <w:sz w:val="24"/>
        </w:rPr>
        <w:t xml:space="preserve">There can be no doubt that price controls reduce supply—the most basic models of supply and demand teach this to college freshmen in economics classes.  One need only recall the lines at gasoline stations brought about by gasoline price caps during World War I, World War II, and the oil shocks of the 1970s.  </w:t>
      </w:r>
    </w:p>
    <w:p>
      <w:pPr>
        <w:pStyle w:val="BodyText2"/>
        <w:spacing w:lineRule="auto" w:line="240" w:before="0" w:after="0"/>
        <w:jc w:val="start"/>
        <w:rPr>
          <w:sz w:val="24"/>
        </w:rPr>
      </w:pPr>
      <w:r>
        <w:rPr>
          <w:sz w:val="24"/>
        </w:rPr>
      </w:r>
    </w:p>
    <w:p>
      <w:pPr>
        <w:pStyle w:val="BodyText2"/>
        <w:spacing w:lineRule="auto" w:line="240"/>
        <w:jc w:val="start"/>
        <w:rPr/>
      </w:pPr>
      <w:r>
        <w:rPr/>
        <w:t>In California, wholesale and retail price controls have reduced supply in three ways:</w:t>
      </w:r>
    </w:p>
    <w:p>
      <w:pPr>
        <w:pStyle w:val="BodyText2"/>
        <w:spacing w:lineRule="auto" w:line="240"/>
        <w:ind w:hanging="270" w:start="810" w:end="0"/>
        <w:jc w:val="start"/>
        <w:rPr/>
      </w:pPr>
      <w:r>
        <w:rPr>
          <w:b/>
        </w:rPr>
        <w:t xml:space="preserve">• </w:t>
      </w:r>
      <w:r>
        <w:rPr>
          <w:b/>
        </w:rPr>
        <w:tab/>
        <w:t>Discouraged Entry.</w:t>
      </w:r>
      <w:r>
        <w:rPr/>
        <w:t xml:space="preserve">  Price controls discouraged new firms from entering the California market, so customers have never really been offered meaningful choices among electricity providers.  The California Energy Commission itself, while supporting price controls, stated, “price caps will stifle needed entry.”</w:t>
      </w:r>
    </w:p>
    <w:p>
      <w:pPr>
        <w:pStyle w:val="BodyText2"/>
        <w:spacing w:lineRule="auto" w:line="240"/>
        <w:ind w:hanging="270" w:start="810" w:end="0"/>
        <w:jc w:val="start"/>
        <w:rPr/>
      </w:pPr>
      <w:r>
        <w:rPr>
          <w:b/>
        </w:rPr>
        <w:t xml:space="preserve">• </w:t>
      </w:r>
      <w:r>
        <w:rPr>
          <w:b/>
        </w:rPr>
        <w:tab/>
        <w:t>Reduced Incentives to Invest.</w:t>
      </w:r>
      <w:r>
        <w:rPr/>
        <w:t xml:space="preserve">  In a free market, as demand expands, prices will rise until supply expands as well.  The rising prices tell producers it is time to add capacity and give the ones who best estimate future demand better returns on their investments.  But with price controls in place, suppliers see no such signals.  Instead, they can invest the same money in building power plants elsewhere where there are no price caps to minimize their return on the investment.  And electricity plants have unique risks—some plants will not run all year, only going online when demand reaches high levels.  Those plants have to cover a whole year’s costs (fixed and variable) in those limited hours of operation, and prices must go up at such times of high demand to balance things out.  But that balance is knocked flat by controls that don’t allow prices to fluctuate with supply and demand.</w:t>
      </w:r>
    </w:p>
    <w:p>
      <w:pPr>
        <w:pStyle w:val="BodyText2"/>
        <w:spacing w:lineRule="auto" w:line="240"/>
        <w:ind w:hanging="270" w:start="810" w:end="0"/>
        <w:jc w:val="start"/>
        <w:rPr/>
      </w:pPr>
      <w:r>
        <w:rPr>
          <w:b/>
        </w:rPr>
        <w:t xml:space="preserve">• </w:t>
      </w:r>
      <w:r>
        <w:rPr>
          <w:b/>
        </w:rPr>
        <w:tab/>
        <w:t>Reduced Incentive to Import.</w:t>
      </w:r>
      <w:r>
        <w:rPr/>
        <w:t xml:space="preserve">  Why build new power lines to move power into California if you can make as much money from selling the electricity in the state where it is generated?  As stated earlier, in the summer of 2000, net scheduled imports of electricity to California fell 49 percent, and net real time imports fell 33 percent, compared to the previous summer, due to the increase in exports</w:t>
      </w:r>
      <w:r>
        <w:rPr>
          <w:i/>
        </w:rPr>
        <w:t xml:space="preserve"> </w:t>
      </w:r>
      <w:r>
        <w:rPr/>
        <w:t xml:space="preserve">from California.  </w:t>
      </w:r>
    </w:p>
    <w:p>
      <w:pPr>
        <w:pStyle w:val="BodyText2"/>
        <w:spacing w:lineRule="auto" w:line="240" w:before="0" w:after="0"/>
        <w:jc w:val="start"/>
        <w:rPr/>
      </w:pPr>
      <w:r>
        <w:rPr/>
      </w:r>
    </w:p>
    <w:p>
      <w:pPr>
        <w:pStyle w:val="BodyText2"/>
        <w:spacing w:lineRule="auto" w:line="240" w:before="0" w:after="0"/>
        <w:jc w:val="start"/>
        <w:rPr>
          <w:b/>
          <w:i/>
          <w:i/>
        </w:rPr>
      </w:pPr>
      <w:r>
        <w:rPr>
          <w:b/>
          <w:i/>
        </w:rPr>
        <w:t>Foregone conservation</w:t>
      </w:r>
    </w:p>
    <w:p>
      <w:pPr>
        <w:pStyle w:val="BodyText2"/>
        <w:spacing w:lineRule="auto" w:line="240" w:before="0" w:after="0"/>
        <w:jc w:val="start"/>
        <w:rPr>
          <w:b/>
          <w:i/>
          <w:i/>
        </w:rPr>
      </w:pPr>
      <w:r>
        <w:rPr>
          <w:b/>
          <w:i/>
        </w:rPr>
      </w:r>
    </w:p>
    <w:p>
      <w:pPr>
        <w:pStyle w:val="BodyText2"/>
        <w:spacing w:lineRule="auto" w:line="240" w:before="0" w:after="0"/>
        <w:jc w:val="start"/>
        <w:rPr/>
      </w:pPr>
      <w:r>
        <w:rPr/>
        <w:t xml:space="preserve">While consumption of electricity is slow to change in response to price increases, it does change.  When prices go up, consumption goes down.  This response is important for Californians to understand, not only because it will help prevent blackouts (the only means besides consumer conservation to ration supply in a shortage), but also because a drop in demand will return the wholesale market to competitive prices.  </w:t>
      </w:r>
    </w:p>
    <w:p>
      <w:pPr>
        <w:pStyle w:val="BodyText2"/>
        <w:spacing w:lineRule="auto" w:line="240" w:before="0" w:after="0"/>
        <w:jc w:val="start"/>
        <w:rPr/>
      </w:pPr>
      <w:r>
        <w:rPr/>
      </w:r>
    </w:p>
    <w:p>
      <w:pPr>
        <w:pStyle w:val="BodyText2"/>
        <w:spacing w:lineRule="auto" w:line="240" w:before="0" w:after="0"/>
        <w:jc w:val="start"/>
        <w:rPr/>
      </w:pPr>
      <w:r>
        <w:rPr/>
        <w:t>Most people understand disjointed parts of this story—that rising demand drives up prices and that reducing demand will drive prices back down—but tend to ignore or dislike the consumer-response part of the story.  Thus we have seen a profusion of news articles, media reports, and opinion pieces over the last year emphasizing the need to conserve power, but very rarely pointing out that customers who see their prices go up have the best incentive to conserve.  Indeed, policy prescriptions aimed at conservation tend to emphasize subsidies, or bribes, to get consumers to conserve.  State Senator Debra Bowen, chair of the Senate Energy, Utilities and Communications Committee, proposes “loans or outright grants to residents and business owners so that they can purchase more energy-efficient appliances and systems.”  The idea that market prices alone would more effectively and efficiently motivate consumers to purchase energy-efficient appliances and systems apparently eludes her and many others.</w:t>
      </w:r>
    </w:p>
    <w:p>
      <w:pPr>
        <w:pStyle w:val="BodyText2"/>
        <w:spacing w:lineRule="auto" w:line="240" w:before="0" w:after="0"/>
        <w:jc w:val="start"/>
        <w:rPr/>
      </w:pPr>
      <w:r>
        <w:rPr/>
      </w:r>
    </w:p>
    <w:p>
      <w:pPr>
        <w:pStyle w:val="BodyText2"/>
        <w:spacing w:lineRule="auto" w:line="240" w:before="0" w:after="0"/>
        <w:jc w:val="start"/>
        <w:rPr>
          <w:b/>
          <w:i/>
          <w:i/>
        </w:rPr>
      </w:pPr>
      <w:r>
        <w:rPr>
          <w:b/>
          <w:i/>
        </w:rPr>
        <w:t>Price caps as price floors</w:t>
      </w:r>
    </w:p>
    <w:p>
      <w:pPr>
        <w:pStyle w:val="BodyText2"/>
        <w:spacing w:lineRule="auto" w:line="240" w:before="0" w:after="0"/>
        <w:jc w:val="start"/>
        <w:rPr>
          <w:b/>
          <w:i/>
          <w:i/>
        </w:rPr>
      </w:pPr>
      <w:r>
        <w:rPr>
          <w:b/>
          <w:i/>
        </w:rPr>
      </w:r>
    </w:p>
    <w:p>
      <w:pPr>
        <w:pStyle w:val="BodyText2"/>
        <w:spacing w:lineRule="auto" w:line="240" w:before="0" w:after="0"/>
        <w:jc w:val="start"/>
        <w:rPr/>
      </w:pPr>
      <w:r>
        <w:rPr/>
        <w:t xml:space="preserve">Even if power generation costs fall so that competitive prices go below the level of price caps, the caps themselves provide an easy point for power sellers to orient toward.  There is rich empirical literature showing the tendency of prices to move towards such targets.  In California, the March analysis by the state auditor shows that this is precisely what occurred in the state electricity market when wholesale caps were in place.  Moreover, since prices fluctuate during the day, lower off peak and higher on peak, price caps tend to limit price rises during the peak but exacerbate them during off-peak hours as power providers compensate for lower peak prices. </w:t>
      </w:r>
    </w:p>
    <w:p>
      <w:pPr>
        <w:pStyle w:val="BodyText2"/>
        <w:spacing w:lineRule="auto" w:line="240" w:before="0" w:after="0"/>
        <w:jc w:val="start"/>
        <w:rPr>
          <w:i/>
          <w:i/>
        </w:rPr>
      </w:pPr>
      <w:r>
        <w:rPr>
          <w:i/>
        </w:rPr>
      </w:r>
    </w:p>
    <w:p>
      <w:pPr>
        <w:pStyle w:val="BodyText2"/>
        <w:spacing w:lineRule="auto" w:line="240" w:before="0" w:after="0"/>
        <w:jc w:val="start"/>
        <w:rPr>
          <w:b/>
          <w:i/>
          <w:i/>
        </w:rPr>
      </w:pPr>
      <w:r>
        <w:rPr>
          <w:b/>
          <w:i/>
        </w:rPr>
        <w:t>Long-term effects</w:t>
      </w:r>
    </w:p>
    <w:p>
      <w:pPr>
        <w:pStyle w:val="BodyText2"/>
        <w:spacing w:lineRule="auto" w:line="240" w:before="0" w:after="0"/>
        <w:jc w:val="start"/>
        <w:rPr>
          <w:b/>
          <w:i/>
          <w:i/>
        </w:rPr>
      </w:pPr>
      <w:r>
        <w:rPr>
          <w:b/>
          <w:i/>
        </w:rPr>
      </w:r>
    </w:p>
    <w:p>
      <w:pPr>
        <w:pStyle w:val="BodyText2"/>
        <w:spacing w:lineRule="auto" w:line="240" w:before="0" w:after="0"/>
        <w:jc w:val="start"/>
        <w:rPr/>
      </w:pPr>
      <w:r>
        <w:rPr/>
        <w:t xml:space="preserve">With retail price controls in effect, suppliers know that demand will not respond to higher wholesale prices—only the utilities (and now the state, as purchaser of some of the load) will pay the higher prices.  Since prices don’t change for consumers, consumers don’t use less electricity; thus there is no downside to the seller for raising prices.  And this is not just a short-term phenomenon.  Anticipating that future spot prices will remain high as demand remains high, sellers have no incentive to offer lower long-term prices.  </w:t>
      </w:r>
    </w:p>
    <w:p>
      <w:pPr>
        <w:pStyle w:val="BodyText2"/>
        <w:spacing w:lineRule="auto" w:line="240" w:before="0" w:after="0"/>
        <w:jc w:val="start"/>
        <w:rPr/>
      </w:pPr>
      <w:r>
        <w:rPr/>
      </w:r>
    </w:p>
    <w:p>
      <w:pPr>
        <w:pStyle w:val="BodyText2"/>
        <w:spacing w:lineRule="auto" w:line="240" w:before="0" w:after="0"/>
        <w:jc w:val="start"/>
        <w:rPr>
          <w:b/>
          <w:i/>
          <w:i/>
        </w:rPr>
      </w:pPr>
      <w:r>
        <w:rPr>
          <w:b/>
          <w:i/>
        </w:rPr>
        <w:t>Inadequacy of cost-based rates</w:t>
      </w:r>
    </w:p>
    <w:p>
      <w:pPr>
        <w:pStyle w:val="BodyText2"/>
        <w:spacing w:lineRule="auto" w:line="240" w:before="0" w:after="0"/>
        <w:jc w:val="start"/>
        <w:rPr>
          <w:b/>
          <w:i/>
          <w:i/>
        </w:rPr>
      </w:pPr>
      <w:r>
        <w:rPr>
          <w:b/>
          <w:i/>
        </w:rPr>
      </w:r>
    </w:p>
    <w:p>
      <w:pPr>
        <w:pStyle w:val="BodyText2"/>
        <w:spacing w:lineRule="auto" w:line="240" w:before="0" w:after="0"/>
        <w:jc w:val="start"/>
        <w:rPr/>
      </w:pPr>
      <w:r>
        <w:rPr/>
        <w:t>Under cost-based regulation, California had rates that were double those of neighboring states and among the highest in the nation.  The primary motive for deregulation is to create a competitive business, not a natural monopoly, wherein such regulation no longer makes sense.  Other states that have deregulated properly have not needed to institute wholesale price caps.</w:t>
      </w:r>
    </w:p>
    <w:p>
      <w:pPr>
        <w:pStyle w:val="BodyText2"/>
        <w:spacing w:lineRule="auto" w:line="240" w:before="0" w:after="0"/>
        <w:jc w:val="start"/>
        <w:rPr/>
      </w:pPr>
      <w:r>
        <w:rPr/>
      </w:r>
    </w:p>
    <w:p>
      <w:pPr>
        <w:pStyle w:val="Normal"/>
        <w:rPr/>
      </w:pPr>
      <w:r>
        <w:rPr>
          <w:sz w:val="24"/>
        </w:rPr>
        <w:t xml:space="preserve">Just as significantly, recent calls for cost-based rates are predicated on the existence of market power.  But the few reports that have claimed to find power in the California wholesale market take only the broadest look at the market, assuming a simple market-pricing structure that is very far from reality.  Indeed, research by University of California/Berkeley’s California Energy Institute found no consistent pattern of power sellers manipulating the market.  Further, California State University economists have analyzed the myriad of bidding and pricing options available to power sellers in California and found that between 450 and 1,000 bidding decisions are available </w:t>
      </w:r>
      <w:r>
        <w:rPr>
          <w:i/>
          <w:sz w:val="24"/>
        </w:rPr>
        <w:t>each day</w:t>
      </w:r>
      <w:r>
        <w:rPr>
          <w:sz w:val="24"/>
        </w:rPr>
        <w:t xml:space="preserve"> in California’s market.  The kinds of models used by the reports that support market power take into account only a handful of these myriad bidding choices, and so cannot</w:t>
      </w:r>
      <w:r>
        <w:rPr/>
        <w:t xml:space="preserve"> </w:t>
      </w:r>
      <w:r>
        <w:rPr>
          <w:sz w:val="24"/>
        </w:rPr>
        <w:t>distinguish between market manipulation and good decisions about bidding opportunities.</w:t>
      </w:r>
    </w:p>
    <w:p>
      <w:pPr>
        <w:pStyle w:val="BodyText2"/>
        <w:spacing w:lineRule="auto" w:line="240" w:before="0" w:after="0"/>
        <w:jc w:val="start"/>
        <w:rPr/>
      </w:pPr>
      <w:r>
        <w:rPr/>
      </w:r>
    </w:p>
    <w:p>
      <w:pPr>
        <w:pStyle w:val="BodyText2"/>
        <w:spacing w:lineRule="auto" w:line="240" w:before="0" w:after="0"/>
        <w:jc w:val="start"/>
        <w:rPr>
          <w:b/>
        </w:rPr>
      </w:pPr>
      <w:r>
        <w:rPr>
          <w:b/>
        </w:rPr>
        <w:t>Conclusion</w:t>
      </w:r>
    </w:p>
    <w:p>
      <w:pPr>
        <w:pStyle w:val="BodyText2"/>
        <w:spacing w:lineRule="auto" w:line="240" w:before="0" w:after="0"/>
        <w:jc w:val="start"/>
        <w:rPr>
          <w:b/>
        </w:rPr>
      </w:pPr>
      <w:r>
        <w:rPr>
          <w:b/>
        </w:rPr>
      </w:r>
    </w:p>
    <w:p>
      <w:pPr>
        <w:pStyle w:val="BodyText2"/>
        <w:spacing w:lineRule="auto" w:line="240"/>
        <w:jc w:val="start"/>
        <w:rPr/>
      </w:pPr>
      <w:r>
        <w:rPr/>
        <w:t>The simple fact is that price caps do more harm than good by discouraging supply and reduction of consumption in times of shortage.  The only certain effects of wholesale price caps in California today are:</w:t>
      </w:r>
    </w:p>
    <w:p>
      <w:pPr>
        <w:pStyle w:val="BodyText2"/>
        <w:numPr>
          <w:ilvl w:val="0"/>
          <w:numId w:val="4"/>
        </w:numPr>
        <w:spacing w:lineRule="auto" w:line="240"/>
        <w:jc w:val="start"/>
        <w:rPr/>
      </w:pPr>
      <w:r>
        <w:rPr>
          <w:u w:val="single"/>
        </w:rPr>
        <w:t>In the short run</w:t>
      </w:r>
      <w:r>
        <w:rPr/>
        <w:t>:  Blackouts.</w:t>
      </w:r>
    </w:p>
    <w:p>
      <w:pPr>
        <w:pStyle w:val="BodyText2"/>
        <w:numPr>
          <w:ilvl w:val="0"/>
          <w:numId w:val="4"/>
        </w:numPr>
        <w:spacing w:lineRule="auto" w:line="240"/>
        <w:jc w:val="start"/>
        <w:rPr/>
      </w:pPr>
      <w:r>
        <w:rPr>
          <w:u w:val="single"/>
        </w:rPr>
        <w:t>In the long run</w:t>
      </w:r>
      <w:r>
        <w:rPr/>
        <w:t>:  Diminished investment in new generating capacity, future shortages, and other market distortions, leading to pressure for more government intervention in the electricity market.</w:t>
      </w:r>
    </w:p>
    <w:p>
      <w:pPr>
        <w:pStyle w:val="BodyText2"/>
        <w:spacing w:lineRule="auto" w:line="240" w:before="0" w:after="0"/>
        <w:jc w:val="start"/>
        <w:rPr/>
      </w:pPr>
      <w:r>
        <w:rPr/>
      </w:r>
    </w:p>
    <w:p>
      <w:pPr>
        <w:pStyle w:val="BodyText2"/>
        <w:spacing w:lineRule="auto" w:line="240" w:before="0" w:after="0"/>
        <w:jc w:val="start"/>
        <w:rPr>
          <w:b/>
        </w:rPr>
      </w:pPr>
      <w:r>
        <w:rPr>
          <w:b/>
        </w:rPr>
        <w:t>Recommendations</w:t>
      </w:r>
    </w:p>
    <w:p>
      <w:pPr>
        <w:pStyle w:val="BodyText2"/>
        <w:spacing w:lineRule="auto" w:line="240" w:before="0" w:after="0"/>
        <w:jc w:val="start"/>
        <w:rPr>
          <w:b/>
        </w:rPr>
      </w:pPr>
      <w:r>
        <w:rPr>
          <w:b/>
        </w:rPr>
      </w:r>
    </w:p>
    <w:p>
      <w:pPr>
        <w:pStyle w:val="BodyText2"/>
        <w:spacing w:lineRule="auto" w:line="240" w:before="0" w:after="0"/>
        <w:jc w:val="start"/>
        <w:rPr/>
      </w:pPr>
      <w:r>
        <w:rPr/>
        <w:t>If price caps are not the solution, what is?</w:t>
      </w:r>
    </w:p>
    <w:p>
      <w:pPr>
        <w:pStyle w:val="BodyText2"/>
        <w:spacing w:lineRule="auto" w:line="240" w:before="0" w:after="0"/>
        <w:jc w:val="start"/>
        <w:rPr/>
      </w:pPr>
      <w:r>
        <w:rPr/>
      </w:r>
    </w:p>
    <w:p>
      <w:pPr>
        <w:pStyle w:val="BodyText2"/>
        <w:spacing w:lineRule="auto" w:line="240" w:before="0" w:after="0"/>
        <w:jc w:val="start"/>
        <w:rPr/>
      </w:pPr>
      <w:r>
        <w:rPr/>
        <w:t>California has to choose between two directions for its electricity market in order to move out of its current dysfunctional state.  One is a state takeover of the market (which is the direction Governor Gray Davis’s policies are leading); the other is a transition back to a truly deregulated generation market with real choices for customers.  Given the success of electricity deregulation generation in other states and other nations, there is no reason why California should not pursue that course, other than psychological resistance to what might initially feel like backtracking.  The transition will not be easy, however.  Following are a few key recommendations.</w:t>
      </w:r>
    </w:p>
    <w:p>
      <w:pPr>
        <w:pStyle w:val="BodyText2"/>
        <w:spacing w:lineRule="auto" w:line="240" w:before="0" w:after="0"/>
        <w:jc w:val="start"/>
        <w:rPr/>
      </w:pPr>
      <w:r>
        <w:rPr/>
      </w:r>
    </w:p>
    <w:p>
      <w:pPr>
        <w:pStyle w:val="BodyText2"/>
        <w:spacing w:lineRule="auto" w:line="240" w:before="0" w:after="0"/>
        <w:jc w:val="start"/>
        <w:rPr>
          <w:b/>
          <w:i/>
          <w:i/>
          <w:iCs/>
        </w:rPr>
      </w:pPr>
      <w:r>
        <w:rPr>
          <w:b/>
          <w:i/>
          <w:iCs/>
        </w:rPr>
        <w:t>At the federal level:</w:t>
      </w:r>
    </w:p>
    <w:p>
      <w:pPr>
        <w:pStyle w:val="BodyText2"/>
        <w:spacing w:lineRule="auto" w:line="240" w:before="0" w:after="0"/>
        <w:jc w:val="start"/>
        <w:rPr>
          <w:b/>
          <w:i/>
          <w:i/>
          <w:iCs/>
        </w:rPr>
      </w:pPr>
      <w:r>
        <w:rPr>
          <w:b/>
          <w:i/>
          <w:iCs/>
        </w:rPr>
      </w:r>
    </w:p>
    <w:p>
      <w:pPr>
        <w:pStyle w:val="BodyText2"/>
        <w:numPr>
          <w:ilvl w:val="0"/>
          <w:numId w:val="5"/>
        </w:numPr>
        <w:spacing w:lineRule="auto" w:line="240"/>
        <w:jc w:val="start"/>
        <w:rPr/>
      </w:pPr>
      <w:r>
        <w:rPr>
          <w:u w:val="single"/>
        </w:rPr>
        <w:t>Sustain a competitive, deregulated wholesale electricity market.</w:t>
      </w:r>
      <w:r>
        <w:rPr/>
        <w:t xml:space="preserve">   Few would be questioning the benefits of the Federal Energy Regulatory Commission (FERC)’s partial deregulation of national electricity wholesale markets if not for California’s failed experiment with “half slave-half free” retail electricity market restructuring.  The situation in California and the West is a consequence of California’s flawed experience, and political responses and should not indict wholesale market deregulation (when properly instituted) or threaten the benefits most states have received from it.  .  In fact, California highlights the need for FERC to complete the opening of the wholesale power market by eliminating policies that favor some players and which inhibit upgrading transmission networks.  </w:t>
      </w:r>
    </w:p>
    <w:p>
      <w:pPr>
        <w:pStyle w:val="BodyText2"/>
        <w:numPr>
          <w:ilvl w:val="0"/>
          <w:numId w:val="5"/>
        </w:numPr>
        <w:spacing w:lineRule="auto" w:line="240"/>
        <w:jc w:val="start"/>
        <w:rPr/>
      </w:pPr>
      <w:r>
        <w:rPr>
          <w:u w:val="single"/>
        </w:rPr>
        <w:t xml:space="preserve">Create incentives to improve the transmission grid. </w:t>
      </w:r>
      <w:r>
        <w:rPr/>
        <w:t xml:space="preserve"> Wholesale electricity competition is constrained by the inability of the national grid to efficiently manage power flows that the market demands in real time, and to accommodate longer-term shifts in supply and demand.  This is fundamentally an interstate issue, and the federal government must move more quickly to hammer out acceptable policies governing transmission assets, access, and investment that both ensure reliability and provide investors in new transmission capacity with sufficient financial returns and regulatory certainty.</w:t>
      </w:r>
    </w:p>
    <w:p>
      <w:pPr>
        <w:pStyle w:val="BodyText2"/>
        <w:numPr>
          <w:ilvl w:val="0"/>
          <w:numId w:val="5"/>
        </w:numPr>
        <w:spacing w:lineRule="auto" w:line="240"/>
        <w:jc w:val="start"/>
        <w:rPr/>
      </w:pPr>
      <w:r>
        <w:rPr>
          <w:u w:val="single"/>
        </w:rPr>
        <w:t>Do not hinder generation capacity markets.</w:t>
      </w:r>
      <w:r>
        <w:rPr/>
        <w:t xml:space="preserve">  While the needs and issues of electricity generation cannot drive the entire nation’s energy and environmental policies, there should be accommodation for adding new generation capacity.  Facilitating new generation capacity will speed the replacement of old, dirty, and inefficient plants with new, cleaner, efficient plants—resulting in more power from less fuel and less emissions.</w:t>
      </w:r>
    </w:p>
    <w:p>
      <w:pPr>
        <w:pStyle w:val="BodyText2"/>
        <w:spacing w:lineRule="auto" w:line="240"/>
        <w:jc w:val="start"/>
        <w:rPr/>
      </w:pPr>
      <w:r>
        <w:rPr/>
      </w:r>
    </w:p>
    <w:p>
      <w:pPr>
        <w:pStyle w:val="BodyText2"/>
        <w:spacing w:lineRule="auto" w:line="240" w:before="0" w:after="0"/>
        <w:jc w:val="start"/>
        <w:rPr>
          <w:b/>
          <w:i/>
          <w:i/>
          <w:iCs/>
        </w:rPr>
      </w:pPr>
      <w:r>
        <w:rPr>
          <w:b/>
          <w:i/>
          <w:iCs/>
        </w:rPr>
        <w:t>At the state level:</w:t>
      </w:r>
    </w:p>
    <w:p>
      <w:pPr>
        <w:pStyle w:val="BodyText2"/>
        <w:spacing w:lineRule="auto" w:line="240" w:before="0" w:after="0"/>
        <w:jc w:val="start"/>
        <w:rPr>
          <w:b/>
          <w:i/>
          <w:i/>
          <w:iCs/>
        </w:rPr>
      </w:pPr>
      <w:r>
        <w:rPr>
          <w:b/>
          <w:i/>
          <w:iCs/>
        </w:rPr>
      </w:r>
    </w:p>
    <w:p>
      <w:pPr>
        <w:pStyle w:val="Normal"/>
        <w:numPr>
          <w:ilvl w:val="0"/>
          <w:numId w:val="2"/>
        </w:numPr>
        <w:spacing w:before="0" w:after="120"/>
        <w:rPr>
          <w:sz w:val="24"/>
        </w:rPr>
      </w:pPr>
      <w:r>
        <w:rPr>
          <w:sz w:val="24"/>
          <w:u w:val="single"/>
        </w:rPr>
        <w:t>Articulate a vision of moving toward competition that will alleviate concerns about regulatory intervention.</w:t>
      </w:r>
      <w:r>
        <w:rPr>
          <w:sz w:val="24"/>
        </w:rPr>
        <w:t xml:space="preserve">  Too many state leaders are offering isolated policy ideas, would-be “silver bullets,” and conflicting proposals that fail to tell the market in what direction policy is moving and what result is sought.  Inflammatory, populist rhetoric by state leaders, replete with threats of interventions, only exacerbates uncertainty about California’s electricity market.  A clear and well-articulated set of goals to reach the desired end will help coordinate policy proposals and reassure the public and the market.  Creating a retail market rich in choices for consumers must remain the primary objective of California’s policymakers.</w:t>
      </w:r>
    </w:p>
    <w:p>
      <w:pPr>
        <w:pStyle w:val="Normal"/>
        <w:numPr>
          <w:ilvl w:val="0"/>
          <w:numId w:val="2"/>
        </w:numPr>
        <w:spacing w:before="0" w:after="120"/>
        <w:rPr>
          <w:sz w:val="24"/>
          <w:u w:val="single"/>
        </w:rPr>
      </w:pPr>
      <w:r>
        <w:rPr>
          <w:sz w:val="24"/>
          <w:u w:val="single"/>
        </w:rPr>
        <w:t>Create a plan for phasing out retail price caps.</w:t>
      </w:r>
      <w:r>
        <w:rPr>
          <w:sz w:val="24"/>
        </w:rPr>
        <w:t xml:space="preserve">  In the short run, price caps only guarantee that utilities and the state will continue to bleed red ink, suppliers will look for other markets in which to sell, and consumers will have little incentive to conserve electricity.  </w:t>
      </w:r>
    </w:p>
    <w:p>
      <w:pPr>
        <w:pStyle w:val="BodyTextIndent2"/>
        <w:rPr/>
      </w:pPr>
      <w:r>
        <w:rPr/>
        <w:t>First, gradually but predictably raise the price caps.  Convene a working group to create an initial schedule and revise the schedule periodically as market conditions change.</w:t>
      </w:r>
    </w:p>
    <w:p>
      <w:pPr>
        <w:pStyle w:val="BodyTextIndent2"/>
        <w:rPr/>
      </w:pPr>
      <w:r>
        <w:rPr/>
        <w:t>Next, tie rate cap increases to milestones in accomplishing other policy changes that increase competition and customer choice in the market and reduce utilities’ market power.  If other policy changes are successful in allowing market entry and new competitive choices for consumers as well as increased electricity supply, the timetable to remove price caps can be moved up.</w:t>
      </w:r>
    </w:p>
    <w:p>
      <w:pPr>
        <w:pStyle w:val="BodyTextIndent2"/>
        <w:rPr/>
      </w:pPr>
      <w:r>
        <w:rPr/>
        <w:t>Meanwhile, implement a system to guard against exercise of vertical and horizontal market power.  Until consumers have options in the face of high prices or bad service from utilities, regulatory oversight is necessary.</w:t>
      </w:r>
    </w:p>
    <w:p>
      <w:pPr>
        <w:pStyle w:val="Normal"/>
        <w:spacing w:before="0" w:after="120"/>
        <w:ind w:start="360" w:end="0"/>
        <w:rPr/>
      </w:pPr>
      <w:r>
        <w:rPr>
          <w:sz w:val="24"/>
        </w:rPr>
        <w:t>Finally, encourage utilities to implement real-time pricing and metering so that consumers can adjust their use of electricity as prices change</w:t>
      </w:r>
      <w:r>
        <w:rPr>
          <w:i/>
          <w:sz w:val="24"/>
        </w:rPr>
        <w:t>.</w:t>
      </w:r>
      <w:r>
        <w:rPr>
          <w:sz w:val="24"/>
        </w:rPr>
        <w:t xml:space="preserve">  Implementing real-time pricing and metering can also justify accelerating the schedule for removing price caps.</w:t>
      </w:r>
    </w:p>
    <w:p>
      <w:pPr>
        <w:pStyle w:val="Normal"/>
        <w:numPr>
          <w:ilvl w:val="0"/>
          <w:numId w:val="2"/>
        </w:numPr>
        <w:spacing w:before="0" w:after="120"/>
        <w:rPr>
          <w:sz w:val="24"/>
        </w:rPr>
      </w:pPr>
      <w:r>
        <w:rPr>
          <w:sz w:val="24"/>
          <w:u w:val="single"/>
        </w:rPr>
        <w:t>Resolve the utilities’ financial crisis, and return to them responsibility for purchasing power.</w:t>
      </w:r>
      <w:r>
        <w:rPr>
          <w:sz w:val="24"/>
        </w:rPr>
        <w:t xml:space="preserve">  Work out a deal with the utilities to split their current losses between their customers and their shareholders.  Since state policy is really to blame for the current crisis, customers and the utilities will have to share the costs, and utilities should not be able to take back all the losses from customers once rates are uncapped.  To spread out the portion that will be passed on to customers, the state might back a securitization as was done with the utilities’ stranded costs.</w:t>
      </w:r>
    </w:p>
    <w:p>
      <w:pPr>
        <w:pStyle w:val="Normal"/>
        <w:numPr>
          <w:ilvl w:val="0"/>
          <w:numId w:val="2"/>
        </w:numPr>
        <w:spacing w:before="0" w:after="120"/>
        <w:rPr>
          <w:sz w:val="24"/>
        </w:rPr>
      </w:pPr>
      <w:r>
        <w:rPr>
          <w:sz w:val="24"/>
          <w:u w:val="single"/>
        </w:rPr>
        <w:t>Free the utilities to purchase power competitively.</w:t>
      </w:r>
      <w:r>
        <w:rPr>
          <w:sz w:val="24"/>
        </w:rPr>
        <w:t xml:space="preserve">  A spot market is a necessary component of the overall electricity market.  But centralized mandatory pools bring to the market perverse incentives and rigidities that create distortions and an inability to adapt to changing market conditions.  Encourage a voluntary, independent competitive exchange and develop bidding rules that attract both buyers and sellers.  At the same time, the utilities need to add forward contracts to their portfolios to hedge against future wholesale power price fluctuations.  </w:t>
      </w:r>
    </w:p>
    <w:p>
      <w:pPr>
        <w:pStyle w:val="Normal"/>
        <w:numPr>
          <w:ilvl w:val="0"/>
          <w:numId w:val="2"/>
        </w:numPr>
        <w:spacing w:before="0" w:after="120"/>
        <w:rPr>
          <w:sz w:val="24"/>
          <w:u w:val="single"/>
        </w:rPr>
      </w:pPr>
      <w:r>
        <w:rPr>
          <w:sz w:val="24"/>
          <w:u w:val="single"/>
        </w:rPr>
        <w:t>Accelerate completion of new power plants with a constructive approach to licensing and enforcing environmental rules.</w:t>
      </w:r>
      <w:r>
        <w:rPr>
          <w:sz w:val="24"/>
        </w:rPr>
        <w:t xml:space="preserve">  Restructuring spurred a level of investment in new power plants not seen in decades in California, but the permitting and construction process takes years longer than in other western states.  The problem is not as much the standards as how they are enforced.  State regulators do not care if power plants get built, only that the standards are followed.  State leaders must get state regulators on board with a new, constructive approach that works with developers to get power plants built without violating the standards.</w:t>
      </w:r>
    </w:p>
    <w:p>
      <w:pPr>
        <w:pStyle w:val="Normal"/>
        <w:numPr>
          <w:ilvl w:val="0"/>
          <w:numId w:val="2"/>
        </w:numPr>
        <w:spacing w:before="0" w:after="120"/>
        <w:rPr>
          <w:sz w:val="24"/>
        </w:rPr>
      </w:pPr>
      <w:r>
        <w:rPr>
          <w:sz w:val="24"/>
          <w:u w:val="single"/>
        </w:rPr>
        <w:t>Integrate municipal utilities into the market as it becomes competitive.</w:t>
      </w:r>
      <w:r>
        <w:rPr>
          <w:sz w:val="24"/>
        </w:rPr>
        <w:t xml:space="preserve">  California’s electricity market will not be truly competitive if customers in many of its largest cities are not allowed to choose their electricity provider.  As restructuring moves forward, municipal utilities should be integrated into the competitive market.  Over the long run, state leaders should challenge the federal government to end the inequities and wealth transfers that federal subsidies for municipal utilities and preference distribution of federal hydropower inflict on California residents.</w:t>
      </w:r>
    </w:p>
    <w:p>
      <w:pPr>
        <w:pStyle w:val="Normal"/>
        <w:numPr>
          <w:ilvl w:val="0"/>
          <w:numId w:val="2"/>
        </w:numPr>
        <w:spacing w:before="0" w:after="120"/>
        <w:rPr>
          <w:sz w:val="24"/>
          <w:u w:val="single"/>
        </w:rPr>
      </w:pPr>
      <w:r>
        <w:rPr>
          <w:sz w:val="24"/>
          <w:u w:val="single"/>
        </w:rPr>
        <w:t>Do not dictate utility industry structure.</w:t>
      </w:r>
      <w:r>
        <w:rPr>
          <w:sz w:val="24"/>
        </w:rPr>
        <w:t xml:space="preserve">  Requiring the utilities to sell their power plants turned out to be a mistake when market conditions changed in ways policy makers did not predict.  Forbidding utilities to sell power plants repeats the same error.  Policy makers do not know the future of the electricity market and should not lock the utilities into any arbitrary structure based on the exigencies of the moment.  Ensuring that utilities do not favor their own generation plants is better served by developing good rules to govern how customer choices are reflected in grid loads, by encouraging distributed generation, and ultimately competitive electricity distribution systems.</w:t>
      </w:r>
    </w:p>
    <w:p>
      <w:pPr>
        <w:pStyle w:val="BodyText2"/>
        <w:spacing w:lineRule="auto" w:line="240" w:before="0" w:after="0"/>
        <w:jc w:val="start"/>
        <w:rPr>
          <w:sz w:val="24"/>
          <w:u w:val="single"/>
        </w:rPr>
      </w:pPr>
      <w:r>
        <w:rPr>
          <w:sz w:val="24"/>
          <w:u w:val="single"/>
        </w:rPr>
      </w:r>
    </w:p>
    <w:p>
      <w:pPr>
        <w:pStyle w:val="BodyText2"/>
        <w:spacing w:lineRule="auto" w:line="240" w:before="0" w:after="0"/>
        <w:jc w:val="start"/>
        <w:rPr/>
      </w:pPr>
      <w:r>
        <w:rPr/>
      </w:r>
    </w:p>
    <w:p>
      <w:pPr>
        <w:pStyle w:val="BodyText2"/>
        <w:spacing w:lineRule="auto" w:line="240" w:before="0" w:after="0"/>
        <w:jc w:val="start"/>
        <w:rPr/>
      </w:pPr>
      <w:r>
        <w:rPr/>
      </w:r>
    </w:p>
    <w:p>
      <w:pPr>
        <w:pStyle w:val="BodyText2"/>
        <w:spacing w:lineRule="auto" w:line="240" w:before="0" w:after="0"/>
        <w:jc w:val="start"/>
        <w:rPr/>
      </w:pPr>
      <w:r>
        <w:rPr/>
      </w:r>
    </w:p>
    <w:p>
      <w:pPr>
        <w:pStyle w:val="BodyText2"/>
        <w:spacing w:lineRule="auto" w:line="240" w:before="0" w:after="0"/>
        <w:jc w:val="start"/>
        <w:rPr/>
      </w:pPr>
      <w:r>
        <w:rPr/>
      </w:r>
    </w:p>
    <w:p>
      <w:pPr>
        <w:pStyle w:val="BodyText2"/>
        <w:spacing w:lineRule="auto" w:line="240" w:before="0" w:after="0"/>
        <w:jc w:val="start"/>
        <w:rPr/>
      </w:pPr>
      <w:r>
        <w:rPr/>
      </w:r>
    </w:p>
    <w:p>
      <w:pPr>
        <w:pStyle w:val="BodyText2"/>
        <w:tabs>
          <w:tab w:val="clear" w:pos="720"/>
          <w:tab w:val="left" w:pos="5730" w:leader="none"/>
        </w:tabs>
        <w:spacing w:lineRule="auto" w:line="240" w:before="0" w:after="0"/>
        <w:jc w:val="start"/>
        <w:rPr/>
      </w:pPr>
      <w:r>
        <mc:AlternateContent>
          <mc:Choice Requires="wps">
            <w:drawing>
              <wp:anchor behindDoc="0" distT="0" distB="0" distL="114935" distR="114935" simplePos="0" locked="0" layoutInCell="1" allowOverlap="1" relativeHeight="19">
                <wp:simplePos x="0" y="0"/>
                <wp:positionH relativeFrom="column">
                  <wp:posOffset>51435</wp:posOffset>
                </wp:positionH>
                <wp:positionV relativeFrom="paragraph">
                  <wp:posOffset>119380</wp:posOffset>
                </wp:positionV>
                <wp:extent cx="3429000" cy="0"/>
                <wp:effectExtent l="0" t="14605" r="0" b="14605"/>
                <wp:wrapNone/>
                <wp:docPr id="3" name=""/>
                <a:graphic xmlns:a="http://schemas.openxmlformats.org/drawingml/2006/main">
                  <a:graphicData uri="http://schemas.microsoft.com/office/word/2010/wordprocessingShape">
                    <wps:wsp>
                      <wps:cNvSpPr/>
                      <wps:spPr>
                        <a:xfrm>
                          <a:off x="0" y="0"/>
                          <a:ext cx="3429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9.4pt" to="274pt,9.4pt" stroked="t" o:allowincell="f" style="position:absolute">
                <v:stroke color="black" weight="28440" joinstyle="miter" endcap="flat"/>
                <v:fill o:detectmouseclick="t" on="false"/>
                <w10:wrap type="none"/>
              </v:line>
            </w:pict>
          </mc:Fallback>
        </mc:AlternateContent>
      </w:r>
      <w:r>
        <w:rPr/>
        <w:tab/>
      </w:r>
    </w:p>
    <w:p>
      <w:pPr>
        <w:pStyle w:val="Normal"/>
        <w:rPr/>
      </w:pPr>
      <w:r>
        <w:rPr>
          <w:b/>
          <w:sz w:val="24"/>
        </w:rPr>
        <w:t>Authors:</w:t>
      </w:r>
      <w:r>
        <w:rPr>
          <w:sz w:val="24"/>
        </w:rPr>
        <w:t xml:space="preserve">  Dr. Adrian Moore (adrianm@rppi.org) is Executive Director of Reason Public Policy Institute in Los Angeles, CA.  He has a Ph.D. in economics from the University of California, Irvine.  Dr. Lynne Kiesling (lynnek@rppi.org) is Director of Economic Policy at Reason Public Policy Institute.  She has a Ph.D. in economics from Northwestern University, where she is also Visiting Associate Professor of Economics.</w:t>
      </w:r>
    </w:p>
    <w:p>
      <w:pPr>
        <w:pStyle w:val="BodyText3"/>
        <w:tabs>
          <w:tab w:val="clear" w:pos="1080"/>
        </w:tabs>
        <w:rPr>
          <w:sz w:val="24"/>
        </w:rPr>
      </w:pPr>
      <w:r>
        <w:rPr>
          <w:sz w:val="24"/>
        </w:rPr>
      </w:r>
    </w:p>
    <w:p>
      <w:pPr>
        <w:pStyle w:val="BodyText3"/>
        <w:tabs>
          <w:tab w:val="clear" w:pos="1080"/>
        </w:tabs>
        <w:rPr/>
      </w:pPr>
      <w:r>
        <w:rPr/>
        <w:t>For more information, please visit the California Electricity Crisis Center Web site, www.rppi.org/electricity.</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sectPr>
      <w:headerReference w:type="default" r:id="rId3"/>
      <w:headerReference w:type="first" r:id="rId4"/>
      <w:footerReference w:type="default" r:id="rId5"/>
      <w:footerReference w:type="first" r:id="rId6"/>
      <w:type w:val="nextPage"/>
      <w:pgSz w:w="12240" w:h="15840"/>
      <w:pgMar w:left="1440" w:right="1440" w:gutter="0" w:header="720" w:top="1440"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Perpetua Titling M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17">
              <wp:simplePos x="0" y="0"/>
              <wp:positionH relativeFrom="column">
                <wp:posOffset>51435</wp:posOffset>
              </wp:positionH>
              <wp:positionV relativeFrom="paragraph">
                <wp:posOffset>83820</wp:posOffset>
              </wp:positionV>
              <wp:extent cx="5372100" cy="0"/>
              <wp:effectExtent l="0" t="5080" r="0" b="5080"/>
              <wp:wrapNone/>
              <wp:docPr id="5"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sz w:val="24"/>
      </w:rPr>
      <w:t>www.rppi.org</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10">
              <wp:simplePos x="0" y="0"/>
              <wp:positionH relativeFrom="column">
                <wp:posOffset>51435</wp:posOffset>
              </wp:positionH>
              <wp:positionV relativeFrom="paragraph">
                <wp:posOffset>83820</wp:posOffset>
              </wp:positionV>
              <wp:extent cx="5372100" cy="0"/>
              <wp:effectExtent l="0" t="5080" r="0" b="5080"/>
              <wp:wrapNone/>
              <wp:docPr id="6"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sz w:val="24"/>
      </w:rPr>
      <w:t>www.rppi.org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spacing w:before="240" w:after="120"/>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Wingdings" w:hAnsi="Wingdings" w:eastAsia="Times New Roman" w:cs="Wingding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Wing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u w:val="single"/>
    </w:rPr>
  </w:style>
  <w:style w:type="character" w:styleId="WW8Num6z0">
    <w:name w:val="WW8Num6z0"/>
    <w:qFormat/>
    <w:rPr>
      <w:rFonts w:ascii="Wingdings" w:hAnsi="Wingdings" w:cs="Wingdings"/>
      <w:b w:val="false"/>
      <w:i w:val="false"/>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b w:val="false"/>
      <w:i w:val="false"/>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Wingdings" w:hAnsi="Wingdings" w:eastAsia="Times New Roman" w:cs="Wingdings"/>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Hyperlink">
    <w:name w:val="Hyperlink"/>
    <w:basedOn w:val="DefaultParagraphFont"/>
    <w:rPr>
      <w:color w:val="0000FF"/>
      <w:u w:val="single"/>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character" w:styleId="Lead-inEmphasis">
    <w:name w:val="Lead-in Emphasis"/>
    <w:qFormat/>
    <w:rPr>
      <w:b/>
      <w:i/>
    </w:rPr>
  </w:style>
  <w:style w:type="character" w:styleId="Emphasis">
    <w:name w:val="Emphasis"/>
    <w:qFormat/>
    <w:rPr>
      <w:i/>
    </w:rPr>
  </w:style>
  <w:style w:type="character" w:styleId="CommentReference">
    <w:name w:val="Comment Reference"/>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BlockQuotation">
    <w:name w:val="Block Quotation"/>
    <w:basedOn w:val="BodyText"/>
    <w:qFormat/>
    <w:pPr>
      <w:keepLines/>
      <w:ind w:hanging="0" w:start="720" w:end="720"/>
    </w:pPr>
    <w:rPr>
      <w:i/>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Date">
    <w:name w:val="Date"/>
    <w:basedOn w:val="BodyText"/>
    <w:next w:val="InsideAddress"/>
    <w:qFormat/>
    <w:pPr>
      <w:spacing w:before="480" w:after="160"/>
    </w:pPr>
    <w:rPr/>
  </w:style>
  <w:style w:type="paragraph" w:styleId="Address">
    <w:name w:val="Address"/>
    <w:basedOn w:val="BodyText"/>
    <w:qFormat/>
    <w:pPr>
      <w:keepLines/>
      <w:spacing w:before="0" w:after="0"/>
      <w:ind w:hanging="0" w:start="0" w:end="4320"/>
    </w:pPr>
    <w:rPr/>
  </w:style>
  <w:style w:type="paragraph" w:styleId="InsideAddress">
    <w:name w:val="Inside Address"/>
    <w:basedOn w:val="Address"/>
    <w:next w:val="AttentionLine"/>
    <w:qFormat/>
    <w:pPr/>
    <w:rPr/>
  </w:style>
  <w:style w:type="paragraph" w:styleId="AttentionLine">
    <w:name w:val="Attention Line"/>
    <w:basedOn w:val="BodyText"/>
    <w:next w:val="Salutation"/>
    <w:qFormat/>
    <w:pPr>
      <w:spacing w:before="160" w:after="0"/>
    </w:pPr>
    <w:rPr>
      <w:b/>
      <w:i/>
    </w:rPr>
  </w:style>
  <w:style w:type="paragraph" w:styleId="Salutation">
    <w:name w:val="Salutation"/>
    <w:basedOn w:val="BodyText"/>
    <w:next w:val="SubjectLine"/>
    <w:qFormat/>
    <w:pPr>
      <w:spacing w:before="160" w:after="160"/>
    </w:pPr>
    <w:rPr/>
  </w:style>
  <w:style w:type="paragraph" w:styleId="SubjectLine">
    <w:name w:val="Subject Line"/>
    <w:basedOn w:val="BodyText"/>
    <w:next w:val="BodyText"/>
    <w:qFormat/>
    <w:pPr/>
    <w:rPr>
      <w:i/>
      <w:u w:val="single"/>
    </w:rPr>
  </w:style>
  <w:style w:type="paragraph" w:styleId="EndnoteText">
    <w:name w:val="endnote text"/>
    <w:basedOn w:val="FootnoteBase"/>
    <w:pPr>
      <w:spacing w:before="0" w:after="120"/>
    </w:pPr>
    <w:rPr>
      <w:sz w:val="18"/>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FootnoteText">
    <w:name w:val="footnote text"/>
    <w:basedOn w:val="FootnoteBase"/>
    <w:pPr>
      <w:spacing w:before="0" w:after="120"/>
    </w:pPr>
    <w:rPr/>
  </w:style>
  <w:style w:type="paragraph" w:styleId="ListBullet">
    <w:name w:val="List Bullet"/>
    <w:basedOn w:val="List"/>
    <w:qFormat/>
    <w:pPr>
      <w:numPr>
        <w:ilvl w:val="0"/>
        <w:numId w:val="6"/>
      </w:numPr>
      <w:tabs>
        <w:tab w:val="clear" w:pos="720"/>
      </w:tabs>
      <w:spacing w:before="0" w:after="160"/>
    </w:pPr>
    <w:rPr/>
  </w:style>
  <w:style w:type="paragraph" w:styleId="ListNumber">
    <w:name w:val="List Number"/>
    <w:basedOn w:val="List"/>
    <w:qFormat/>
    <w:pPr>
      <w:numPr>
        <w:ilvl w:val="0"/>
        <w:numId w:val="7"/>
      </w:numPr>
      <w:tabs>
        <w:tab w:val="clear" w:pos="720"/>
      </w:tabs>
      <w:spacing w:before="0" w:after="160"/>
    </w:pPr>
    <w:rPr/>
  </w:style>
  <w:style w:type="paragraph" w:styleId="MacroText">
    <w:name w:val="Macro Text"/>
    <w:basedOn w:val="BodyText"/>
    <w:qFormat/>
    <w:pPr>
      <w:spacing w:before="0" w:after="120"/>
    </w:pPr>
    <w:rPr>
      <w:rFonts w:ascii="Courier New" w:hAnsi="Courier New" w:cs="Courier New"/>
    </w:rPr>
  </w:style>
  <w:style w:type="paragraph" w:styleId="ReturnAddress">
    <w:name w:val="Return Address"/>
    <w:basedOn w:val="Address"/>
    <w:next w:val="Date"/>
    <w:qFormat/>
    <w:pPr>
      <w:ind w:hanging="0" w:start="0" w:end="4320"/>
    </w:pPr>
    <w:rPr/>
  </w:style>
  <w:style w:type="paragraph" w:styleId="CC">
    <w:name w:val="CC"/>
    <w:basedOn w:val="BodyText"/>
    <w:qFormat/>
    <w:pPr>
      <w:keepLines/>
      <w:spacing w:before="0" w:after="160"/>
      <w:ind w:hanging="360" w:start="360" w:end="0"/>
    </w:pPr>
    <w:rPr/>
  </w:style>
  <w:style w:type="paragraph" w:styleId="CompanyName">
    <w:name w:val="Company Name"/>
    <w:basedOn w:val="BodyText"/>
    <w:next w:val="ReturnAddress"/>
    <w:qFormat/>
    <w:pPr>
      <w:spacing w:before="80" w:after="0"/>
    </w:pPr>
    <w:rPr>
      <w:b/>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Name">
    <w:name w:val="Signature Name"/>
    <w:basedOn w:val="Signature"/>
    <w:next w:val="SignatureJobTitle"/>
    <w:qFormat/>
    <w:pPr>
      <w:keepNext w:val="true"/>
      <w:spacing w:before="720" w:after="0"/>
    </w:pPr>
    <w:rPr/>
  </w:style>
  <w:style w:type="paragraph" w:styleId="SignatureJobTitle">
    <w:name w:val="Signature Job Title"/>
    <w:basedOn w:val="Signature"/>
    <w:next w:val="ReferenceInitials"/>
    <w:qFormat/>
    <w:pPr>
      <w:spacing w:before="0" w:after="160"/>
    </w:pPr>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Enclosure">
    <w:name w:val="Enclosure"/>
    <w:basedOn w:val="BodyText"/>
    <w:next w:val="CC"/>
    <w:qFormat/>
    <w:pPr>
      <w:keepLines/>
      <w:spacing w:before="0" w:after="160"/>
    </w:pPr>
    <w:rPr/>
  </w:style>
  <w:style w:type="paragraph" w:styleId="FooterFirst">
    <w:name w:val="Footer First"/>
    <w:basedOn w:val="Footer"/>
    <w:qFormat/>
    <w:pPr>
      <w:tabs>
        <w:tab w:val="clear" w:pos="8640"/>
        <w:tab w:val="center" w:pos="4320" w:leader="none"/>
      </w:tabs>
      <w:jc w:val="center"/>
    </w:pPr>
    <w:rPr/>
  </w:style>
  <w:style w:type="paragraph" w:styleId="FooterEven">
    <w:name w:val="Footer Even"/>
    <w:basedOn w:val="Footer"/>
    <w:qFormat/>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Header">
    <w:name w:val="header"/>
    <w:basedOn w:val="HeaderBase"/>
    <w:pPr/>
    <w:rPr/>
  </w:style>
  <w:style w:type="paragraph" w:styleId="HeaderFirst">
    <w:name w:val="Header First"/>
    <w:basedOn w:val="Header"/>
    <w:qFormat/>
    <w:pPr>
      <w:tabs>
        <w:tab w:val="clear" w:pos="8640"/>
        <w:tab w:val="center" w:pos="4320" w:leader="none"/>
      </w:tabs>
      <w:jc w:val="center"/>
    </w:pPr>
    <w:rPr/>
  </w:style>
  <w:style w:type="paragraph" w:styleId="HeaderEven">
    <w:name w:val="Header Even"/>
    <w:basedOn w:val="Header"/>
    <w:qFormat/>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ListFirst">
    <w:name w:val="List First"/>
    <w:basedOn w:val="List"/>
    <w:next w:val="List"/>
    <w:qFormat/>
    <w:pPr>
      <w:spacing w:before="80" w:after="80"/>
    </w:pPr>
    <w:rPr/>
  </w:style>
  <w:style w:type="paragraph" w:styleId="ListBullet51">
    <w:name w:val="List Bullet 51"/>
    <w:basedOn w:val="ListBullet"/>
    <w:qFormat/>
    <w:pPr>
      <w:numPr>
        <w:ilvl w:val="0"/>
        <w:numId w:val="8"/>
      </w:numPr>
      <w:ind w:hanging="360" w:start="2160" w:end="0"/>
    </w:pPr>
    <w:rPr/>
  </w:style>
  <w:style w:type="paragraph" w:styleId="ListLast">
    <w:name w:val="List Last"/>
    <w:basedOn w:val="List"/>
    <w:next w:val="BodyText"/>
    <w:qFormat/>
    <w:pPr>
      <w:spacing w:before="0" w:after="240"/>
      <w:ind w:hanging="360" w:start="720" w:end="0"/>
    </w:pPr>
    <w:rPr/>
  </w:style>
  <w:style w:type="paragraph" w:styleId="BodyTextIndent">
    <w:name w:val="Body Text Indent"/>
    <w:basedOn w:val="BodyText"/>
    <w:pPr>
      <w:numPr>
        <w:ilvl w:val="0"/>
        <w:numId w:val="9"/>
      </w:numPr>
      <w:ind w:hanging="0" w:start="360" w:end="0"/>
    </w:pPr>
    <w:rPr/>
  </w:style>
  <w:style w:type="paragraph" w:styleId="ListBullet2">
    <w:name w:val="List Bullet 2"/>
    <w:basedOn w:val="List"/>
    <w:pPr>
      <w:numPr>
        <w:ilvl w:val="0"/>
        <w:numId w:val="10"/>
      </w:numPr>
      <w:tabs>
        <w:tab w:val="clear" w:pos="720"/>
        <w:tab w:val="left" w:pos="1080" w:leader="none"/>
      </w:tabs>
      <w:ind w:hanging="360" w:start="1080" w:end="0"/>
    </w:pPr>
    <w:rPr/>
  </w:style>
  <w:style w:type="paragraph" w:styleId="ListBullet3">
    <w:name w:val="List Bullet 3"/>
    <w:basedOn w:val="List"/>
    <w:pPr>
      <w:numPr>
        <w:ilvl w:val="0"/>
        <w:numId w:val="11"/>
      </w:numPr>
      <w:tabs>
        <w:tab w:val="clear" w:pos="720"/>
        <w:tab w:val="left" w:pos="1440" w:leader="none"/>
      </w:tabs>
      <w:ind w:hanging="360" w:start="1440" w:end="0"/>
    </w:pPr>
    <w:rPr/>
  </w:style>
  <w:style w:type="paragraph" w:styleId="ListBullet4">
    <w:name w:val="List Bullet 4"/>
    <w:basedOn w:val="List"/>
    <w:pPr>
      <w:numPr>
        <w:ilvl w:val="0"/>
        <w:numId w:val="12"/>
      </w:numPr>
      <w:tabs>
        <w:tab w:val="clear" w:pos="720"/>
        <w:tab w:val="left" w:pos="1800" w:leader="none"/>
      </w:tabs>
      <w:ind w:hanging="360" w:start="1800" w:end="0"/>
    </w:pPr>
    <w:rPr/>
  </w:style>
  <w:style w:type="paragraph" w:styleId="ListBullet21">
    <w:name w:val="List Bullet 21"/>
    <w:basedOn w:val="ListBullet"/>
    <w:qFormat/>
    <w:pPr>
      <w:numPr>
        <w:ilvl w:val="0"/>
        <w:numId w:val="13"/>
      </w:numPr>
      <w:ind w:hanging="360" w:start="1080" w:end="0"/>
    </w:pPr>
    <w:rPr/>
  </w:style>
  <w:style w:type="paragraph" w:styleId="ListBullet31">
    <w:name w:val="List Bullet 31"/>
    <w:basedOn w:val="ListBullet"/>
    <w:qFormat/>
    <w:pPr>
      <w:numPr>
        <w:ilvl w:val="0"/>
        <w:numId w:val="14"/>
      </w:numPr>
      <w:ind w:hanging="360" w:start="1440" w:end="0"/>
    </w:pPr>
    <w:rPr/>
  </w:style>
  <w:style w:type="paragraph" w:styleId="ListBullet41">
    <w:name w:val="List Bullet 41"/>
    <w:basedOn w:val="ListBullet"/>
    <w:qFormat/>
    <w:pPr>
      <w:numPr>
        <w:ilvl w:val="0"/>
        <w:numId w:val="15"/>
      </w:numPr>
      <w:ind w:hanging="360" w:start="1800" w:end="0"/>
    </w:pPr>
    <w:rPr/>
  </w:style>
  <w:style w:type="paragraph" w:styleId="ListContinue">
    <w:name w:val="List Continue"/>
    <w:basedOn w:val="List"/>
    <w:qFormat/>
    <w:pPr>
      <w:numPr>
        <w:ilvl w:val="0"/>
        <w:numId w:val="16"/>
      </w:numPr>
      <w:tabs>
        <w:tab w:val="clear" w:pos="720"/>
      </w:tabs>
      <w:spacing w:before="0" w:after="160"/>
    </w:pPr>
    <w:rPr/>
  </w:style>
  <w:style w:type="paragraph" w:styleId="ListBullet5">
    <w:name w:val="List Bullet 5"/>
    <w:basedOn w:val="List"/>
    <w:pPr>
      <w:tabs>
        <w:tab w:val="clear" w:pos="720"/>
        <w:tab w:val="left" w:pos="2160" w:leader="none"/>
      </w:tabs>
      <w:ind w:hanging="360" w:start="2160" w:end="0"/>
    </w:pPr>
    <w:rPr/>
  </w:style>
  <w:style w:type="paragraph" w:styleId="ListNumber2">
    <w:name w:val="List Number 2"/>
    <w:basedOn w:val="ListNumber"/>
    <w:qFormat/>
    <w:pPr>
      <w:ind w:hanging="360" w:start="1080" w:end="0"/>
    </w:pPr>
    <w:rPr/>
  </w:style>
  <w:style w:type="paragraph" w:styleId="ListNumber5">
    <w:name w:val="List Number 5"/>
    <w:basedOn w:val="ListNumber"/>
    <w:qFormat/>
    <w:pPr>
      <w:ind w:hanging="360" w:start="216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Continue2">
    <w:name w:val="List Continue 2"/>
    <w:basedOn w:val="ListContinue"/>
    <w:qFormat/>
    <w:pPr>
      <w:ind w:hanging="360" w:start="1080" w:end="0"/>
    </w:pPr>
    <w:rPr/>
  </w:style>
  <w:style w:type="paragraph" w:styleId="Closing">
    <w:name w:val="Closing"/>
    <w:basedOn w:val="BodyText"/>
    <w:qFormat/>
    <w:pPr>
      <w:keepNext w:val="true"/>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BodyText2">
    <w:name w:val="Body Text 2"/>
    <w:basedOn w:val="Normal"/>
    <w:qFormat/>
    <w:pPr>
      <w:spacing w:lineRule="auto" w:line="288" w:before="0" w:after="120"/>
      <w:jc w:val="both"/>
    </w:pPr>
    <w:rPr>
      <w:sz w:val="24"/>
    </w:rPr>
  </w:style>
  <w:style w:type="paragraph" w:styleId="NormalWeb">
    <w:name w:val="Normal (Web)"/>
    <w:basedOn w:val="Normal"/>
    <w:qFormat/>
    <w:pPr>
      <w:spacing w:before="100" w:after="100"/>
    </w:pPr>
    <w:rPr>
      <w:rFonts w:ascii="Arial Unicode MS" w:hAnsi="Arial Unicode MS" w:eastAsia="Arial Unicode MS" w:cs="Arial Unicode MS"/>
      <w:sz w:val="24"/>
    </w:rPr>
  </w:style>
  <w:style w:type="paragraph" w:styleId="typejustify">
    <w:name w:val="typejustify"/>
    <w:basedOn w:val="Normal"/>
    <w:qFormat/>
    <w:pPr>
      <w:spacing w:before="100" w:after="100"/>
      <w:jc w:val="both"/>
    </w:pPr>
    <w:rPr>
      <w:rFonts w:eastAsia="Arial Unicode MS"/>
      <w:color w:val="000000"/>
      <w:sz w:val="22"/>
    </w:rPr>
  </w:style>
  <w:style w:type="paragraph" w:styleId="BodyText3">
    <w:name w:val="Body Text 3"/>
    <w:basedOn w:val="Normal"/>
    <w:qFormat/>
    <w:pPr>
      <w:tabs>
        <w:tab w:val="clear" w:pos="720"/>
        <w:tab w:val="left" w:pos="1080" w:leader="none"/>
      </w:tabs>
    </w:pPr>
    <w:rPr>
      <w:sz w:val="24"/>
    </w:rPr>
  </w:style>
  <w:style w:type="paragraph" w:styleId="BodyTextIndent2">
    <w:name w:val="Body Text Indent 2"/>
    <w:basedOn w:val="Normal"/>
    <w:qFormat/>
    <w:pPr>
      <w:spacing w:before="0" w:after="120"/>
      <w:ind w:hanging="0" w:start="360" w:end="0"/>
    </w:pPr>
    <w:rPr>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rppi letterhead.dot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2001-04-27T18:10:00Z</dcterms:created>
  <dc:creator>Preferred Customer</dc:creator>
  <dc:description/>
  <dc:language>en-CA</dc:language>
  <cp:lastModifiedBy>R Bradley</cp:lastModifiedBy>
  <cp:lastPrinted>2001-04-03T10:22:00Z</cp:lastPrinted>
  <dcterms:modified xsi:type="dcterms:W3CDTF">2001-04-27T18:10:00Z</dcterms:modified>
  <cp:revision>2</cp:revision>
  <dc:subject/>
  <dc:title>December 26, 1997</dc:title>
</cp:coreProperties>
</file>