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36"/>
        </w:rPr>
      </w:pPr>
      <w:r>
        <w:rPr>
          <w:sz w:val="36"/>
        </w:rPr>
        <w:t>Reactive Statement</w:t>
      </w:r>
    </w:p>
    <w:p>
      <w:pPr>
        <w:pStyle w:val="Heading"/>
        <w:rPr>
          <w:sz w:val="36"/>
        </w:rPr>
      </w:pPr>
      <w:r>
        <w:rPr>
          <w:sz w:val="36"/>
        </w:rPr>
      </w:r>
    </w:p>
    <w:p>
      <w:pPr>
        <w:pStyle w:val="Heading"/>
        <w:jc w:val="start"/>
        <w:rPr>
          <w:sz w:val="24"/>
          <w:szCs w:val="20"/>
        </w:rPr>
      </w:pPr>
      <w:r>
        <w:rPr>
          <w:sz w:val="24"/>
          <w:szCs w:val="20"/>
        </w:rPr>
      </w:r>
    </w:p>
    <w:p>
      <w:pPr>
        <w:pStyle w:val="Normal"/>
        <w:rPr>
          <w:sz w:val="22"/>
        </w:rPr>
      </w:pPr>
      <w:r>
        <w:rPr>
          <w:sz w:val="22"/>
        </w:rPr>
        <w:t>Enron has taken the decision to temporarily suspend all further activities in power marketing in Japan. Though Japan continues to make progress towards a liberalized electricity market, significant barriers to electricity sales by new entrants remain under the arrangements introduced in March of last year. Those barriers include the absence of fair and non-discriminatory access to the transmission network and the absence of an independent regulator with the power to regulate the market.</w:t>
      </w:r>
    </w:p>
    <w:p>
      <w:pPr>
        <w:pStyle w:val="Heading"/>
        <w:jc w:val="start"/>
        <w:rPr>
          <w:sz w:val="22"/>
          <w:szCs w:val="20"/>
        </w:rPr>
      </w:pPr>
      <w:r>
        <w:rPr>
          <w:sz w:val="22"/>
          <w:szCs w:val="20"/>
        </w:rPr>
      </w:r>
    </w:p>
    <w:p>
      <w:pPr>
        <w:pStyle w:val="Header"/>
        <w:tabs>
          <w:tab w:val="clear" w:pos="4320"/>
          <w:tab w:val="clear" w:pos="8640"/>
        </w:tabs>
        <w:rPr>
          <w:sz w:val="22"/>
        </w:rPr>
      </w:pPr>
      <w:r>
        <w:rPr>
          <w:sz w:val="22"/>
        </w:rPr>
        <w:t xml:space="preserve">Enron remains committed to Japan. We have established several businesses here including metals, coal, LNG, weather derivatives, power plant development (via EPower) and electricity sales, and we have closed transactions with Japanese companies in each of those businesses. Significant additional opportunities exist in our non-electricity businesses and, if energy deregulation in Japan proceeds as expected, significant opportunities will exist in future in our power marketing businesses. </w:t>
      </w:r>
    </w:p>
    <w:p>
      <w:pPr>
        <w:pStyle w:val="Heading"/>
        <w:rPr>
          <w:sz w:val="22"/>
        </w:rPr>
      </w:pPr>
      <w:r>
        <w:rPr>
          <w:sz w:val="22"/>
        </w:rPr>
      </w:r>
    </w:p>
    <w:p>
      <w:pPr>
        <w:pStyle w:val="Heading"/>
        <w:rPr>
          <w:sz w:val="22"/>
        </w:rPr>
      </w:pPr>
      <w:r>
        <w:rPr>
          <w:sz w:val="22"/>
        </w:rPr>
      </w:r>
    </w:p>
    <w:p>
      <w:pPr>
        <w:pStyle w:val="Heading"/>
        <w:rPr>
          <w:sz w:val="22"/>
        </w:rPr>
      </w:pPr>
      <w:r>
        <w:rPr>
          <w:sz w:val="22"/>
        </w:rPr>
        <w:t xml:space="preserve">Q&amp;A’s </w:t>
      </w:r>
    </w:p>
    <w:p>
      <w:pPr>
        <w:pStyle w:val="Normal"/>
        <w:jc w:val="center"/>
        <w:rPr>
          <w:sz w:val="22"/>
        </w:rPr>
      </w:pPr>
      <w:r>
        <w:rPr>
          <w:sz w:val="22"/>
        </w:rPr>
      </w:r>
    </w:p>
    <w:p>
      <w:pPr>
        <w:pStyle w:val="Normal"/>
        <w:rPr>
          <w:b/>
          <w:bCs/>
          <w:color w:val="000080"/>
          <w:sz w:val="22"/>
        </w:rPr>
      </w:pPr>
      <w:r>
        <w:rPr>
          <w:b/>
          <w:bCs/>
          <w:color w:val="000080"/>
          <w:sz w:val="22"/>
        </w:rPr>
        <w:t>Has Enron stopped power marketing in Japan? If so, why?</w:t>
      </w:r>
    </w:p>
    <w:p>
      <w:pPr>
        <w:pStyle w:val="Normal"/>
        <w:rPr>
          <w:b/>
          <w:bCs/>
          <w:color w:val="000080"/>
          <w:sz w:val="22"/>
        </w:rPr>
      </w:pPr>
      <w:r>
        <w:rPr>
          <w:b/>
          <w:bCs/>
          <w:color w:val="000080"/>
          <w:sz w:val="22"/>
        </w:rPr>
      </w:r>
    </w:p>
    <w:p>
      <w:pPr>
        <w:pStyle w:val="Normal"/>
        <w:rPr>
          <w:sz w:val="22"/>
        </w:rPr>
      </w:pPr>
      <w:r>
        <w:rPr>
          <w:sz w:val="22"/>
        </w:rPr>
        <w:t>Enron has taken the decision to suspend all further power marketing activities in Japan.</w:t>
      </w:r>
    </w:p>
    <w:p>
      <w:pPr>
        <w:pStyle w:val="Normal"/>
        <w:rPr>
          <w:sz w:val="22"/>
        </w:rPr>
      </w:pPr>
      <w:r>
        <w:rPr>
          <w:sz w:val="22"/>
        </w:rPr>
      </w:r>
    </w:p>
    <w:p>
      <w:pPr>
        <w:pStyle w:val="Normal"/>
        <w:rPr>
          <w:sz w:val="22"/>
        </w:rPr>
      </w:pPr>
      <w:r>
        <w:rPr>
          <w:sz w:val="22"/>
        </w:rPr>
        <w:t>Though Japan continues to make progress towards a liberalized electricity market, significant barriers to electricity sales remain under the arrangements introduced in March of last year. Those barriers include the absence of fair and non-discriminatory access to the transmission network and the absence of an independent regulator with the power to regulate the market.</w:t>
      </w:r>
    </w:p>
    <w:p>
      <w:pPr>
        <w:pStyle w:val="Normal"/>
        <w:rPr>
          <w:sz w:val="22"/>
        </w:rPr>
      </w:pPr>
      <w:r>
        <w:rPr>
          <w:sz w:val="22"/>
        </w:rPr>
      </w:r>
    </w:p>
    <w:p>
      <w:pPr>
        <w:pStyle w:val="Normal"/>
        <w:rPr>
          <w:sz w:val="22"/>
        </w:rPr>
      </w:pPr>
      <w:r>
        <w:rPr>
          <w:sz w:val="22"/>
        </w:rPr>
        <w:t xml:space="preserve">Enron operates in every liberalized energy market in the world and we were the first new entrant in many of those, including Germany, the Netherlands and Spain. Access on a fair and non-discriminatory basis to the transmission network and an independent regulator with power to regulate are core elements of a competitive energy market.      </w:t>
      </w:r>
    </w:p>
    <w:p>
      <w:pPr>
        <w:pStyle w:val="Normal"/>
        <w:rPr>
          <w:sz w:val="22"/>
        </w:rPr>
      </w:pPr>
      <w:r>
        <w:rPr>
          <w:sz w:val="22"/>
        </w:rPr>
      </w:r>
    </w:p>
    <w:p>
      <w:pPr>
        <w:pStyle w:val="BodyText"/>
        <w:rPr>
          <w:sz w:val="22"/>
        </w:rPr>
      </w:pPr>
      <w:r>
        <w:rPr>
          <w:sz w:val="22"/>
        </w:rPr>
        <w:t xml:space="preserve">There are several other new entrants that have closed transactions under the current regulations. Why is Enron having difficulty when other new entrants appear to have been successful?  </w:t>
      </w:r>
    </w:p>
    <w:p>
      <w:pPr>
        <w:pStyle w:val="Normal"/>
        <w:rPr>
          <w:color w:val="000080"/>
          <w:sz w:val="22"/>
        </w:rPr>
      </w:pPr>
      <w:r>
        <w:rPr>
          <w:color w:val="000080"/>
          <w:sz w:val="22"/>
        </w:rPr>
      </w:r>
    </w:p>
    <w:p>
      <w:pPr>
        <w:pStyle w:val="Header"/>
        <w:tabs>
          <w:tab w:val="clear" w:pos="4320"/>
          <w:tab w:val="clear" w:pos="8640"/>
        </w:tabs>
        <w:rPr>
          <w:sz w:val="22"/>
        </w:rPr>
      </w:pPr>
      <w:r>
        <w:rPr>
          <w:sz w:val="22"/>
        </w:rPr>
        <w:t>Given the number of consumers eligible to change suppliers – almost 8,300 - new entrants have been relatively unsuccessful under the current regulations.</w:t>
      </w:r>
    </w:p>
    <w:p>
      <w:pPr>
        <w:pStyle w:val="Header"/>
        <w:tabs>
          <w:tab w:val="clear" w:pos="4320"/>
          <w:tab w:val="clear" w:pos="8640"/>
        </w:tabs>
        <w:rPr>
          <w:sz w:val="22"/>
        </w:rPr>
      </w:pPr>
      <w:r>
        <w:rPr>
          <w:sz w:val="22"/>
        </w:rPr>
      </w:r>
    </w:p>
    <w:p>
      <w:pPr>
        <w:pStyle w:val="Header"/>
        <w:tabs>
          <w:tab w:val="clear" w:pos="4320"/>
          <w:tab w:val="clear" w:pos="8640"/>
        </w:tabs>
        <w:rPr>
          <w:sz w:val="22"/>
        </w:rPr>
      </w:pPr>
      <w:r>
        <w:rPr>
          <w:sz w:val="22"/>
        </w:rPr>
        <w:t>The current deregulation arrangements have been in place for over 12 months. In that time new entrants have secured generation equal to less than 0.2% of the maximum demand of the incumbent utilities. Less than 20 eligible consumers have entered into transactions with new entrants out of a possible 8,300 consumers eligible to change suppliers, and many of those transactions have been entered into between new entrants and affiliated companies, such as Ennet supplying NTT group.</w:t>
      </w:r>
    </w:p>
    <w:p>
      <w:pPr>
        <w:pStyle w:val="Header"/>
        <w:tabs>
          <w:tab w:val="clear" w:pos="4320"/>
          <w:tab w:val="clear" w:pos="8640"/>
        </w:tabs>
        <w:rPr>
          <w:sz w:val="22"/>
        </w:rPr>
      </w:pPr>
      <w:r>
        <w:rPr>
          <w:sz w:val="22"/>
        </w:rPr>
      </w:r>
    </w:p>
    <w:p>
      <w:pPr>
        <w:pStyle w:val="Header"/>
        <w:tabs>
          <w:tab w:val="clear" w:pos="4320"/>
          <w:tab w:val="clear" w:pos="8640"/>
        </w:tabs>
        <w:rPr>
          <w:sz w:val="22"/>
        </w:rPr>
      </w:pPr>
      <w:r>
        <w:rPr>
          <w:sz w:val="22"/>
        </w:rPr>
        <w:t>Negotiations for access transmission between new entrants and incumbent utilities have been protracted and in a number of cases new entrants have needed to resort to METI and the Fair Trade Commission for resolution of disputes with incumbent utilities. [In addition, according to our calculations, few, if any of the transactions entered into by new entrants are profitable.]</w:t>
      </w:r>
    </w:p>
    <w:p>
      <w:pPr>
        <w:pStyle w:val="Header"/>
        <w:tabs>
          <w:tab w:val="clear" w:pos="4320"/>
          <w:tab w:val="clear" w:pos="8640"/>
        </w:tabs>
        <w:rPr>
          <w:color w:val="000080"/>
          <w:sz w:val="22"/>
        </w:rPr>
      </w:pPr>
      <w:r>
        <w:rPr>
          <w:sz w:val="22"/>
        </w:rPr>
        <w:t xml:space="preserve">  </w:t>
      </w:r>
    </w:p>
    <w:p>
      <w:pPr>
        <w:pStyle w:val="BodyText"/>
        <w:rPr>
          <w:sz w:val="22"/>
        </w:rPr>
      </w:pPr>
      <w:r>
        <w:rPr>
          <w:sz w:val="22"/>
        </w:rPr>
        <w:t>Japan has experience with US companies moving into Japan with great fanfare and then promptly leaving. How committed is Enron to the Japanese market?</w:t>
      </w:r>
    </w:p>
    <w:p>
      <w:pPr>
        <w:pStyle w:val="Normal"/>
        <w:rPr>
          <w:color w:val="000080"/>
          <w:sz w:val="22"/>
        </w:rPr>
      </w:pPr>
      <w:r>
        <w:rPr>
          <w:color w:val="000080"/>
          <w:sz w:val="22"/>
        </w:rPr>
      </w:r>
    </w:p>
    <w:p>
      <w:pPr>
        <w:pStyle w:val="Header"/>
        <w:tabs>
          <w:tab w:val="clear" w:pos="4320"/>
          <w:tab w:val="clear" w:pos="8640"/>
        </w:tabs>
        <w:rPr>
          <w:sz w:val="22"/>
        </w:rPr>
      </w:pPr>
      <w:r>
        <w:rPr>
          <w:sz w:val="22"/>
        </w:rPr>
        <w:t xml:space="preserve">Enron remains committed to Japan. We have established several businesses here including metals, coal, LNG, weather derivatives, power plant development (via E Power) and electricity sales, and we have closed transactions with Japanese companies in each of those businesses. Significant additional opportunities exist in our non-electricity businesses and, if energy deregulation in Japan proceeds as expected, significant opportunities will exist in future in our power marketing businesses. </w:t>
      </w:r>
    </w:p>
    <w:p>
      <w:pPr>
        <w:pStyle w:val="Normal"/>
        <w:rPr>
          <w:color w:val="000080"/>
          <w:sz w:val="22"/>
        </w:rPr>
      </w:pPr>
      <w:r>
        <w:rPr>
          <w:color w:val="000080"/>
          <w:sz w:val="22"/>
        </w:rPr>
      </w:r>
    </w:p>
    <w:p>
      <w:pPr>
        <w:pStyle w:val="BodyText"/>
        <w:rPr>
          <w:sz w:val="22"/>
        </w:rPr>
      </w:pPr>
      <w:r>
        <w:rPr>
          <w:sz w:val="22"/>
        </w:rPr>
        <w:t>Enron has publicly stated that it has closed a number of electricity transactions using the so-called 10% product. Will Enron honor its commitments to supply power to its customers under those contracts?</w:t>
      </w:r>
    </w:p>
    <w:p>
      <w:pPr>
        <w:pStyle w:val="Normal"/>
        <w:rPr>
          <w:color w:val="000080"/>
          <w:sz w:val="22"/>
        </w:rPr>
      </w:pPr>
      <w:r>
        <w:rPr>
          <w:color w:val="000080"/>
          <w:sz w:val="22"/>
        </w:rPr>
      </w:r>
    </w:p>
    <w:p>
      <w:pPr>
        <w:pStyle w:val="Header"/>
        <w:tabs>
          <w:tab w:val="clear" w:pos="4320"/>
          <w:tab w:val="clear" w:pos="8640"/>
        </w:tabs>
        <w:rPr>
          <w:sz w:val="22"/>
        </w:rPr>
      </w:pPr>
      <w:r>
        <w:rPr>
          <w:sz w:val="22"/>
        </w:rPr>
        <w:t>Enron will continue to honor its obligations under its existing electricity contracts - Enron’s customers will continue to receive a rebate in the first year. At this stage of the contracts, no customers have changed electricity suppliers. It is not our policy to reveal specific details of transactions.</w:t>
      </w:r>
    </w:p>
    <w:p>
      <w:pPr>
        <w:pStyle w:val="Normal"/>
        <w:rPr>
          <w:color w:val="000080"/>
          <w:sz w:val="22"/>
        </w:rPr>
      </w:pPr>
      <w:r>
        <w:rPr>
          <w:color w:val="000080"/>
          <w:sz w:val="22"/>
        </w:rPr>
      </w:r>
    </w:p>
    <w:p>
      <w:pPr>
        <w:pStyle w:val="BodyText"/>
        <w:rPr>
          <w:sz w:val="22"/>
        </w:rPr>
      </w:pPr>
      <w:r>
        <w:rPr>
          <w:sz w:val="22"/>
        </w:rPr>
        <w:t xml:space="preserve">How will the withdrawal from electricity wholesaling impact Enron Japan’s profitability? </w:t>
      </w:r>
    </w:p>
    <w:p>
      <w:pPr>
        <w:pStyle w:val="Normal"/>
        <w:rPr>
          <w:color w:val="000080"/>
          <w:sz w:val="22"/>
        </w:rPr>
      </w:pPr>
      <w:r>
        <w:rPr>
          <w:color w:val="000080"/>
          <w:sz w:val="22"/>
        </w:rPr>
      </w:r>
    </w:p>
    <w:p>
      <w:pPr>
        <w:pStyle w:val="Header"/>
        <w:tabs>
          <w:tab w:val="clear" w:pos="4320"/>
          <w:tab w:val="clear" w:pos="8640"/>
        </w:tabs>
        <w:rPr>
          <w:sz w:val="22"/>
        </w:rPr>
      </w:pPr>
      <w:r>
        <w:rPr>
          <w:sz w:val="22"/>
        </w:rPr>
        <w:t>We have established several businesses in Japan including metals, coal, LNG, weather derivatives, power plant development (via E Power) and electricity sales, and we have closed transactions with Japanese companies in each of those businesses. Significant additional opportunities exist in our non-electricity businesses and, if energy deregulation in Japan proceeds as expected, significant opportunities will exist in future in our power marketing businesses.</w:t>
      </w:r>
    </w:p>
    <w:p>
      <w:pPr>
        <w:pStyle w:val="Header"/>
        <w:tabs>
          <w:tab w:val="clear" w:pos="4320"/>
          <w:tab w:val="clear" w:pos="8640"/>
        </w:tabs>
        <w:rPr>
          <w:sz w:val="22"/>
        </w:rPr>
      </w:pPr>
      <w:r>
        <w:rPr>
          <w:sz w:val="22"/>
        </w:rPr>
      </w:r>
    </w:p>
    <w:p>
      <w:pPr>
        <w:pStyle w:val="Header"/>
        <w:tabs>
          <w:tab w:val="clear" w:pos="4320"/>
          <w:tab w:val="clear" w:pos="8640"/>
        </w:tabs>
        <w:rPr>
          <w:sz w:val="22"/>
        </w:rPr>
      </w:pPr>
      <w:r>
        <w:rPr>
          <w:sz w:val="22"/>
        </w:rPr>
        <w:t xml:space="preserve">Enron does not break out earnings figures for individual regions. However, given the strength of our other businesses, the withdrawal from electricity sales will have little impact on our revenues.    </w:t>
      </w:r>
    </w:p>
    <w:p>
      <w:pPr>
        <w:pStyle w:val="Normal"/>
        <w:rPr>
          <w:color w:val="000080"/>
          <w:sz w:val="22"/>
        </w:rPr>
      </w:pPr>
      <w:r>
        <w:rPr>
          <w:color w:val="000080"/>
          <w:sz w:val="22"/>
        </w:rPr>
      </w:r>
    </w:p>
    <w:p>
      <w:pPr>
        <w:pStyle w:val="BodyText"/>
        <w:rPr>
          <w:sz w:val="22"/>
        </w:rPr>
      </w:pPr>
      <w:r>
        <w:rPr>
          <w:sz w:val="22"/>
        </w:rPr>
        <w:t>Enron has consistently said that it is pleased with the Japanese Government’s commitment to deregulation. Enron’s withdrawal from electricity wholesaling must be a slap in the face for METI’s efforts?</w:t>
      </w:r>
    </w:p>
    <w:p>
      <w:pPr>
        <w:pStyle w:val="Normal"/>
        <w:rPr>
          <w:color w:val="000080"/>
          <w:sz w:val="22"/>
        </w:rPr>
      </w:pPr>
      <w:r>
        <w:rPr>
          <w:color w:val="000080"/>
          <w:sz w:val="22"/>
        </w:rPr>
      </w:r>
    </w:p>
    <w:p>
      <w:pPr>
        <w:pStyle w:val="Header"/>
        <w:tabs>
          <w:tab w:val="clear" w:pos="4320"/>
          <w:tab w:val="clear" w:pos="8640"/>
        </w:tabs>
        <w:rPr>
          <w:sz w:val="22"/>
        </w:rPr>
      </w:pPr>
      <w:r>
        <w:rPr>
          <w:sz w:val="22"/>
        </w:rPr>
        <w:t>We believe that the Japanese Government and METI are aware of the shortcomings of the current deregulation measures and remain committed to timely implementation of further reforms in the energy sector.</w:t>
      </w:r>
    </w:p>
    <w:p>
      <w:pPr>
        <w:pStyle w:val="Header"/>
        <w:tabs>
          <w:tab w:val="clear" w:pos="4320"/>
          <w:tab w:val="clear" w:pos="8640"/>
        </w:tabs>
        <w:rPr>
          <w:sz w:val="22"/>
        </w:rPr>
      </w:pPr>
      <w:r>
        <w:rPr>
          <w:sz w:val="22"/>
        </w:rPr>
      </w:r>
    </w:p>
    <w:p>
      <w:pPr>
        <w:pStyle w:val="Header"/>
        <w:tabs>
          <w:tab w:val="clear" w:pos="4320"/>
          <w:tab w:val="clear" w:pos="8640"/>
        </w:tabs>
        <w:rPr>
          <w:sz w:val="22"/>
        </w:rPr>
      </w:pPr>
      <w:r>
        <w:rPr>
          <w:sz w:val="22"/>
        </w:rPr>
        <w:t>It is not possible for Enron to develop an effective power marketing business in the current regulatory environment, although we will continue to push for the reforms which are needed to make Japanese business competitive in world markets.</w:t>
      </w:r>
    </w:p>
    <w:p>
      <w:pPr>
        <w:pStyle w:val="Header"/>
        <w:tabs>
          <w:tab w:val="clear" w:pos="4320"/>
          <w:tab w:val="clear" w:pos="8640"/>
        </w:tabs>
        <w:rPr>
          <w:sz w:val="22"/>
        </w:rPr>
      </w:pPr>
      <w:r>
        <w:rPr>
          <w:sz w:val="22"/>
        </w:rPr>
      </w:r>
    </w:p>
    <w:p>
      <w:pPr>
        <w:pStyle w:val="Normal"/>
        <w:rPr>
          <w:color w:val="000080"/>
          <w:sz w:val="22"/>
        </w:rPr>
      </w:pPr>
      <w:r>
        <w:rPr>
          <w:color w:val="000080"/>
          <w:sz w:val="22"/>
        </w:rPr>
      </w:r>
    </w:p>
    <w:p>
      <w:pPr>
        <w:pStyle w:val="BodyText"/>
        <w:rPr>
          <w:sz w:val="22"/>
        </w:rPr>
      </w:pPr>
      <w:r>
        <w:rPr>
          <w:sz w:val="22"/>
        </w:rPr>
        <w:t>What impact will Enron’s withdrawal have on EPower’s power plant development proposals in Japan?</w:t>
      </w:r>
    </w:p>
    <w:p>
      <w:pPr>
        <w:pStyle w:val="Normal"/>
        <w:rPr>
          <w:color w:val="000080"/>
          <w:sz w:val="22"/>
        </w:rPr>
      </w:pPr>
      <w:r>
        <w:rPr>
          <w:color w:val="000080"/>
          <w:sz w:val="22"/>
        </w:rPr>
      </w:r>
    </w:p>
    <w:p>
      <w:pPr>
        <w:pStyle w:val="Normal"/>
        <w:rPr>
          <w:sz w:val="22"/>
        </w:rPr>
      </w:pPr>
      <w:r>
        <w:rPr>
          <w:sz w:val="22"/>
        </w:rPr>
        <w:t>The suspension by Enron Japan of its power marketing activities will have no impact on EPower’s power plant development activities.</w:t>
      </w:r>
    </w:p>
    <w:p>
      <w:pPr>
        <w:pStyle w:val="Normal"/>
        <w:rPr>
          <w:color w:val="000080"/>
          <w:sz w:val="22"/>
        </w:rPr>
      </w:pPr>
      <w:r>
        <w:rPr>
          <w:color w:val="000080"/>
          <w:sz w:val="22"/>
        </w:rPr>
      </w:r>
    </w:p>
    <w:p>
      <w:pPr>
        <w:pStyle w:val="BodyText"/>
        <w:rPr>
          <w:sz w:val="22"/>
        </w:rPr>
      </w:pPr>
      <w:r>
        <w:rPr>
          <w:sz w:val="22"/>
        </w:rPr>
        <w:t>Will there be any layoffs as a result of the withdrawal from electricity sales?</w:t>
      </w:r>
    </w:p>
    <w:p>
      <w:pPr>
        <w:pStyle w:val="Normal"/>
        <w:rPr>
          <w:color w:val="000080"/>
          <w:sz w:val="22"/>
        </w:rPr>
      </w:pPr>
      <w:r>
        <w:rPr>
          <w:color w:val="000080"/>
          <w:sz w:val="22"/>
        </w:rPr>
      </w:r>
    </w:p>
    <w:p>
      <w:pPr>
        <w:pStyle w:val="Normal"/>
        <w:rPr>
          <w:sz w:val="22"/>
        </w:rPr>
      </w:pPr>
      <w:r>
        <w:rPr>
          <w:sz w:val="22"/>
        </w:rPr>
        <w:t xml:space="preserve">The will be no layoffs as a result of the suspension as the Enron Japan power marketing team will be redeployed around the business. In fact, given the strength of our other businesses in Japan, we are likely to continue to expand our workforce.  </w:t>
      </w:r>
    </w:p>
    <w:p>
      <w:pPr>
        <w:pStyle w:val="Normal"/>
        <w:rPr>
          <w:color w:val="000080"/>
          <w:sz w:val="22"/>
        </w:rPr>
      </w:pPr>
      <w:r>
        <w:rPr>
          <w:color w:val="000080"/>
          <w:sz w:val="22"/>
        </w:rPr>
      </w:r>
    </w:p>
    <w:p>
      <w:pPr>
        <w:pStyle w:val="BodyText"/>
        <w:rPr>
          <w:sz w:val="22"/>
        </w:rPr>
      </w:pPr>
      <w:r>
        <w:rPr>
          <w:sz w:val="22"/>
        </w:rPr>
        <w:t>How many employees does Enron Japan currently have and what is the target figure for the year-end?</w:t>
      </w:r>
    </w:p>
    <w:p>
      <w:pPr>
        <w:pStyle w:val="Normal"/>
        <w:rPr>
          <w:sz w:val="22"/>
        </w:rPr>
      </w:pPr>
      <w:r>
        <w:rPr>
          <w:sz w:val="22"/>
        </w:rPr>
        <w:t>Enron Japan currently has 53 employees, with a projected increase to 64 employees by year-end.</w:t>
      </w:r>
    </w:p>
    <w:p>
      <w:pPr>
        <w:pStyle w:val="Header"/>
        <w:tabs>
          <w:tab w:val="clear" w:pos="4320"/>
          <w:tab w:val="clear" w:pos="8640"/>
        </w:tabs>
        <w:rPr>
          <w:sz w:val="22"/>
        </w:rPr>
      </w:pPr>
      <w:r>
        <w:rPr>
          <w:sz w:val="22"/>
        </w:rPr>
      </w:r>
    </w:p>
    <w:p>
      <w:pPr>
        <w:pStyle w:val="Normal"/>
        <w:rPr>
          <w:b/>
          <w:bCs/>
          <w:color w:val="000080"/>
          <w:sz w:val="22"/>
        </w:rPr>
      </w:pPr>
      <w:r>
        <w:rPr>
          <w:b/>
          <w:bCs/>
          <w:color w:val="000080"/>
          <w:sz w:val="22"/>
        </w:rPr>
        <w:t>How many employees are Japanese nationals?</w:t>
      </w:r>
    </w:p>
    <w:p>
      <w:pPr>
        <w:pStyle w:val="Header"/>
        <w:tabs>
          <w:tab w:val="clear" w:pos="4320"/>
          <w:tab w:val="clear" w:pos="8640"/>
        </w:tabs>
        <w:rPr>
          <w:sz w:val="22"/>
        </w:rPr>
      </w:pPr>
      <w:r>
        <w:rPr>
          <w:sz w:val="22"/>
        </w:rPr>
        <w:t xml:space="preserve">Of the 53 employees, 32 are Japanese nationals. </w:t>
      </w:r>
    </w:p>
    <w:p>
      <w:pPr>
        <w:pStyle w:val="Normal"/>
        <w:rPr>
          <w:sz w:val="22"/>
        </w:rPr>
      </w:pPr>
      <w:r>
        <w:rPr>
          <w:sz w:val="22"/>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FILENAME \p </w:instrText>
    </w:r>
    <w:r>
      <w:rPr/>
      <w:fldChar w:fldCharType="separate"/>
    </w:r>
    <w:r>
      <w:rPr/>
      <w:t>/mnt/main-storage/datasets/enron-docs/doc/Reactive_Statement2.doc</w:t>
    </w:r>
    <w:r>
      <w:rPr/>
      <w:fldChar w:fldCharType="end"/>
    </w:r>
  </w:p>
</w:ftr>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overflowPunct w:val="false"/>
      <w:autoSpaceDE w:val="false"/>
      <w:bidi w:val="0"/>
      <w:textAlignment w:val="baseline"/>
    </w:pPr>
    <w:rPr>
      <w:rFonts w:ascii="Times New Roman" w:hAnsi="Times New Roman" w:eastAsia="Times New Roman" w:cs="Times New Roman"/>
      <w:color w:val="auto"/>
      <w:sz w:val="20"/>
      <w:szCs w:val="20"/>
      <w:lang w:val="en-GB" w:bidi="ar-SA" w:eastAsia="zh-CN"/>
    </w:rPr>
  </w:style>
  <w:style w:type="character" w:styleId="DefaultParagraphFont">
    <w:name w:val="Default Paragraph Font"/>
    <w:qFormat/>
    <w:rPr/>
  </w:style>
  <w:style w:type="paragraph" w:styleId="Heading">
    <w:name w:val="Heading"/>
    <w:basedOn w:val="Normal"/>
    <w:next w:val="BodyText"/>
    <w:qFormat/>
    <w:pPr>
      <w:overflowPunct w:val="true"/>
      <w:autoSpaceDE w:val="true"/>
      <w:jc w:val="center"/>
      <w:textAlignment w:val="auto"/>
    </w:pPr>
    <w:rPr>
      <w:sz w:val="32"/>
      <w:szCs w:val="24"/>
      <w:lang w:val="en-US"/>
    </w:rPr>
  </w:style>
  <w:style w:type="paragraph" w:styleId="BodyText">
    <w:name w:val="Body Text"/>
    <w:basedOn w:val="Normal"/>
    <w:pPr>
      <w:overflowPunct w:val="true"/>
      <w:autoSpaceDE w:val="true"/>
      <w:textAlignment w:val="auto"/>
    </w:pPr>
    <w:rPr>
      <w:b/>
      <w:bCs/>
      <w:color w:val="000080"/>
      <w:sz w:val="24"/>
      <w:szCs w:val="24"/>
      <w:lang w:val="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overflowPunct w:val="true"/>
      <w:autoSpaceDE w:val="true"/>
      <w:textAlignment w:val="auto"/>
    </w:pPr>
    <w:rPr>
      <w:sz w:val="24"/>
      <w:szCs w:val="24"/>
      <w:lang w:val="en-US"/>
    </w:rPr>
  </w:style>
  <w:style w:type="paragraph" w:styleId="Footer">
    <w:name w:val="footer"/>
    <w:basedOn w:val="Normal"/>
    <w:pPr>
      <w:tabs>
        <w:tab w:val="clear" w:pos="720"/>
        <w:tab w:val="center" w:pos="4320" w:leader="none"/>
        <w:tab w:val="right" w:pos="8640" w:leader="none"/>
      </w:tabs>
      <w:overflowPunct w:val="true"/>
      <w:autoSpaceDE w:val="true"/>
      <w:textAlignment w:val="auto"/>
    </w:pPr>
    <w:rPr>
      <w:sz w:val="24"/>
      <w:szCs w:val="24"/>
      <w:lang w:val="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2001-04-24T10:21:00Z</dcterms:created>
  <dc:creator>tralston</dc:creator>
  <dc:description/>
  <dc:language>en-CA</dc:language>
  <cp:lastModifiedBy>tralston</cp:lastModifiedBy>
  <dcterms:modified xsi:type="dcterms:W3CDTF">2001-04-24T10:25:00Z</dcterms:modified>
  <cp:revision>1</cp:revision>
  <dc:subject/>
  <dc:title>Reactive Statement</dc:title>
</cp:coreProperties>
</file>