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sz w:val="28"/>
        </w:rPr>
      </w:pPr>
      <w:r>
        <w:rPr>
          <w:sz w:val="28"/>
        </w:rPr>
        <w:t>FERC’S JUNE 19 WEST-WIDE PRICE MITIGATION ORDER</w:t>
      </w:r>
    </w:p>
    <w:p>
      <w:pPr>
        <w:pStyle w:val="Normal"/>
        <w:rPr>
          <w:sz w:val="28"/>
        </w:rPr>
      </w:pPr>
      <w:r>
        <w:rPr>
          <w:sz w:val="28"/>
        </w:rPr>
      </w:r>
    </w:p>
    <w:p>
      <w:pPr>
        <w:pStyle w:val="Normal"/>
        <w:rPr/>
      </w:pPr>
      <w:r>
        <w:rPr/>
        <w:t xml:space="preserve">On June 19, 2001 the FERC issued an Order on Rehearing, which expands the scope of its April 26, 2001 California price mitigation order to include west-wide electric wholesale price mitigation. The Order goes into effect on June 20, 2001 and continues for two summer seasons, until September 30, 2002. </w:t>
      </w:r>
    </w:p>
    <w:p>
      <w:pPr>
        <w:pStyle w:val="Normal"/>
        <w:rPr/>
      </w:pPr>
      <w:r>
        <w:rPr/>
      </w:r>
    </w:p>
    <w:p>
      <w:pPr>
        <w:pStyle w:val="Normal"/>
        <w:rPr/>
      </w:pPr>
      <w:r>
        <w:rPr/>
        <w:t>FERC has been under intense pressure from those who want to implement onerous and impractical cost-based “caps” for each generator operating in the western market and also from those who regard FERC’s intervention in markets as disruptive interference that will discourage production and new investment.</w:t>
      </w:r>
    </w:p>
    <w:p>
      <w:pPr>
        <w:pStyle w:val="Normal"/>
        <w:rPr/>
      </w:pPr>
      <w:r>
        <w:rPr/>
      </w:r>
    </w:p>
    <w:p>
      <w:pPr>
        <w:pStyle w:val="Normal"/>
        <w:rPr/>
      </w:pPr>
      <w:r>
        <w:rPr/>
        <w:t>Believing that its “market-based” price mitigation measures in California have been effective, FERC expands these measures in an attempted compromise between these positions.  In all respects, the Order is more stringent than previous decisions made by FERC on this matter:</w:t>
      </w:r>
    </w:p>
    <w:p>
      <w:pPr>
        <w:pStyle w:val="Normal"/>
        <w:rPr/>
      </w:pPr>
      <w:r>
        <w:rPr/>
      </w:r>
    </w:p>
    <w:p>
      <w:pPr>
        <w:pStyle w:val="Normal"/>
        <w:numPr>
          <w:ilvl w:val="0"/>
          <w:numId w:val="4"/>
        </w:numPr>
        <w:rPr>
          <w:color w:val="000000"/>
          <w:szCs w:val="20"/>
        </w:rPr>
      </w:pPr>
      <w:r>
        <w:rPr/>
        <w:t xml:space="preserve">The price mitigation plan is </w:t>
      </w:r>
      <w:r>
        <w:rPr>
          <w:color w:val="000000"/>
          <w:szCs w:val="20"/>
        </w:rPr>
        <w:t xml:space="preserve">to be applied to all eleven western states, on a 24 hours per day, 7 days per week basis.  Initially, it applied only during times of emergency in California.  The plan retains a single market clearing price auction for the spot market, based on marginal cost bids, which results in a proxy price. </w:t>
      </w:r>
      <w:r>
        <w:rPr/>
        <w:t>The term “spot market” refers to sales that are 24 hours or less and that are entered into the day of or the day prior to delivery.</w:t>
      </w:r>
    </w:p>
    <w:p>
      <w:pPr>
        <w:pStyle w:val="Normal"/>
        <w:rPr>
          <w:color w:val="000000"/>
          <w:szCs w:val="20"/>
        </w:rPr>
      </w:pPr>
      <w:r>
        <w:rPr>
          <w:color w:val="000000"/>
          <w:szCs w:val="20"/>
        </w:rPr>
      </w:r>
    </w:p>
    <w:p>
      <w:pPr>
        <w:pStyle w:val="Normal"/>
        <w:numPr>
          <w:ilvl w:val="0"/>
          <w:numId w:val="4"/>
        </w:numPr>
        <w:rPr>
          <w:color w:val="000000"/>
          <w:szCs w:val="20"/>
        </w:rPr>
      </w:pPr>
      <w:r>
        <w:rPr/>
        <w:t>Sellers, other than marketers, can bid higher than the proxy price, with justification.  Marketers can only bid up to the proxy price.  The Commission reasons that prohibiting marketers from making higher bids than the proxy will prevent circumvention of the price mitigation plan through sales to marketers above the proxy price (and subsequent justification by the marketer on the basis of cost) and “megawatt laundering”.</w:t>
      </w:r>
    </w:p>
    <w:p>
      <w:pPr>
        <w:pStyle w:val="Normal"/>
        <w:rPr>
          <w:color w:val="000000"/>
          <w:szCs w:val="20"/>
        </w:rPr>
      </w:pPr>
      <w:r>
        <w:rPr>
          <w:color w:val="000000"/>
          <w:szCs w:val="20"/>
        </w:rPr>
      </w:r>
    </w:p>
    <w:p>
      <w:pPr>
        <w:pStyle w:val="Normal"/>
        <w:numPr>
          <w:ilvl w:val="0"/>
          <w:numId w:val="4"/>
        </w:numPr>
        <w:rPr>
          <w:color w:val="000000"/>
          <w:szCs w:val="20"/>
        </w:rPr>
      </w:pPr>
      <w:r>
        <w:rPr>
          <w:color w:val="000000"/>
          <w:szCs w:val="20"/>
        </w:rPr>
        <w:t xml:space="preserve">The plan will require all sellers, including marketers and non-public utilities, to offer all their available power in real time.  All California generators, even those not subject to FERC price regulation, will be required to sell available power into the CAISO's real time market.   Sellers in the rest of the West are similarly required to sell, except that they are not required to sell into California and can choose their spot market.  </w:t>
      </w:r>
      <w:r>
        <w:rPr/>
        <w:t xml:space="preserve">This “must-sell requirement” is intended to ensure that capacity is not being withheld for inappropriate reasons. </w:t>
      </w:r>
      <w:r>
        <w:rPr>
          <w:color w:val="000000"/>
          <w:szCs w:val="20"/>
        </w:rPr>
        <w:t xml:space="preserve"> Hydroelectric facilities will continue to be exempted from the must-sell requirement. </w:t>
      </w:r>
    </w:p>
    <w:p>
      <w:pPr>
        <w:pStyle w:val="Normal"/>
        <w:rPr>
          <w:color w:val="000000"/>
          <w:szCs w:val="20"/>
        </w:rPr>
      </w:pPr>
      <w:r>
        <w:rPr>
          <w:color w:val="000000"/>
          <w:szCs w:val="20"/>
        </w:rPr>
      </w:r>
    </w:p>
    <w:p>
      <w:pPr>
        <w:pStyle w:val="Normal"/>
        <w:numPr>
          <w:ilvl w:val="0"/>
          <w:numId w:val="4"/>
        </w:numPr>
        <w:rPr>
          <w:color w:val="000000"/>
          <w:szCs w:val="20"/>
        </w:rPr>
      </w:pPr>
      <w:r>
        <w:rPr>
          <w:color w:val="000000"/>
          <w:szCs w:val="20"/>
        </w:rPr>
        <w:t xml:space="preserve">Sellers will be subject to losing their market based rate authority for engaging in anticompetitive behavior.  Also, as a condition of continued authorization of market based rates, public utility sellers must agree to refunds with interest of any overcharges resulting from anticompetitive bidding or behavior. </w:t>
      </w:r>
    </w:p>
    <w:p>
      <w:pPr>
        <w:pStyle w:val="Normal"/>
        <w:rPr>
          <w:color w:val="000000"/>
          <w:szCs w:val="20"/>
        </w:rPr>
      </w:pPr>
      <w:r>
        <w:rPr>
          <w:color w:val="000000"/>
          <w:szCs w:val="20"/>
        </w:rPr>
      </w:r>
    </w:p>
    <w:p>
      <w:pPr>
        <w:pStyle w:val="Normal"/>
        <w:numPr>
          <w:ilvl w:val="0"/>
          <w:numId w:val="4"/>
        </w:numPr>
        <w:rPr>
          <w:color w:val="000000"/>
          <w:szCs w:val="20"/>
        </w:rPr>
      </w:pPr>
      <w:r>
        <w:rPr>
          <w:color w:val="000000"/>
          <w:szCs w:val="20"/>
        </w:rPr>
        <w:t>The demand side management plan, originally set forth in the April 26 order, will not be implemented by the Commission in this Order due to “technical impracticalities” (in the face of CAISO noncompliance with the plan).  Alternatively, FERC institutes various reporting requirements and intends to conduct a staff technical conference to explore how demand response can be increased.</w:t>
      </w:r>
    </w:p>
    <w:p>
      <w:pPr>
        <w:pStyle w:val="Normal"/>
        <w:rPr>
          <w:color w:val="000000"/>
          <w:szCs w:val="20"/>
        </w:rPr>
      </w:pPr>
      <w:r>
        <w:rPr>
          <w:color w:val="000000"/>
          <w:szCs w:val="20"/>
        </w:rPr>
        <w:t xml:space="preserve"> </w:t>
      </w:r>
    </w:p>
    <w:p>
      <w:pPr>
        <w:pStyle w:val="Normal"/>
        <w:numPr>
          <w:ilvl w:val="0"/>
          <w:numId w:val="4"/>
        </w:numPr>
        <w:rPr>
          <w:color w:val="000000"/>
          <w:szCs w:val="20"/>
        </w:rPr>
      </w:pPr>
      <w:r>
        <w:rPr>
          <w:color w:val="000000"/>
          <w:szCs w:val="20"/>
        </w:rPr>
        <w:t>An administrative law judge will convene a settlement conference on June 25, 2001 covering issues which include, but are not limited to:  (1) additional load to be moved from the spot market to longer term contracts, (2) refund (offset) issues related to past periods, and (3) creditworthiness matters.  The parties will have 15 days to settle, and a report from the judge to the Commission is due 7 days thereafter (for a total of 22 days).</w:t>
      </w:r>
    </w:p>
    <w:p>
      <w:pPr>
        <w:pStyle w:val="Normal"/>
        <w:rPr>
          <w:color w:val="000000"/>
          <w:szCs w:val="20"/>
        </w:rPr>
      </w:pPr>
      <w:r>
        <w:rPr>
          <w:color w:val="000000"/>
          <w:szCs w:val="20"/>
        </w:rPr>
      </w:r>
    </w:p>
    <w:p>
      <w:pPr>
        <w:pStyle w:val="Normal"/>
        <w:numPr>
          <w:ilvl w:val="0"/>
          <w:numId w:val="4"/>
        </w:numPr>
        <w:rPr>
          <w:color w:val="000000"/>
          <w:szCs w:val="20"/>
        </w:rPr>
      </w:pPr>
      <w:r>
        <w:rPr>
          <w:color w:val="000000"/>
          <w:szCs w:val="20"/>
        </w:rPr>
        <w:t>Duke Energy is directed to refund (with interest), down to the level of the applicable proxy price, their well-publicized bid of $3,880/MWh.</w:t>
      </w:r>
    </w:p>
    <w:p>
      <w:pPr>
        <w:pStyle w:val="Normal"/>
        <w:rPr>
          <w:color w:val="000000"/>
          <w:szCs w:val="20"/>
        </w:rPr>
      </w:pPr>
      <w:r>
        <w:rPr>
          <w:color w:val="000000"/>
          <w:szCs w:val="20"/>
        </w:rPr>
      </w:r>
    </w:p>
    <w:p>
      <w:pPr>
        <w:pStyle w:val="Normal"/>
        <w:numPr>
          <w:ilvl w:val="0"/>
          <w:numId w:val="4"/>
        </w:numPr>
        <w:rPr/>
      </w:pPr>
      <w:r>
        <w:rPr>
          <w:color w:val="000000"/>
          <w:szCs w:val="20"/>
        </w:rPr>
        <w:t>Issues that are not addressed in the Order include: (1) confidentiality of bid justification data, (2) the independence of the CAISO board, (3) requests for suspension of the CAISO underscheduling penalty, and (4) the RTO proposals of the CAISO and the two California IOU’s.</w:t>
      </w:r>
    </w:p>
    <w:p>
      <w:pPr>
        <w:pStyle w:val="Normal"/>
        <w:rPr/>
      </w:pPr>
      <w:r>
        <w:rPr/>
      </w:r>
    </w:p>
    <w:p>
      <w:pPr>
        <w:pStyle w:val="Heading2"/>
        <w:ind w:hanging="0" w:start="0"/>
        <w:rPr/>
      </w:pPr>
      <w:r>
        <w:rPr/>
      </w:r>
    </w:p>
    <w:p>
      <w:pPr>
        <w:pStyle w:val="Heading2"/>
        <w:ind w:hanging="0" w:start="0"/>
        <w:jc w:val="center"/>
        <w:rPr/>
      </w:pPr>
      <w:r>
        <w:rPr/>
        <w:t>BACKGROUND</w:t>
      </w:r>
    </w:p>
    <w:p>
      <w:pPr>
        <w:pStyle w:val="Normal"/>
        <w:rPr/>
      </w:pPr>
      <w:r>
        <w:rPr/>
      </w:r>
    </w:p>
    <w:p>
      <w:pPr>
        <w:pStyle w:val="Normal"/>
        <w:rPr>
          <w:szCs w:val="26"/>
        </w:rPr>
      </w:pPr>
      <w:r>
        <w:rPr>
          <w:szCs w:val="26"/>
        </w:rPr>
        <w:t>In an order issued August 23, 2000, the Commission instituted formal hearing proceedings under section 206 of the FPA to investigate the justness and reasonableness of the rates for energy and ancillary services of public utility sellers into the CAISO and PX spot markets, and also to investigate whether the tariffs, contracts, institutional structures, and bylaws of the CAISO and PX were adversely affecting the wholesale power markets in California.  These proceedings were intended to investigate the significant increases in the prices for energy and ancillary services in the California market.</w:t>
      </w:r>
    </w:p>
    <w:p>
      <w:pPr>
        <w:pStyle w:val="Normal"/>
        <w:rPr>
          <w:szCs w:val="26"/>
        </w:rPr>
      </w:pPr>
      <w:r>
        <w:rPr>
          <w:szCs w:val="26"/>
        </w:rPr>
      </w:r>
    </w:p>
    <w:p>
      <w:pPr>
        <w:pStyle w:val="Normal"/>
        <w:rPr>
          <w:szCs w:val="26"/>
        </w:rPr>
      </w:pPr>
      <w:r>
        <w:rPr>
          <w:szCs w:val="26"/>
        </w:rPr>
        <w:t>In the December 15 Order, the Commission found that the market structures and rules for wholesale sales of electric energy in California were seriously flawed and that these structures and rules, in conjunction with an imbalance of supply and demand in California, have caused, and continue to have the potential to cause, unjust and unreasonable rates for short-term energy under certain conditions.  The Commission, therefore, established a variety of remedies for the California wholesale electric markets, which included, in part, elimination of the mandatory PX Buy-Sell requirement, establishment of penalties for underscheduling load, a requirement for an independent governing board for the CAISO, and a requirement for the filing of generation interconnection procedures.</w:t>
      </w:r>
    </w:p>
    <w:p>
      <w:pPr>
        <w:pStyle w:val="Normal"/>
        <w:ind w:firstLine="720" w:end="0"/>
        <w:rPr>
          <w:szCs w:val="26"/>
        </w:rPr>
      </w:pPr>
      <w:r>
        <w:rPr>
          <w:szCs w:val="26"/>
        </w:rPr>
      </w:r>
    </w:p>
    <w:p>
      <w:pPr>
        <w:pStyle w:val="Normal"/>
        <w:rPr>
          <w:szCs w:val="26"/>
        </w:rPr>
      </w:pPr>
      <w:r>
        <w:rPr>
          <w:szCs w:val="26"/>
        </w:rPr>
        <w:t>As an interim measure, the Commission also established a $150/MWh breakpoint under which public utility sellers bidding above the breakpoint receive their actual bids, but are subject to monitoring and reporting requirements to ensure that rates remain just and reasonable, including the potential for having to pay refunds for prices charged above the breakpoint.  The December 15 Order also required the development of a longer term mitigation plan to replace the interim breakpoint methodology by May 1, 2001.</w:t>
      </w:r>
    </w:p>
    <w:p>
      <w:pPr>
        <w:pStyle w:val="Normal"/>
        <w:rPr>
          <w:szCs w:val="26"/>
        </w:rPr>
      </w:pPr>
      <w:r>
        <w:rPr>
          <w:szCs w:val="26"/>
        </w:rPr>
      </w:r>
    </w:p>
    <w:p>
      <w:pPr>
        <w:pStyle w:val="Normal"/>
        <w:rPr>
          <w:szCs w:val="26"/>
        </w:rPr>
      </w:pPr>
      <w:r>
        <w:rPr>
          <w:szCs w:val="26"/>
        </w:rPr>
        <w:t>On January 23, 2001, the FERC Staff convened a technical conference to develop a plan to replace the interim breakpoint price.  Comments and reply comments on how to replace the interim break-point were filed with the Commission.  In March 2001, Commission Staff issued a recommendation for prospective market monitoring and mitigation for the real-time electric market, and comments were filed on this proposal.  The comments focused in particular on the method used for price mitigation and the periods when mitigation would be applied.</w:t>
      </w:r>
    </w:p>
    <w:p>
      <w:pPr>
        <w:pStyle w:val="Normal"/>
        <w:rPr>
          <w:szCs w:val="26"/>
        </w:rPr>
      </w:pPr>
      <w:r>
        <w:rPr>
          <w:szCs w:val="26"/>
        </w:rPr>
      </w:r>
    </w:p>
    <w:p>
      <w:pPr>
        <w:pStyle w:val="Normal"/>
        <w:rPr>
          <w:szCs w:val="26"/>
        </w:rPr>
      </w:pPr>
      <w:r>
        <w:rPr>
          <w:szCs w:val="26"/>
        </w:rPr>
        <w:t>On April 26, 2001, the Commission issued its order adopting a prospective monitoring and mitigation plan for real-time California wholesale electric markets.  The Commission's plan included the following elements:</w:t>
      </w:r>
    </w:p>
    <w:p>
      <w:pPr>
        <w:pStyle w:val="Normal"/>
        <w:rPr>
          <w:szCs w:val="26"/>
        </w:rPr>
      </w:pPr>
      <w:r>
        <w:rPr>
          <w:szCs w:val="26"/>
        </w:rPr>
      </w:r>
    </w:p>
    <w:p>
      <w:pPr>
        <w:pStyle w:val="Normal"/>
        <w:numPr>
          <w:ilvl w:val="0"/>
          <w:numId w:val="5"/>
        </w:numPr>
        <w:rPr>
          <w:szCs w:val="26"/>
        </w:rPr>
      </w:pPr>
      <w:r>
        <w:rPr>
          <w:szCs w:val="26"/>
        </w:rPr>
        <w:t>It enhanced the CAISO's ability to coordinate and control planned outages during all hours.</w:t>
      </w:r>
    </w:p>
    <w:p>
      <w:pPr>
        <w:pStyle w:val="Normal"/>
        <w:rPr>
          <w:szCs w:val="26"/>
        </w:rPr>
      </w:pPr>
      <w:r>
        <w:rPr>
          <w:szCs w:val="26"/>
        </w:rPr>
      </w:r>
    </w:p>
    <w:p>
      <w:pPr>
        <w:pStyle w:val="Normal"/>
        <w:numPr>
          <w:ilvl w:val="0"/>
          <w:numId w:val="5"/>
        </w:numPr>
        <w:rPr>
          <w:szCs w:val="26"/>
        </w:rPr>
      </w:pPr>
      <w:r>
        <w:rPr>
          <w:szCs w:val="26"/>
        </w:rPr>
        <w:t>It required sellers with Participating Generator Agreements (PGAs), as well as non-public utility generators located in California that voluntarily make sales through the CAISO's markets or use the CAISO's interstate transmission grid (with the exception of hydroelectric power), to offer all their available power in real time during all hours.</w:t>
      </w:r>
    </w:p>
    <w:p>
      <w:pPr>
        <w:pStyle w:val="Normal"/>
        <w:rPr>
          <w:szCs w:val="26"/>
        </w:rPr>
      </w:pPr>
      <w:r>
        <w:rPr>
          <w:szCs w:val="26"/>
        </w:rPr>
      </w:r>
    </w:p>
    <w:p>
      <w:pPr>
        <w:pStyle w:val="Normal"/>
        <w:numPr>
          <w:ilvl w:val="0"/>
          <w:numId w:val="5"/>
        </w:numPr>
        <w:rPr>
          <w:szCs w:val="26"/>
        </w:rPr>
      </w:pPr>
      <w:r>
        <w:rPr>
          <w:szCs w:val="26"/>
        </w:rPr>
        <w:t>It required public utility load serving entities to submit demand bids (identifying the price at which load will be curtailed) in the real-time market during all hours.</w:t>
      </w:r>
    </w:p>
    <w:p>
      <w:pPr>
        <w:pStyle w:val="Normal"/>
        <w:ind w:start="720" w:end="0"/>
        <w:rPr>
          <w:szCs w:val="26"/>
        </w:rPr>
      </w:pPr>
      <w:r>
        <w:rPr>
          <w:szCs w:val="26"/>
        </w:rPr>
      </w:r>
    </w:p>
    <w:p>
      <w:pPr>
        <w:pStyle w:val="Normal"/>
        <w:numPr>
          <w:ilvl w:val="0"/>
          <w:numId w:val="5"/>
        </w:numPr>
        <w:rPr>
          <w:szCs w:val="26"/>
        </w:rPr>
      </w:pPr>
      <w:r>
        <w:rPr>
          <w:szCs w:val="26"/>
        </w:rPr>
        <w:t>It established conditions, including refund liability, on public utility sellers' market-based rate authority to prevent anticompetitive bidding behavior in the real-time market during all hours.</w:t>
      </w:r>
    </w:p>
    <w:p>
      <w:pPr>
        <w:pStyle w:val="Normal"/>
        <w:rPr>
          <w:szCs w:val="26"/>
        </w:rPr>
      </w:pPr>
      <w:r>
        <w:rPr>
          <w:szCs w:val="26"/>
        </w:rPr>
      </w:r>
    </w:p>
    <w:p>
      <w:pPr>
        <w:pStyle w:val="Normal"/>
        <w:numPr>
          <w:ilvl w:val="0"/>
          <w:numId w:val="5"/>
        </w:numPr>
        <w:rPr>
          <w:szCs w:val="26"/>
        </w:rPr>
      </w:pPr>
      <w:r>
        <w:rPr>
          <w:szCs w:val="26"/>
        </w:rPr>
        <w:t>It required the CAISO to submit weekly reports on schedule, outage, and bid data for all hours so that Commission staff can continue to monitor generating unit outages and real-time prices.</w:t>
      </w:r>
    </w:p>
    <w:p>
      <w:pPr>
        <w:pStyle w:val="Normal"/>
        <w:rPr>
          <w:szCs w:val="26"/>
        </w:rPr>
      </w:pPr>
      <w:r>
        <w:rPr>
          <w:szCs w:val="26"/>
        </w:rPr>
      </w:r>
    </w:p>
    <w:p>
      <w:pPr>
        <w:pStyle w:val="Normal"/>
        <w:numPr>
          <w:ilvl w:val="0"/>
          <w:numId w:val="5"/>
        </w:numPr>
        <w:rPr>
          <w:szCs w:val="26"/>
        </w:rPr>
      </w:pPr>
      <w:r>
        <w:rPr>
          <w:szCs w:val="26"/>
        </w:rPr>
        <w:t>It established a mechanism for price mitigation for all sellers (excluding out-of-state generators) bidding into the CAISO's real-time market during a reserve deficiency, beginning at a Stage 1 alert, which is defined as having reserves of 7 percent or less.  Under this mechanism, the Commission established a formula (based on gas-fired generation) that the CAISO can use to establish the real-time market-clearing price when mitigation applies.  Higher bids were permitted if they could be justified.</w:t>
      </w:r>
    </w:p>
    <w:p>
      <w:pPr>
        <w:pStyle w:val="Normal"/>
        <w:rPr>
          <w:szCs w:val="26"/>
        </w:rPr>
      </w:pPr>
      <w:r>
        <w:rPr>
          <w:szCs w:val="26"/>
        </w:rPr>
      </w:r>
    </w:p>
    <w:p>
      <w:pPr>
        <w:pStyle w:val="Normal"/>
        <w:rPr>
          <w:szCs w:val="26"/>
        </w:rPr>
      </w:pPr>
      <w:r>
        <w:rPr>
          <w:szCs w:val="26"/>
        </w:rPr>
        <w:t xml:space="preserve">In the April 26 Order, the Commission also established an inquiry into whether a price mitigation plan similar to the one for California should be implemented in the WSCC.  </w:t>
      </w:r>
    </w:p>
    <w:p>
      <w:pPr>
        <w:pStyle w:val="Normal"/>
        <w:rPr>
          <w:szCs w:val="26"/>
        </w:rPr>
      </w:pPr>
      <w:r>
        <w:rPr>
          <w:szCs w:val="26"/>
        </w:rPr>
      </w:r>
    </w:p>
    <w:p>
      <w:pPr>
        <w:pStyle w:val="Normal"/>
        <w:rPr>
          <w:szCs w:val="26"/>
        </w:rPr>
      </w:pPr>
      <w:r>
        <w:rPr>
          <w:szCs w:val="26"/>
        </w:rPr>
      </w:r>
    </w:p>
    <w:p>
      <w:pPr>
        <w:pStyle w:val="Heading3"/>
        <w:ind w:hanging="0" w:start="0"/>
        <w:jc w:val="center"/>
        <w:rPr>
          <w:b/>
          <w:bCs/>
        </w:rPr>
      </w:pPr>
      <w:r>
        <w:rPr>
          <w:b/>
          <w:bCs/>
        </w:rPr>
        <w:t>FERC’S MAJOR CONSIDERATIONS IN REVISING AND EXPANDING THE PRICE MITIGATION PLAN TO THE WSCC</w:t>
      </w:r>
    </w:p>
    <w:p>
      <w:pPr>
        <w:pStyle w:val="Normal"/>
        <w:rPr>
          <w:b/>
          <w:bCs/>
          <w:u w:val="single"/>
        </w:rPr>
      </w:pPr>
      <w:r>
        <w:rPr>
          <w:b/>
          <w:bCs/>
          <w:u w:val="single"/>
        </w:rPr>
      </w:r>
    </w:p>
    <w:p>
      <w:pPr>
        <w:pStyle w:val="Normal"/>
        <w:numPr>
          <w:ilvl w:val="0"/>
          <w:numId w:val="3"/>
        </w:numPr>
        <w:rPr>
          <w:szCs w:val="26"/>
        </w:rPr>
      </w:pPr>
      <w:r>
        <w:rPr>
          <w:szCs w:val="26"/>
        </w:rPr>
        <w:t>FERC finds a critical interdependence among the prices in the CAISO's organized spot markets, the prices in the bilateral spot markets in California and the rest of the West, and the prices in forward markets.</w:t>
      </w:r>
    </w:p>
    <w:p>
      <w:pPr>
        <w:pStyle w:val="Normal"/>
        <w:rPr>
          <w:szCs w:val="26"/>
        </w:rPr>
      </w:pPr>
      <w:r>
        <w:rPr>
          <w:szCs w:val="26"/>
        </w:rPr>
      </w:r>
    </w:p>
    <w:p>
      <w:pPr>
        <w:pStyle w:val="Normal"/>
        <w:numPr>
          <w:ilvl w:val="0"/>
          <w:numId w:val="3"/>
        </w:numPr>
        <w:rPr>
          <w:szCs w:val="26"/>
        </w:rPr>
      </w:pPr>
      <w:r>
        <w:rPr>
          <w:szCs w:val="26"/>
        </w:rPr>
        <w:t xml:space="preserve">FERC’s evaluation is that uniform price mitigation for California and the balance of the West should reflect the same essential competitive market principles, while recognizing the significant differences in the structure of those markets.  It also should eliminate incentives for "megawatt laundering". </w:t>
      </w:r>
    </w:p>
    <w:p>
      <w:pPr>
        <w:pStyle w:val="Normal"/>
        <w:rPr>
          <w:szCs w:val="26"/>
        </w:rPr>
      </w:pPr>
      <w:r>
        <w:rPr>
          <w:szCs w:val="26"/>
        </w:rPr>
      </w:r>
    </w:p>
    <w:p>
      <w:pPr>
        <w:pStyle w:val="Normal"/>
        <w:numPr>
          <w:ilvl w:val="0"/>
          <w:numId w:val="3"/>
        </w:numPr>
        <w:rPr>
          <w:szCs w:val="26"/>
        </w:rPr>
      </w:pPr>
      <w:r>
        <w:rPr>
          <w:szCs w:val="26"/>
        </w:rPr>
        <w:t>FERC balances the need for immediate price relief for customers against the need for price signals to attract new supply and demand-side investments.</w:t>
      </w:r>
    </w:p>
    <w:p>
      <w:pPr>
        <w:pStyle w:val="Normal"/>
        <w:rPr>
          <w:szCs w:val="26"/>
        </w:rPr>
      </w:pPr>
      <w:r>
        <w:rPr>
          <w:szCs w:val="26"/>
        </w:rPr>
      </w:r>
    </w:p>
    <w:p>
      <w:pPr>
        <w:pStyle w:val="Normal"/>
        <w:numPr>
          <w:ilvl w:val="0"/>
          <w:numId w:val="3"/>
        </w:numPr>
        <w:rPr>
          <w:szCs w:val="26"/>
        </w:rPr>
      </w:pPr>
      <w:r>
        <w:rPr>
          <w:szCs w:val="26"/>
        </w:rPr>
        <w:t xml:space="preserve">FERC believes that eliminating California's excessive reliance on spot markets is the key to remedying the dysfunctions in the energy markets in the West and in bringing both spot and forward prices down over the last few months.  FERC observes that, while significant progress has been made, some 20 percent of California's load remains in the CAISO's spot markets at peak periods. </w:t>
      </w:r>
    </w:p>
    <w:p>
      <w:pPr>
        <w:pStyle w:val="Normal"/>
        <w:rPr>
          <w:szCs w:val="26"/>
        </w:rPr>
      </w:pPr>
      <w:r>
        <w:rPr>
          <w:szCs w:val="26"/>
        </w:rPr>
      </w:r>
    </w:p>
    <w:p>
      <w:pPr>
        <w:pStyle w:val="Normal"/>
        <w:numPr>
          <w:ilvl w:val="0"/>
          <w:numId w:val="3"/>
        </w:numPr>
        <w:rPr>
          <w:szCs w:val="26"/>
        </w:rPr>
      </w:pPr>
      <w:r>
        <w:rPr>
          <w:szCs w:val="26"/>
        </w:rPr>
        <w:t>Buyers and sellers need certainty and closure- price mitigation should have clear rules, should set prices before they are charged and should not subject prices to change or adjustment after financial settlement of the day's transactions.  Similarly, it should not be administratively burdensome.</w:t>
      </w:r>
    </w:p>
    <w:p>
      <w:pPr>
        <w:pStyle w:val="Normal"/>
        <w:rPr>
          <w:szCs w:val="26"/>
        </w:rPr>
      </w:pPr>
      <w:r>
        <w:rPr>
          <w:szCs w:val="26"/>
        </w:rPr>
      </w:r>
    </w:p>
    <w:p>
      <w:pPr>
        <w:pStyle w:val="Normal"/>
        <w:numPr>
          <w:ilvl w:val="0"/>
          <w:numId w:val="3"/>
        </w:numPr>
        <w:rPr>
          <w:szCs w:val="26"/>
        </w:rPr>
      </w:pPr>
      <w:r>
        <w:rPr>
          <w:szCs w:val="26"/>
        </w:rPr>
        <w:t xml:space="preserve">Abuse of market power cannot and will not be tolerated.  </w:t>
      </w:r>
    </w:p>
    <w:p>
      <w:pPr>
        <w:pStyle w:val="Normal"/>
        <w:rPr>
          <w:szCs w:val="26"/>
        </w:rPr>
      </w:pPr>
      <w:r>
        <w:rPr>
          <w:szCs w:val="26"/>
        </w:rPr>
      </w:r>
    </w:p>
    <w:p>
      <w:pPr>
        <w:pStyle w:val="Normal"/>
        <w:rPr/>
      </w:pPr>
      <w:r>
        <w:rPr/>
      </w:r>
    </w:p>
    <w:p>
      <w:pPr>
        <w:pStyle w:val="Heading3"/>
        <w:ind w:hanging="0" w:start="0"/>
        <w:jc w:val="center"/>
        <w:rPr>
          <w:b/>
          <w:bCs/>
        </w:rPr>
      </w:pPr>
      <w:r>
        <w:rPr>
          <w:b/>
          <w:bCs/>
        </w:rPr>
        <w:t>THE REVISED PRICE MITIGATION FORMULA</w:t>
      </w:r>
    </w:p>
    <w:p>
      <w:pPr>
        <w:pStyle w:val="Normal"/>
        <w:rPr>
          <w:b/>
          <w:bCs/>
          <w:u w:val="single"/>
        </w:rPr>
      </w:pPr>
      <w:r>
        <w:rPr>
          <w:b/>
          <w:bCs/>
          <w:u w:val="single"/>
        </w:rPr>
      </w:r>
    </w:p>
    <w:p>
      <w:pPr>
        <w:pStyle w:val="Normal"/>
        <w:rPr/>
      </w:pPr>
      <w:r>
        <w:rPr>
          <w:szCs w:val="26"/>
        </w:rPr>
        <w:t xml:space="preserve">FERC retains the use of a single market clearing price with must-offer and marginal cost bidding requirements for sales in the CAISO's spot markets in reserve deficiency hours, </w:t>
      </w:r>
      <w:r>
        <w:rPr>
          <w:szCs w:val="26"/>
          <w:u w:val="single"/>
        </w:rPr>
        <w:t>i.e</w:t>
      </w:r>
      <w:r>
        <w:rPr>
          <w:szCs w:val="26"/>
        </w:rPr>
        <w:t xml:space="preserve">., Stage 1 when reserves are below 7 percent in California.  Sellers in the CAISO's single price auctions will receive the hourly proxy price.  For sales outside the CAISO's single price auctions (bilateral sales in California and the rest of the WSCC) FERC will apply this proxy price as a maximum price.  Sellers outside the CAISO's single price auction will receive the prices they negotiate up to this maximum price.  </w:t>
      </w:r>
    </w:p>
    <w:p>
      <w:pPr>
        <w:pStyle w:val="Normal"/>
        <w:rPr>
          <w:szCs w:val="26"/>
        </w:rPr>
      </w:pPr>
      <w:r>
        <w:rPr>
          <w:szCs w:val="26"/>
        </w:rPr>
      </w:r>
    </w:p>
    <w:p>
      <w:pPr>
        <w:pStyle w:val="Normal"/>
        <w:rPr>
          <w:szCs w:val="26"/>
        </w:rPr>
      </w:pPr>
      <w:r>
        <w:rPr>
          <w:szCs w:val="26"/>
        </w:rPr>
        <w:t xml:space="preserve">There are, however, several adjustments to the proxy price methodology FERC previously used:  </w:t>
      </w:r>
    </w:p>
    <w:p>
      <w:pPr>
        <w:pStyle w:val="Normal"/>
        <w:rPr>
          <w:szCs w:val="26"/>
        </w:rPr>
      </w:pPr>
      <w:r>
        <w:rPr>
          <w:szCs w:val="26"/>
        </w:rPr>
      </w:r>
    </w:p>
    <w:p>
      <w:pPr>
        <w:pStyle w:val="Normal"/>
        <w:numPr>
          <w:ilvl w:val="0"/>
          <w:numId w:val="2"/>
        </w:numPr>
        <w:rPr>
          <w:szCs w:val="26"/>
        </w:rPr>
      </w:pPr>
      <w:r>
        <w:rPr>
          <w:szCs w:val="26"/>
        </w:rPr>
        <w:t xml:space="preserve">Marketers will be required to bid as price takers.  This means that marketers cannot bid higher than the proxy price.  </w:t>
      </w:r>
    </w:p>
    <w:p>
      <w:pPr>
        <w:pStyle w:val="Normal"/>
        <w:rPr>
          <w:szCs w:val="26"/>
        </w:rPr>
      </w:pPr>
      <w:r>
        <w:rPr>
          <w:szCs w:val="26"/>
        </w:rPr>
      </w:r>
    </w:p>
    <w:p>
      <w:pPr>
        <w:pStyle w:val="Normal"/>
        <w:numPr>
          <w:ilvl w:val="0"/>
          <w:numId w:val="2"/>
        </w:numPr>
        <w:rPr>
          <w:szCs w:val="26"/>
        </w:rPr>
      </w:pPr>
      <w:r>
        <w:rPr>
          <w:szCs w:val="26"/>
        </w:rPr>
        <w:t>FERC will require sellers that own generation to submit bids during reserve deficiencies that are no higher than the marginal cost to replace gas used for generation (</w:t>
      </w:r>
      <w:r>
        <w:rPr>
          <w:szCs w:val="26"/>
          <w:u w:val="single"/>
        </w:rPr>
        <w:t>i.e</w:t>
      </w:r>
      <w:r>
        <w:rPr>
          <w:szCs w:val="26"/>
        </w:rPr>
        <w:t>., what the seller would pay to procure gas at the last minute) plus variable O&amp;M costs.  FERC revises the spot gas prices to be used in the formula by requiring the CAISO to average the mid-point of the monthly bid-week prices reported by Gas Daily for 3 spot market prices reported for California.  The O&amp;M adder is increased from $2/MWh to $6/MWh.</w:t>
      </w:r>
    </w:p>
    <w:p>
      <w:pPr>
        <w:pStyle w:val="Normal"/>
        <w:rPr>
          <w:szCs w:val="26"/>
        </w:rPr>
      </w:pPr>
      <w:r>
        <w:rPr>
          <w:szCs w:val="26"/>
        </w:rPr>
      </w:r>
    </w:p>
    <w:p>
      <w:pPr>
        <w:pStyle w:val="Normal"/>
        <w:numPr>
          <w:ilvl w:val="0"/>
          <w:numId w:val="2"/>
        </w:numPr>
        <w:rPr>
          <w:szCs w:val="26"/>
        </w:rPr>
      </w:pPr>
      <w:r>
        <w:rPr>
          <w:szCs w:val="26"/>
        </w:rPr>
        <w:t xml:space="preserve">Fuel start-up and emissions costs are eliminated from the formula- FERC instructs bidders to invoice the CAISO directly for the cost to comply with emissions requirements and for start-up fuel costs and direct the CAISO to file a rate mechanism to bill those costs over the entire load on the CAISO system.  FERC felt that these cost inputs have proven too varied to standardize in a single proxy price.  </w:t>
      </w:r>
    </w:p>
    <w:p>
      <w:pPr>
        <w:pStyle w:val="Normal"/>
        <w:rPr>
          <w:szCs w:val="26"/>
        </w:rPr>
      </w:pPr>
      <w:r>
        <w:rPr>
          <w:szCs w:val="26"/>
        </w:rPr>
      </w:r>
    </w:p>
    <w:p>
      <w:pPr>
        <w:pStyle w:val="Normal"/>
        <w:rPr/>
      </w:pPr>
      <w:r>
        <w:rPr>
          <w:szCs w:val="26"/>
        </w:rPr>
        <w:t>For spot market sales, both in the WSCC and in California, in all non- reserve deficiency hours (</w:t>
      </w:r>
      <w:r>
        <w:rPr>
          <w:szCs w:val="26"/>
          <w:u w:val="single"/>
        </w:rPr>
        <w:t>i.e</w:t>
      </w:r>
      <w:r>
        <w:rPr>
          <w:szCs w:val="26"/>
        </w:rPr>
        <w:t>., when reserve levels in the CAISO exceed 7%),  FERC adapts the use of these proxy prices.  Eighty-five percent (85%) of the highest CAISO hourly proxy price established during the hours when the last Stage 1 (not Stage 2 or 3) was in effect will, absent justification, serve as the maximum price for the subsequent period.  For example, if the highest hourly proxy price during a Stage 1 is $140/MWh, spot prices in all subsequent non-reserve deficiency hours beginning when Stage 1 is lifted can be no higher than $119/MWh (</w:t>
      </w:r>
      <w:r>
        <w:rPr>
          <w:szCs w:val="26"/>
          <w:u w:val="single"/>
        </w:rPr>
        <w:t>i.e.</w:t>
      </w:r>
      <w:r>
        <w:rPr>
          <w:szCs w:val="26"/>
        </w:rPr>
        <w:t xml:space="preserve"> 85 percent of $140/MWh).  </w:t>
      </w:r>
    </w:p>
    <w:p>
      <w:pPr>
        <w:pStyle w:val="Normal"/>
        <w:rPr>
          <w:szCs w:val="26"/>
        </w:rPr>
      </w:pPr>
      <w:r>
        <w:rPr>
          <w:szCs w:val="26"/>
        </w:rPr>
      </w:r>
    </w:p>
    <w:p>
      <w:pPr>
        <w:pStyle w:val="Normal"/>
        <w:rPr>
          <w:szCs w:val="26"/>
        </w:rPr>
      </w:pPr>
      <w:r>
        <w:rPr>
          <w:szCs w:val="26"/>
        </w:rPr>
        <w:t>In this example, sellers through the CAISO's single price auction will receive the hourly proxy price, but that price will not exceed $119/MWh.  Therefore, if the market clears at $90/MWh, all bidders in the CAISO's auctions will receive $90/MWh for that hour.  However, bids are limited to $119/MWh and, therefore, the proxy price during the period will never exceed $119/MWh.  The CAISO will be required to add 10% to the proxy price to generators selling in California, to reflect credit uncertainty in California.  The 10% adder is not applicable to sales outside of California in the remainder of the WSCC.</w:t>
      </w:r>
    </w:p>
    <w:p>
      <w:pPr>
        <w:pStyle w:val="Normal"/>
        <w:rPr>
          <w:szCs w:val="26"/>
        </w:rPr>
      </w:pPr>
      <w:r>
        <w:rPr>
          <w:szCs w:val="26"/>
        </w:rPr>
      </w:r>
    </w:p>
    <w:p>
      <w:pPr>
        <w:pStyle w:val="Normal"/>
        <w:rPr>
          <w:szCs w:val="26"/>
        </w:rPr>
      </w:pPr>
      <w:r>
        <w:rPr>
          <w:szCs w:val="26"/>
        </w:rPr>
        <w:t>For spot market sales outside the CAISO's single price auctions (bilateral sales in California and the rest of the WSCC), sellers will receive the prices they negotiate up to the maximum price, in this example, up to $119/MWh.  This maximum clearing price will remain in place until the next Stage 1 is declared and a new price is set.  When that Stage 1 is lifted, 85% of the highest hourly proxy price from that period will carry forward as the new maximum price.  Sellers other than marketers will be allowed the opportunity to justify bids or prices above the maximum prices.</w:t>
      </w:r>
      <w:r>
        <w:br w:type="page"/>
      </w:r>
    </w:p>
    <w:p>
      <w:pPr>
        <w:pStyle w:val="Normal"/>
        <w:rPr>
          <w:szCs w:val="26"/>
        </w:rPr>
      </w:pPr>
      <w:r>
        <w:rPr>
          <w:szCs w:val="26"/>
        </w:rPr>
      </w:r>
    </w:p>
    <w:p>
      <w:pPr>
        <w:pStyle w:val="Heading3"/>
        <w:ind w:hanging="0" w:start="0"/>
        <w:jc w:val="center"/>
        <w:rPr/>
      </w:pPr>
      <w:r>
        <w:rPr>
          <w:b/>
          <w:bCs/>
        </w:rPr>
        <w:t>IMPLICATIONS OF THE PRICE MITIGATION</w:t>
      </w:r>
      <w:r>
        <w:rPr/>
        <w:t xml:space="preserve"> </w:t>
      </w:r>
      <w:r>
        <w:rPr>
          <w:b/>
          <w:bCs/>
        </w:rPr>
        <w:t>MEASURES</w:t>
      </w:r>
    </w:p>
    <w:p>
      <w:pPr>
        <w:pStyle w:val="Normal"/>
        <w:rPr/>
      </w:pPr>
      <w:r>
        <w:rPr/>
      </w:r>
    </w:p>
    <w:p>
      <w:pPr>
        <w:pStyle w:val="Normal"/>
        <w:autoSpaceDE w:val="false"/>
        <w:spacing w:lineRule="atLeast" w:line="240"/>
        <w:rPr>
          <w:color w:val="000000"/>
          <w:lang w:val="en-US"/>
        </w:rPr>
      </w:pPr>
      <w:r>
        <w:rPr>
          <w:color w:val="000000"/>
          <w:lang w:val="en-US"/>
        </w:rPr>
        <w:t xml:space="preserve">The FERC Order makes two key changes to the April 26 order and introduces an element that affects marketers only.  First, FERC will now impose caps on all bilateral sales of "24 hours or less and that are entered into the day of or day prior to delivery" in the entire WSCC.  Second, it imposes caps in all hours.  </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color w:val="000000"/>
          <w:lang w:val="en-US"/>
        </w:rPr>
      </w:pPr>
      <w:r>
        <w:rPr>
          <w:color w:val="000000"/>
          <w:lang w:val="en-US"/>
        </w:rPr>
        <w:t>For marketers, there will be no opportunity to sell above the FERC-imposed caps.  The implications of this Order include the following:</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color w:val="000000"/>
          <w:lang w:val="en-US"/>
        </w:rPr>
      </w:pPr>
      <w:r>
        <w:rPr>
          <w:color w:val="000000"/>
          <w:lang w:val="en-US"/>
        </w:rPr>
        <w:t>The Order will decrease reliability.  Capped prices can only decrease supply and increase demand.  Although FERC claims that mitigation is "market oriented", it is clear that selling at marginal cost and being subject to cost reporting requirements will only decrease the incentive to sell at the margin relative to a market where market forces provide incentives for supply.  The continued use of price controls in the west will only cause a decrease in the amount of new supply that is developed in the west.  In fact, there have been several recent announcements by developers that no longer wish to invest in California.</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color w:val="000000"/>
          <w:lang w:val="en-US"/>
        </w:rPr>
      </w:pPr>
      <w:r>
        <w:rPr>
          <w:color w:val="000000"/>
          <w:lang w:val="en-US"/>
        </w:rPr>
        <w:t>The Order will reduce liquidity in real time markets, which raises costs and degrades reliability.  Marketers cannot sell above the cap under any circumstances.  Marketers play an important function in maintaining liquidity in real time markets, especially in completing deals across control areas.  When the market price approaches the cap, marketers will be forced to stay on the sidelines.  This decreases liquidity, which in turn degrades reliability and raises transaction costs.</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pPr>
      <w:r>
        <w:rPr>
          <w:color w:val="000000"/>
          <w:lang w:val="en-US"/>
        </w:rPr>
        <w:t xml:space="preserve">The Order will force cash markets to move forward.  Buyers seeking </w:t>
      </w:r>
      <w:r>
        <w:rPr>
          <w:i/>
          <w:iCs/>
          <w:color w:val="000000"/>
          <w:lang w:val="en-US"/>
        </w:rPr>
        <w:t>reliability</w:t>
      </w:r>
      <w:r>
        <w:rPr>
          <w:color w:val="000000"/>
          <w:lang w:val="en-US"/>
        </w:rPr>
        <w:t xml:space="preserve"> will have difficulty finding sellers in day-ahead cash markets, and may be forced to go two days out in order to purchase power.</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pPr>
      <w:r>
        <w:rPr>
          <w:color w:val="000000"/>
          <w:lang w:val="en-US"/>
        </w:rPr>
        <w:t xml:space="preserve">Buyers that seek </w:t>
      </w:r>
      <w:r>
        <w:rPr>
          <w:i/>
          <w:iCs/>
          <w:color w:val="000000"/>
          <w:lang w:val="en-US"/>
        </w:rPr>
        <w:t>price</w:t>
      </w:r>
      <w:r>
        <w:rPr>
          <w:color w:val="000000"/>
          <w:lang w:val="en-US"/>
        </w:rPr>
        <w:t xml:space="preserve"> over reliability will move to the spot markets to receive the cash price.  It is intuitive that if spot prices are capped, at least some buyers in times of tight supply will wait to buy power at the capped price. Unfortunately, there will be no guarantee that there will be sufficient power to meet demand in the spot markets.  This is especially true since capped prices will cause demand to increase.  Although some buyers will seek low prices in capped spot markets, it is difficult to say whether there will be a big push towards spot markets.</w:t>
      </w:r>
    </w:p>
    <w:p>
      <w:pPr>
        <w:pStyle w:val="Normal"/>
        <w:autoSpaceDE w:val="false"/>
        <w:spacing w:lineRule="atLeast" w:line="240"/>
        <w:rPr>
          <w:color w:val="000000"/>
          <w:lang w:val="en-US"/>
        </w:rPr>
      </w:pPr>
      <w:r>
        <w:rPr>
          <w:color w:val="000000"/>
          <w:lang w:val="en-US"/>
        </w:rPr>
      </w:r>
    </w:p>
    <w:p>
      <w:pPr>
        <w:pStyle w:val="Normal"/>
        <w:autoSpaceDE w:val="false"/>
        <w:spacing w:lineRule="atLeast" w:line="240"/>
        <w:rPr>
          <w:color w:val="000000"/>
          <w:lang w:val="en-US"/>
        </w:rPr>
      </w:pPr>
      <w:r>
        <w:rPr>
          <w:color w:val="000000"/>
          <w:lang w:val="en-US"/>
        </w:rPr>
        <w:t>This Order will certainly cause unintended consequences.  It affects a very large market and affects bilateral trade that has not been previously regulated. There can only be surprises that will result from such an invasive order.  For example, FERC acknowledges that it will have no mechanism to enforce its order outside of CAISO's supplemental energy market.  This could lead to noncompliance.</w:t>
      </w:r>
    </w:p>
    <w:p>
      <w:pPr>
        <w:pStyle w:val="Normal"/>
        <w:autoSpaceDE w:val="false"/>
        <w:spacing w:lineRule="atLeast" w:line="240"/>
        <w:rPr>
          <w:color w:val="000000"/>
          <w:lang w:val="en-US"/>
        </w:rPr>
      </w:pPr>
      <w:r>
        <w:rPr>
          <w:color w:val="000000"/>
          <w:lang w:val="en-US"/>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 ARABIC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u w:val="single"/>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2001-06-22T13:22:00Z</dcterms:created>
  <dc:creator>Anna and Tom Briggs</dc:creator>
  <dc:description/>
  <dc:language>en-CA</dc:language>
  <cp:lastModifiedBy>jbutler</cp:lastModifiedBy>
  <cp:lastPrinted>2001-06-20T19:39:00Z</cp:lastPrinted>
  <dcterms:modified xsi:type="dcterms:W3CDTF">2001-06-22T13:22:00Z</dcterms:modified>
  <cp:revision>2</cp:revision>
  <dc:subject/>
  <dc:title>IMPLICATIONS OF THE FERC’S APRIL 26 PRICE MITIGATION ORDER</dc:title>
</cp:coreProperties>
</file>