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Rationale for Proposed Restructuring</w:t>
      </w:r>
    </w:p>
    <w:p>
      <w:pPr>
        <w:pStyle w:val="Normal"/>
        <w:rPr/>
      </w:pPr>
      <w:r>
        <w:rPr/>
      </w:r>
    </w:p>
    <w:p>
      <w:pPr>
        <w:pStyle w:val="Normal"/>
        <w:rPr/>
      </w:pPr>
      <w:r>
        <w:rPr/>
      </w:r>
    </w:p>
    <w:p>
      <w:pPr>
        <w:pStyle w:val="Normal"/>
        <w:rPr/>
      </w:pPr>
      <w:r>
        <w:rPr/>
        <w:tab/>
        <w:tab/>
        <w:t>Term 1</w:t>
        <w:tab/>
        <w:tab/>
        <w:tab/>
        <w:t>Term 2</w:t>
        <w:tab/>
        <w:tab/>
        <w:tab/>
        <w:t>Term 3</w:t>
      </w:r>
    </w:p>
    <w:tbl>
      <w:tblPr>
        <w:tblW w:w="7050" w:type="dxa"/>
        <w:jc w:val="start"/>
        <w:tblInd w:w="0" w:type="dxa"/>
        <w:tblLayout w:type="fixed"/>
        <w:tblCellMar>
          <w:top w:w="0" w:type="dxa"/>
          <w:start w:w="30" w:type="dxa"/>
          <w:bottom w:w="0" w:type="dxa"/>
          <w:end w:w="30" w:type="dxa"/>
        </w:tblCellMar>
      </w:tblPr>
      <w:tblGrid>
        <w:gridCol w:w="902"/>
        <w:gridCol w:w="1882"/>
        <w:gridCol w:w="2106"/>
        <w:gridCol w:w="2160"/>
      </w:tblGrid>
      <w:tr>
        <w:trPr>
          <w:trHeight w:val="240" w:hRule="atLeast"/>
        </w:trPr>
        <w:tc>
          <w:tcPr>
            <w:tcW w:w="902" w:type="dxa"/>
            <w:tcBorders>
              <w:top w:val="single" w:sz="4" w:space="0" w:color="000000"/>
              <w:start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Date</w:t>
            </w:r>
          </w:p>
        </w:tc>
        <w:tc>
          <w:tcPr>
            <w:tcW w:w="1882" w:type="dxa"/>
            <w:tcBorders>
              <w:top w:val="single" w:sz="4"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Feb 01-Jul 01</w:t>
            </w:r>
          </w:p>
        </w:tc>
        <w:tc>
          <w:tcPr>
            <w:tcW w:w="2106" w:type="dxa"/>
            <w:tcBorders>
              <w:top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Aug 01-Jan 02</w:t>
            </w:r>
          </w:p>
        </w:tc>
        <w:tc>
          <w:tcPr>
            <w:tcW w:w="2160" w:type="dxa"/>
            <w:tcBorders>
              <w:top w:val="single" w:sz="4" w:space="0" w:color="000000"/>
              <w:start w:val="single" w:sz="6"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Feb 02-Jul 02</w:t>
            </w:r>
          </w:p>
        </w:tc>
      </w:tr>
      <w:tr>
        <w:trPr>
          <w:trHeight w:val="240" w:hRule="atLeast"/>
        </w:trPr>
        <w:tc>
          <w:tcPr>
            <w:tcW w:w="902" w:type="dxa"/>
            <w:tcBorders>
              <w:start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Pricing</w:t>
            </w:r>
          </w:p>
        </w:tc>
        <w:tc>
          <w:tcPr>
            <w:tcW w:w="1882" w:type="dxa"/>
            <w:tcBorders>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$4.50</w:t>
            </w:r>
          </w:p>
        </w:tc>
        <w:tc>
          <w:tcPr>
            <w:tcW w:w="2106" w:type="dxa"/>
            <w:tcBorders/>
          </w:tcPr>
          <w:p>
            <w:pPr>
              <w:pStyle w:val="Normal"/>
              <w:jc w:val="center"/>
              <w:rPr>
                <w:rFonts w:ascii="Arial" w:hAnsi="Arial" w:cs="Arial"/>
                <w:color w:val="000000"/>
                <w:lang w:eastAsia="en-US"/>
              </w:rPr>
            </w:pPr>
            <w:r>
              <w:rPr>
                <w:rFonts w:cs="Arial" w:ascii="Arial" w:hAnsi="Arial"/>
                <w:color w:val="000000"/>
                <w:lang w:eastAsia="en-US"/>
              </w:rPr>
              <w:t>Index minus $.44</w:t>
            </w:r>
          </w:p>
        </w:tc>
        <w:tc>
          <w:tcPr>
            <w:tcW w:w="2160" w:type="dxa"/>
            <w:tcBorders>
              <w:start w:val="single" w:sz="6"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Index w/ $3.00 Floor</w:t>
            </w:r>
          </w:p>
        </w:tc>
      </w:tr>
      <w:tr>
        <w:trPr>
          <w:trHeight w:val="240" w:hRule="atLeast"/>
        </w:trPr>
        <w:tc>
          <w:tcPr>
            <w:tcW w:w="902" w:type="dxa"/>
            <w:tcBorders>
              <w:start w:val="single" w:sz="4" w:space="0" w:color="000000"/>
              <w:bottom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Volume</w:t>
            </w:r>
          </w:p>
        </w:tc>
        <w:tc>
          <w:tcPr>
            <w:tcW w:w="1882" w:type="dxa"/>
            <w:tcBorders>
              <w:top w:val="single" w:sz="6" w:space="0" w:color="000000"/>
              <w:start w:val="single" w:sz="6" w:space="0" w:color="000000"/>
              <w:bottom w:val="single" w:sz="4"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Half</w:t>
            </w:r>
          </w:p>
        </w:tc>
        <w:tc>
          <w:tcPr>
            <w:tcW w:w="2106" w:type="dxa"/>
            <w:tcBorders>
              <w:top w:val="single" w:sz="6" w:space="0" w:color="000000"/>
              <w:bottom w:val="single" w:sz="4"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Half</w:t>
            </w:r>
          </w:p>
        </w:tc>
        <w:tc>
          <w:tcPr>
            <w:tcW w:w="2160" w:type="dxa"/>
            <w:tcBorders>
              <w:top w:val="single" w:sz="6" w:space="0" w:color="000000"/>
              <w:start w:val="single" w:sz="6" w:space="0" w:color="000000"/>
              <w:bottom w:val="single" w:sz="4" w:space="0" w:color="000000"/>
              <w:end w:val="single" w:sz="4"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Half</w:t>
            </w:r>
          </w:p>
        </w:tc>
      </w:tr>
    </w:tbl>
    <w:p>
      <w:pPr>
        <w:pStyle w:val="Normal"/>
        <w:rPr/>
      </w:pPr>
      <w:r>
        <w:rPr/>
      </w:r>
    </w:p>
    <w:p>
      <w:pPr>
        <w:pStyle w:val="Normal"/>
        <w:rPr/>
      </w:pPr>
      <w:r>
        <w:rPr/>
      </w:r>
    </w:p>
    <w:p>
      <w:pPr>
        <w:pStyle w:val="Normal"/>
        <w:rPr>
          <w:sz w:val="24"/>
        </w:rPr>
      </w:pPr>
      <w:r>
        <w:rPr>
          <w:sz w:val="24"/>
        </w:rPr>
        <w:t>The advantage of the restructuring proposal shown above can be summarized as follows:</w:t>
      </w:r>
    </w:p>
    <w:p>
      <w:pPr>
        <w:pStyle w:val="Normal"/>
        <w:rPr>
          <w:sz w:val="24"/>
        </w:rPr>
      </w:pPr>
      <w:r>
        <w:rPr>
          <w:sz w:val="24"/>
        </w:rPr>
      </w:r>
    </w:p>
    <w:p>
      <w:pPr>
        <w:pStyle w:val="Normal"/>
        <w:numPr>
          <w:ilvl w:val="0"/>
          <w:numId w:val="2"/>
        </w:numPr>
        <w:rPr>
          <w:sz w:val="24"/>
        </w:rPr>
      </w:pPr>
      <w:r>
        <w:rPr>
          <w:sz w:val="24"/>
        </w:rPr>
        <w:t>The proposed structure gives Mesa a great deal of flexibility yet still insuring that purchases will be made below market after current contract expires.</w:t>
      </w:r>
    </w:p>
    <w:p>
      <w:pPr>
        <w:pStyle w:val="Normal"/>
        <w:rPr>
          <w:sz w:val="24"/>
        </w:rPr>
      </w:pPr>
      <w:r>
        <w:rPr>
          <w:sz w:val="24"/>
        </w:rPr>
      </w:r>
    </w:p>
    <w:p>
      <w:pPr>
        <w:pStyle w:val="Normal"/>
        <w:numPr>
          <w:ilvl w:val="0"/>
          <w:numId w:val="2"/>
        </w:numPr>
        <w:rPr>
          <w:sz w:val="24"/>
        </w:rPr>
      </w:pPr>
      <w:r>
        <w:rPr>
          <w:sz w:val="24"/>
        </w:rPr>
        <w:t>Moving fixed price to $4.50 in Term 1 keeps weighted average supply price well below current market.</w:t>
      </w:r>
    </w:p>
    <w:p>
      <w:pPr>
        <w:pStyle w:val="Normal"/>
        <w:rPr>
          <w:sz w:val="24"/>
        </w:rPr>
      </w:pPr>
      <w:r>
        <w:rPr>
          <w:sz w:val="24"/>
        </w:rPr>
      </w:r>
    </w:p>
    <w:p>
      <w:pPr>
        <w:pStyle w:val="Normal"/>
        <w:numPr>
          <w:ilvl w:val="0"/>
          <w:numId w:val="2"/>
        </w:numPr>
        <w:rPr>
          <w:sz w:val="24"/>
        </w:rPr>
      </w:pPr>
      <w:r>
        <w:rPr>
          <w:sz w:val="24"/>
        </w:rPr>
        <w:t>At $4.50, given the recent sell off, it seems unlikely that Mesa would have raise rates to account for the increase.</w:t>
      </w:r>
    </w:p>
    <w:p>
      <w:pPr>
        <w:pStyle w:val="Normal"/>
        <w:rPr>
          <w:sz w:val="24"/>
        </w:rPr>
      </w:pPr>
      <w:r>
        <w:rPr>
          <w:sz w:val="24"/>
        </w:rPr>
      </w:r>
    </w:p>
    <w:p>
      <w:pPr>
        <w:pStyle w:val="Normal"/>
        <w:numPr>
          <w:ilvl w:val="0"/>
          <w:numId w:val="2"/>
        </w:numPr>
        <w:rPr>
          <w:sz w:val="24"/>
        </w:rPr>
      </w:pPr>
      <w:r>
        <w:rPr>
          <w:sz w:val="24"/>
        </w:rPr>
        <w:t>Mesa is guaranteed that it will be buying below market in Term 2.</w:t>
      </w:r>
    </w:p>
    <w:p>
      <w:pPr>
        <w:pStyle w:val="Normal"/>
        <w:rPr>
          <w:sz w:val="24"/>
        </w:rPr>
      </w:pPr>
      <w:r>
        <w:rPr>
          <w:sz w:val="24"/>
        </w:rPr>
      </w:r>
    </w:p>
    <w:p>
      <w:pPr>
        <w:pStyle w:val="Normal"/>
        <w:numPr>
          <w:ilvl w:val="0"/>
          <w:numId w:val="2"/>
        </w:numPr>
        <w:rPr>
          <w:sz w:val="24"/>
        </w:rPr>
      </w:pPr>
      <w:r>
        <w:rPr>
          <w:sz w:val="24"/>
        </w:rPr>
        <w:t>In the event prices crash, Mesa still has half its load that it can fix if prices become attractive (meanwhile the other half will remain well below the “crashed” price).</w:t>
      </w:r>
    </w:p>
    <w:p>
      <w:pPr>
        <w:pStyle w:val="Normal"/>
        <w:rPr>
          <w:sz w:val="24"/>
        </w:rPr>
      </w:pPr>
      <w:r>
        <w:rPr>
          <w:sz w:val="24"/>
        </w:rPr>
      </w:r>
    </w:p>
    <w:p>
      <w:pPr>
        <w:pStyle w:val="Normal"/>
        <w:numPr>
          <w:ilvl w:val="0"/>
          <w:numId w:val="2"/>
        </w:numPr>
        <w:rPr>
          <w:sz w:val="24"/>
        </w:rPr>
      </w:pPr>
      <w:r>
        <w:rPr>
          <w:sz w:val="24"/>
        </w:rPr>
        <w:t>Mesa avoids buying during a time of extreme volatility, which most industry participants see as temporary.</w:t>
      </w:r>
    </w:p>
    <w:p>
      <w:pPr>
        <w:pStyle w:val="Normal"/>
        <w:rPr>
          <w:sz w:val="24"/>
        </w:rPr>
      </w:pPr>
      <w:r>
        <w:rPr>
          <w:sz w:val="24"/>
        </w:rPr>
      </w:r>
    </w:p>
    <w:p>
      <w:pPr>
        <w:pStyle w:val="Normal"/>
        <w:numPr>
          <w:ilvl w:val="0"/>
          <w:numId w:val="2"/>
        </w:numPr>
        <w:rPr>
          <w:sz w:val="24"/>
        </w:rPr>
      </w:pPr>
      <w:r>
        <w:rPr>
          <w:sz w:val="24"/>
        </w:rPr>
        <w:t>If Mesa waits until the termination of the existing deal, they will be back to purchasing “at market” with no mechanism to “beat the market.”</w:t>
      </w:r>
    </w:p>
    <w:p>
      <w:pPr>
        <w:pStyle w:val="Normal"/>
        <w:rPr>
          <w:sz w:val="24"/>
        </w:rPr>
      </w:pPr>
      <w:r>
        <w:rPr>
          <w:sz w:val="24"/>
        </w:rPr>
      </w:r>
    </w:p>
    <w:p>
      <w:pPr>
        <w:pStyle w:val="Normal"/>
        <w:numPr>
          <w:ilvl w:val="0"/>
          <w:numId w:val="2"/>
        </w:numPr>
        <w:rPr>
          <w:sz w:val="24"/>
        </w:rPr>
      </w:pPr>
      <w:r>
        <w:rPr>
          <w:sz w:val="24"/>
        </w:rPr>
        <w:t>All prices (Terms 1 through 3) are well below current markets.</w:t>
      </w:r>
    </w:p>
    <w:p>
      <w:pPr>
        <w:pStyle w:val="Normal"/>
        <w:rPr>
          <w:sz w:val="24"/>
        </w:rPr>
      </w:pPr>
      <w:r>
        <w:rPr>
          <w:sz w:val="24"/>
        </w:rPr>
      </w:r>
    </w:p>
    <w:p>
      <w:pPr>
        <w:pStyle w:val="Normal"/>
        <w:rPr>
          <w:sz w:val="24"/>
        </w:rPr>
      </w:pPr>
      <w:r>
        <w:rPr>
          <w:sz w:val="24"/>
        </w:rPr>
        <w:t>Please let me know if you have any questions.  I think this structure is a good one for Mesa, it allows a great deal of flexibility while offering known prices which are very attractive relative to current markets.</w:t>
      </w:r>
    </w:p>
    <w:p>
      <w:pPr>
        <w:pStyle w:val="Normal"/>
        <w:rPr>
          <w:sz w:val="24"/>
        </w:rPr>
      </w:pPr>
      <w:r>
        <w:rPr>
          <w:sz w:val="24"/>
        </w:rPr>
      </w:r>
    </w:p>
    <w:p>
      <w:pPr>
        <w:pStyle w:val="Normal"/>
        <w:rPr>
          <w:sz w:val="24"/>
        </w:rPr>
      </w:pPr>
      <w:r>
        <w:rPr>
          <w:sz w:val="24"/>
        </w:rPr>
      </w:r>
    </w:p>
    <w:p>
      <w:pPr>
        <w:pStyle w:val="Normal"/>
        <w:tabs>
          <w:tab w:val="clear" w:pos="720"/>
          <w:tab w:val="left" w:pos="5400" w:leader="none"/>
        </w:tabs>
        <w:rPr>
          <w:b/>
        </w:rPr>
      </w:pPr>
      <w:r>
        <w:rPr>
          <w:b/>
          <w:i/>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2001-01-17T14:42:00Z</dcterms:created>
  <dc:creator>dfuller</dc:creator>
  <dc:description/>
  <dc:language>en-CA</dc:language>
  <cp:lastModifiedBy>dfuller</cp:lastModifiedBy>
  <cp:lastPrinted>2001-01-17T10:44:00Z</cp:lastPrinted>
  <dcterms:modified xsi:type="dcterms:W3CDTF">2001-01-17T16:20:00Z</dcterms:modified>
  <cp:revision>1</cp:revision>
  <dc:subject/>
  <dc:title>Rationale for Proposed Restructuring</dc:title>
</cp:coreProperties>
</file>