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rPr>
          <w:rFonts w:ascii="Arial" w:hAnsi="Arial" w:cs="Arial"/>
          <w:b/>
          <w:sz w:val="24"/>
        </w:rPr>
      </w:pPr>
      <w:r>
        <w:rPr>
          <w:rFonts w:cs="Arial" w:ascii="Arial" w:hAnsi="Arial"/>
          <w:b/>
          <w:sz w:val="24"/>
        </w:rPr>
      </w:r>
    </w:p>
    <w:p>
      <w:pPr>
        <w:pStyle w:val="BodyText"/>
        <w:widowControl/>
        <w:rPr>
          <w:rFonts w:ascii="Arial" w:hAnsi="Arial" w:cs="Arial"/>
          <w:b/>
          <w:sz w:val="24"/>
        </w:rPr>
      </w:pPr>
      <w:r>
        <w:rPr>
          <w:rFonts w:cs="Arial" w:ascii="Arial" w:hAnsi="Arial"/>
          <w:b/>
          <w:sz w:val="24"/>
        </w:rPr>
      </w:r>
    </w:p>
    <w:p>
      <w:pPr>
        <w:pStyle w:val="BodyText"/>
        <w:widowControl/>
        <w:rPr>
          <w:rFonts w:ascii="Arial" w:hAnsi="Arial" w:cs="Arial"/>
          <w:b/>
          <w:sz w:val="28"/>
        </w:rPr>
      </w:pPr>
      <w:r>
        <w:rPr>
          <w:rFonts w:cs="Arial" w:ascii="Arial" w:hAnsi="Arial"/>
          <w:b/>
          <w:sz w:val="28"/>
        </w:rPr>
        <w:t>SB 1217 RATE STABILIZATION PLAN</w:t>
      </w:r>
    </w:p>
    <w:p>
      <w:pPr>
        <w:pStyle w:val="BodyText"/>
        <w:rPr>
          <w:rFonts w:ascii="Arial" w:hAnsi="Arial" w:cs="Arial"/>
          <w:b/>
          <w:i/>
          <w:i/>
          <w:sz w:val="28"/>
        </w:rPr>
      </w:pPr>
      <w:r>
        <w:rPr>
          <w:rFonts w:cs="Arial" w:ascii="Arial" w:hAnsi="Arial"/>
          <w:b/>
          <w:i/>
          <w:sz w:val="28"/>
        </w:rPr>
      </w:r>
    </w:p>
    <w:p>
      <w:pPr>
        <w:pStyle w:val="BodyText"/>
        <w:rPr>
          <w:rFonts w:ascii="Arial" w:hAnsi="Arial" w:cs="Arial"/>
          <w:b/>
          <w:i/>
          <w:i/>
        </w:rPr>
      </w:pPr>
      <w:r>
        <w:rPr>
          <w:rFonts w:cs="Arial" w:ascii="Arial" w:hAnsi="Arial"/>
          <w:b/>
          <w:i/>
        </w:rPr>
      </w:r>
    </w:p>
    <w:p>
      <w:pPr>
        <w:pStyle w:val="BodyText"/>
        <w:rPr>
          <w:rFonts w:ascii="Arial" w:hAnsi="Arial" w:cs="Arial"/>
          <w:b/>
          <w:i/>
          <w:i/>
          <w:sz w:val="24"/>
        </w:rPr>
      </w:pPr>
      <w:r>
        <w:rPr>
          <w:rFonts w:cs="Arial" w:ascii="Arial" w:hAnsi="Arial"/>
          <w:b/>
          <w:i/>
          <w:sz w:val="24"/>
        </w:rPr>
        <w:t xml:space="preserve">PROTECTING ELECTRIC RATEPAYERS AGAINST </w:t>
      </w:r>
    </w:p>
    <w:p>
      <w:pPr>
        <w:pStyle w:val="BodyText"/>
        <w:rPr>
          <w:rFonts w:ascii="Arial" w:hAnsi="Arial" w:cs="Arial"/>
          <w:b/>
          <w:i/>
          <w:i/>
          <w:sz w:val="24"/>
        </w:rPr>
      </w:pPr>
      <w:r>
        <w:rPr>
          <w:rFonts w:cs="Arial" w:ascii="Arial" w:hAnsi="Arial"/>
          <w:b/>
          <w:i/>
          <w:sz w:val="24"/>
        </w:rPr>
        <w:t>WHOLESALE ELECTRIC PRICE VOLATILITY</w:t>
      </w:r>
    </w:p>
    <w:p>
      <w:pPr>
        <w:pStyle w:val="Normal"/>
        <w:widowControl/>
        <w:jc w:val="both"/>
        <w:rPr>
          <w:rFonts w:ascii="Arial" w:hAnsi="Arial" w:cs="Arial"/>
          <w:b/>
          <w:i/>
          <w:i/>
          <w:sz w:val="22"/>
        </w:rPr>
      </w:pPr>
      <w:r>
        <w:rPr>
          <w:rFonts w:cs="Arial" w:ascii="Arial" w:hAnsi="Arial"/>
          <w:b/>
          <w:i/>
          <w:sz w:val="22"/>
        </w:rPr>
      </w:r>
    </w:p>
    <w:p>
      <w:pPr>
        <w:pStyle w:val="Normal"/>
        <w:widowControl/>
        <w:jc w:val="both"/>
        <w:rPr>
          <w:rFonts w:ascii="Arial" w:hAnsi="Arial" w:cs="Arial"/>
          <w:i/>
          <w:i/>
          <w:sz w:val="24"/>
        </w:rPr>
      </w:pPr>
      <w:r>
        <w:rPr>
          <w:rFonts w:cs="Arial" w:ascii="Arial" w:hAnsi="Arial"/>
          <w:i/>
          <w:sz w:val="24"/>
        </w:rPr>
      </w:r>
    </w:p>
    <w:p>
      <w:pPr>
        <w:pStyle w:val="Normal"/>
        <w:widowControl/>
        <w:jc w:val="both"/>
        <w:rPr>
          <w:rFonts w:ascii="Arial" w:hAnsi="Arial" w:cs="Arial"/>
          <w:sz w:val="24"/>
        </w:rPr>
      </w:pPr>
      <w:r>
        <w:rPr>
          <w:rFonts w:cs="Arial" w:ascii="Arial" w:hAnsi="Arial"/>
          <w:sz w:val="24"/>
        </w:rPr>
        <w:t xml:space="preserve">In 1996, California restructured the electric industry to provide all Californians with the benefits of competitive generation markets.  Over the past few years, consumers did see tangible benefits, including a guaranteed 10% rate reduction for residential and small commercial customers.  </w:t>
      </w:r>
    </w:p>
    <w:p>
      <w:pPr>
        <w:pStyle w:val="Normal"/>
        <w:widowControl/>
        <w:jc w:val="both"/>
        <w:rPr>
          <w:rFonts w:ascii="Arial" w:hAnsi="Arial" w:cs="Arial"/>
          <w:sz w:val="24"/>
        </w:rPr>
      </w:pPr>
      <w:r>
        <w:rPr>
          <w:rFonts w:cs="Arial" w:ascii="Arial" w:hAnsi="Arial"/>
          <w:sz w:val="24"/>
        </w:rPr>
      </w:r>
    </w:p>
    <w:p>
      <w:pPr>
        <w:pStyle w:val="Normal"/>
        <w:widowControl/>
        <w:jc w:val="both"/>
        <w:rPr/>
      </w:pPr>
      <w:r>
        <w:rPr>
          <w:rFonts w:cs="Arial" w:ascii="Arial" w:hAnsi="Arial"/>
          <w:sz w:val="24"/>
        </w:rPr>
        <w:t xml:space="preserve">However, in the spring and summer of 2000, wholesale electricity prices skyrocketed, well beyond levels that should have been produced by well-functioning competitive markets. While consumers in San Diego and southern Orange County have felt the direct impact of these high prices, consumers receiving service from PG&amp;E and SCE have been </w:t>
      </w:r>
      <w:r>
        <w:rPr>
          <w:rFonts w:cs="Arial" w:ascii="Arial" w:hAnsi="Arial"/>
          <w:b/>
          <w:sz w:val="24"/>
        </w:rPr>
        <w:t xml:space="preserve">temporarily </w:t>
      </w:r>
      <w:r>
        <w:rPr>
          <w:rFonts w:cs="Arial" w:ascii="Arial" w:hAnsi="Arial"/>
          <w:sz w:val="24"/>
        </w:rPr>
        <w:t>shielded from the direct impact of these high prices because of the rate freeze enacted as part of AB 1890.  The PG&amp;E and SCE rate freezes could end as early as late 2000 or early 2001.  Without legislation, once the rate freeze protection ends, these consumers will be vulnerable to full volatility and price instability.</w:t>
      </w:r>
    </w:p>
    <w:p>
      <w:pPr>
        <w:pStyle w:val="Normal"/>
        <w:widowControl/>
        <w:jc w:val="both"/>
        <w:rPr>
          <w:rFonts w:ascii="Arial" w:hAnsi="Arial" w:cs="Arial"/>
          <w:sz w:val="24"/>
        </w:rPr>
      </w:pPr>
      <w:r>
        <w:rPr>
          <w:rFonts w:cs="Arial" w:ascii="Arial" w:hAnsi="Arial"/>
          <w:sz w:val="24"/>
        </w:rPr>
      </w:r>
    </w:p>
    <w:p>
      <w:pPr>
        <w:pStyle w:val="Normal"/>
        <w:widowControl/>
        <w:jc w:val="both"/>
        <w:rPr>
          <w:rFonts w:ascii="Arial" w:hAnsi="Arial" w:cs="Arial"/>
          <w:sz w:val="24"/>
        </w:rPr>
      </w:pPr>
      <w:r>
        <w:rPr>
          <w:rFonts w:cs="Arial" w:ascii="Arial" w:hAnsi="Arial"/>
          <w:b/>
          <w:sz w:val="24"/>
        </w:rPr>
        <w:t>There is an immediate need to ensure that when the current PG&amp;E and SCE rate freezes end, a rate stabilization program is put in place to ensure that PG&amp;E and SCE consumers do not experience the full volatility and price instability of non-functioning wholesale markets.  SB 1217 would:</w:t>
      </w:r>
    </w:p>
    <w:p>
      <w:pPr>
        <w:pStyle w:val="Normal"/>
        <w:widowControl/>
        <w:jc w:val="both"/>
        <w:rPr>
          <w:rFonts w:ascii="Arial" w:hAnsi="Arial" w:cs="Arial"/>
          <w:sz w:val="24"/>
        </w:rPr>
      </w:pPr>
      <w:r>
        <w:rPr>
          <w:rFonts w:cs="Arial" w:ascii="Arial" w:hAnsi="Arial"/>
          <w:sz w:val="24"/>
        </w:rPr>
      </w:r>
    </w:p>
    <w:p>
      <w:pPr>
        <w:pStyle w:val="Normal"/>
        <w:widowControl/>
        <w:numPr>
          <w:ilvl w:val="0"/>
          <w:numId w:val="1"/>
        </w:numPr>
        <w:tabs>
          <w:tab w:val="clear" w:pos="720"/>
          <w:tab w:val="left" w:pos="360" w:leader="none"/>
        </w:tabs>
        <w:jc w:val="both"/>
        <w:rPr>
          <w:rFonts w:ascii="Arial" w:hAnsi="Arial" w:cs="Arial"/>
          <w:sz w:val="24"/>
        </w:rPr>
      </w:pPr>
      <w:r>
        <w:rPr>
          <w:rFonts w:cs="Arial" w:ascii="Arial" w:hAnsi="Arial"/>
          <w:b/>
          <w:sz w:val="24"/>
        </w:rPr>
        <w:t xml:space="preserve">Direct the California Public Utilities Commission to establish rate stabilization programs for PG&amp;E and SCE ratepayers that will both smooth and stabilize rates through March 31, 2003 while the problems in wholesale markets are being remedied.  </w:t>
      </w:r>
    </w:p>
    <w:p>
      <w:pPr>
        <w:pStyle w:val="Normal"/>
        <w:widowControl/>
        <w:numPr>
          <w:ilvl w:val="0"/>
          <w:numId w:val="0"/>
        </w:numPr>
        <w:tabs>
          <w:tab w:val="clear" w:pos="720"/>
          <w:tab w:val="left" w:pos="360" w:leader="none"/>
        </w:tabs>
        <w:ind w:hanging="360" w:start="360" w:end="0"/>
        <w:jc w:val="both"/>
        <w:rPr>
          <w:rFonts w:ascii="Arial" w:hAnsi="Arial" w:cs="Arial"/>
          <w:sz w:val="24"/>
        </w:rPr>
      </w:pPr>
      <w:r>
        <w:rPr>
          <w:rFonts w:cs="Arial" w:ascii="Arial" w:hAnsi="Arial"/>
          <w:sz w:val="24"/>
        </w:rPr>
      </w:r>
    </w:p>
    <w:p>
      <w:pPr>
        <w:pStyle w:val="Normal"/>
        <w:widowControl/>
        <w:numPr>
          <w:ilvl w:val="0"/>
          <w:numId w:val="1"/>
        </w:numPr>
        <w:tabs>
          <w:tab w:val="clear" w:pos="720"/>
          <w:tab w:val="left" w:pos="360" w:leader="none"/>
        </w:tabs>
        <w:ind w:hanging="360" w:start="1080" w:end="0"/>
        <w:jc w:val="both"/>
        <w:rPr>
          <w:rFonts w:ascii="Arial" w:hAnsi="Arial" w:cs="Arial"/>
          <w:sz w:val="24"/>
        </w:rPr>
      </w:pPr>
      <w:r>
        <w:rPr>
          <w:rFonts w:cs="Arial" w:ascii="Arial" w:hAnsi="Arial"/>
          <w:sz w:val="24"/>
        </w:rPr>
        <w:t>Consumers should be protected against price shocks and market volatility while the wholesale electricity markets become workably competitive. This bill directs the CPUC to stabilize rates at an appropriate level.</w:t>
      </w:r>
    </w:p>
    <w:p>
      <w:pPr>
        <w:pStyle w:val="Normal"/>
        <w:widowControl/>
        <w:numPr>
          <w:ilvl w:val="0"/>
          <w:numId w:val="0"/>
        </w:numPr>
        <w:ind w:hanging="0" w:start="0"/>
        <w:jc w:val="both"/>
        <w:rPr>
          <w:rFonts w:ascii="Arial" w:hAnsi="Arial" w:cs="Arial"/>
          <w:sz w:val="24"/>
        </w:rPr>
      </w:pPr>
      <w:r>
        <w:rPr>
          <w:rFonts w:cs="Arial" w:ascii="Arial" w:hAnsi="Arial"/>
          <w:sz w:val="24"/>
        </w:rPr>
      </w:r>
    </w:p>
    <w:p>
      <w:pPr>
        <w:pStyle w:val="Normal"/>
        <w:widowControl/>
        <w:numPr>
          <w:ilvl w:val="0"/>
          <w:numId w:val="1"/>
        </w:numPr>
        <w:tabs>
          <w:tab w:val="clear" w:pos="720"/>
          <w:tab w:val="left" w:pos="360" w:leader="none"/>
        </w:tabs>
        <w:jc w:val="both"/>
        <w:rPr>
          <w:rFonts w:ascii="Arial" w:hAnsi="Arial" w:cs="Arial"/>
          <w:b/>
          <w:sz w:val="24"/>
        </w:rPr>
      </w:pPr>
      <w:r>
        <w:rPr>
          <w:rFonts w:cs="Arial" w:ascii="Arial" w:hAnsi="Arial"/>
          <w:b/>
          <w:sz w:val="24"/>
        </w:rPr>
        <w:t>Direct the CPUC to establish ratemaking mechanisms to ensure that costs of service are recovered in a fair manner, avoiding rate shock to consumers.</w:t>
      </w:r>
    </w:p>
    <w:p>
      <w:pPr>
        <w:pStyle w:val="Normal"/>
        <w:widowControl/>
        <w:numPr>
          <w:ilvl w:val="0"/>
          <w:numId w:val="0"/>
        </w:numPr>
        <w:ind w:hanging="0" w:start="0"/>
        <w:jc w:val="both"/>
        <w:rPr>
          <w:rFonts w:ascii="Arial" w:hAnsi="Arial" w:cs="Arial"/>
          <w:b/>
          <w:sz w:val="24"/>
        </w:rPr>
      </w:pPr>
      <w:r>
        <w:rPr>
          <w:rFonts w:cs="Arial" w:ascii="Arial" w:hAnsi="Arial"/>
          <w:b/>
          <w:sz w:val="24"/>
        </w:rPr>
      </w:r>
    </w:p>
    <w:p>
      <w:pPr>
        <w:pStyle w:val="Normal"/>
        <w:widowControl/>
        <w:numPr>
          <w:ilvl w:val="0"/>
          <w:numId w:val="1"/>
        </w:numPr>
        <w:tabs>
          <w:tab w:val="clear" w:pos="720"/>
          <w:tab w:val="left" w:pos="1080" w:leader="none"/>
        </w:tabs>
        <w:ind w:hanging="360" w:start="1080" w:end="0"/>
        <w:jc w:val="both"/>
        <w:rPr>
          <w:rFonts w:ascii="Arial" w:hAnsi="Arial" w:cs="Arial"/>
          <w:sz w:val="24"/>
        </w:rPr>
      </w:pPr>
      <w:r>
        <w:rPr>
          <w:rFonts w:cs="Arial" w:ascii="Arial" w:hAnsi="Arial"/>
          <w:sz w:val="24"/>
        </w:rPr>
        <w:t>Consumers should receive stability in their electricity charges</w:t>
      </w:r>
      <w:r>
        <w:rPr>
          <w:rFonts w:cs="Arial" w:ascii="Arial" w:hAnsi="Arial"/>
          <w:b/>
          <w:sz w:val="24"/>
        </w:rPr>
        <w:t>.</w:t>
      </w:r>
      <w:r>
        <w:rPr>
          <w:rFonts w:cs="Arial" w:ascii="Arial" w:hAnsi="Arial"/>
          <w:sz w:val="24"/>
        </w:rPr>
        <w:t xml:space="preserve"> Rate-making mechanisms will accomplish these objectives, while assuring that electric utilities are able to recover their reasonable costs of procuring the electricity on behalf of their customers. These mechanisms will not extend the time period for recovery of stranded costs.</w:t>
      </w:r>
    </w:p>
    <w:p>
      <w:pPr>
        <w:pStyle w:val="Normal"/>
        <w:widowControl/>
        <w:tabs>
          <w:tab w:val="clear" w:pos="720"/>
          <w:tab w:val="left" w:pos="1080" w:leader="none"/>
        </w:tabs>
        <w:ind w:start="720" w:end="0"/>
        <w:jc w:val="both"/>
        <w:rPr>
          <w:rFonts w:ascii="Arial" w:hAnsi="Arial" w:cs="Arial"/>
          <w:sz w:val="24"/>
        </w:rPr>
      </w:pPr>
      <w:r>
        <w:rPr>
          <w:rFonts w:cs="Arial" w:ascii="Arial" w:hAnsi="Arial"/>
          <w:sz w:val="24"/>
        </w:rPr>
      </w:r>
    </w:p>
    <w:p>
      <w:pPr>
        <w:pStyle w:val="Normal"/>
        <w:widowControl/>
        <w:numPr>
          <w:ilvl w:val="0"/>
          <w:numId w:val="0"/>
        </w:numPr>
        <w:ind w:hanging="0" w:start="0"/>
        <w:jc w:val="both"/>
        <w:rPr>
          <w:rFonts w:ascii="Arial" w:hAnsi="Arial" w:cs="Arial"/>
          <w:sz w:val="24"/>
        </w:rPr>
      </w:pPr>
      <w:r>
        <w:rPr>
          <w:rFonts w:cs="Arial" w:ascii="Arial" w:hAnsi="Arial"/>
          <w:sz w:val="24"/>
        </w:rPr>
      </w:r>
    </w:p>
    <w:p>
      <w:pPr>
        <w:pStyle w:val="Normal"/>
        <w:widowControl/>
        <w:numPr>
          <w:ilvl w:val="0"/>
          <w:numId w:val="1"/>
        </w:numPr>
        <w:tabs>
          <w:tab w:val="clear" w:pos="720"/>
          <w:tab w:val="left" w:pos="360" w:leader="none"/>
        </w:tabs>
        <w:jc w:val="both"/>
        <w:rPr>
          <w:rFonts w:ascii="Arial" w:hAnsi="Arial" w:cs="Arial"/>
          <w:b/>
          <w:sz w:val="24"/>
        </w:rPr>
      </w:pPr>
      <w:r>
        <w:rPr>
          <w:rFonts w:cs="Arial" w:ascii="Arial" w:hAnsi="Arial"/>
          <w:b/>
          <w:sz w:val="24"/>
        </w:rPr>
        <w:t>Direct the CPUC to investigate the impact wholesale electricity markets have on Californians, and report to the Legislature whether changes are needed to protect consumers.</w:t>
      </w:r>
    </w:p>
    <w:p>
      <w:pPr>
        <w:pStyle w:val="Normal"/>
        <w:widowControl/>
        <w:numPr>
          <w:ilvl w:val="0"/>
          <w:numId w:val="0"/>
        </w:numPr>
        <w:ind w:hanging="0" w:start="0"/>
        <w:jc w:val="both"/>
        <w:rPr>
          <w:rFonts w:ascii="Arial" w:hAnsi="Arial" w:cs="Arial"/>
          <w:b/>
          <w:sz w:val="24"/>
        </w:rPr>
      </w:pPr>
      <w:r>
        <w:rPr>
          <w:rFonts w:cs="Arial" w:ascii="Arial" w:hAnsi="Arial"/>
          <w:b/>
          <w:sz w:val="24"/>
        </w:rPr>
      </w:r>
    </w:p>
    <w:p>
      <w:pPr>
        <w:pStyle w:val="Normal"/>
        <w:widowControl/>
        <w:numPr>
          <w:ilvl w:val="0"/>
          <w:numId w:val="1"/>
        </w:numPr>
        <w:tabs>
          <w:tab w:val="clear" w:pos="720"/>
          <w:tab w:val="left" w:pos="1080" w:leader="none"/>
        </w:tabs>
        <w:ind w:hanging="360" w:start="1080" w:end="0"/>
        <w:jc w:val="both"/>
        <w:rPr>
          <w:rFonts w:ascii="Arial" w:hAnsi="Arial" w:cs="Arial"/>
        </w:rPr>
      </w:pPr>
      <w:r>
        <w:rPr>
          <w:rFonts w:cs="Arial" w:ascii="Arial" w:hAnsi="Arial"/>
          <w:sz w:val="24"/>
        </w:rPr>
        <w:t>California should not abandon competitive markets.  At the same time, California should not tolerate markets which are not competitive or which harm our consumers or economy. The CPUC will provide analysis and recommendations regarding how to fix the current electricity market problems in the State’s best interest.</w:t>
      </w:r>
    </w:p>
    <w:sectPr>
      <w:footerReference w:type="default" r:id="rId2"/>
      <w:type w:val="nextPage"/>
      <w:pgSz w:w="12240" w:h="15840"/>
      <w:pgMar w:left="900" w:right="810" w:gutter="0" w:header="0" w:top="36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9:09 AM</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2000-08-24T14:35:00Z</dcterms:created>
  <dc:creator>Standard Configuration</dc:creator>
  <dc:description/>
  <dc:language>en-CA</dc:language>
  <cp:lastModifiedBy>MLD1</cp:lastModifiedBy>
  <cp:lastPrinted>2000-08-24T10:06:00Z</cp:lastPrinted>
  <dcterms:modified xsi:type="dcterms:W3CDTF">2000-08-24T16:14:00Z</dcterms:modified>
  <cp:revision>1</cp:revision>
  <dc:subject/>
  <dc:title>EMERGENCY LEGISLATION TO PROTECT ELECTRIC RATEPAYERS FROM ABNORMAL PRICES AND VOLATILITY AS A RESULT OF NON-FUNCTIONING ELECTRICITY MARKETS</dc:title>
</cp:coreProperties>
</file>