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embeddings/oleObject2.pptx" ContentType="application/vnd.openxmlformats-officedocument.presentationml.presentation"/>
  <Override PartName="/word/embeddings/oleObject3.pptx" ContentType="application/vnd.openxmlformats-officedocument.presentationml.presentation"/>
  <Override PartName="/word/embeddings/oleObject4.pptx" ContentType="application/vnd.openxmlformats-officedocument.presentationml.presentation"/>
  <Override PartName="/word/embeddings/oleObject5.xlsx" ContentType="application/vnd.openxmlformats-officedocument.spreadsheetml.sheet"/>
  <Override PartName="/word/embeddings/oleObject6.pptx" ContentType="application/vnd.openxmlformats-officedocument.presentationml.presentation"/>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Notes on Raptor Structures</w:t>
      </w:r>
      <w:r>
        <w:rPr/>
        <w:tab/>
        <w:tab/>
        <w:tab/>
        <w:tab/>
        <w:tab/>
        <w:tab/>
        <w:tab/>
        <w:t>8/28/01</w:t>
      </w:r>
    </w:p>
    <w:p>
      <w:pPr>
        <w:pStyle w:val="Normal"/>
        <w:rPr/>
      </w:pPr>
      <w:r>
        <w:rPr/>
      </w:r>
    </w:p>
    <w:p>
      <w:pPr>
        <w:pStyle w:val="Normal"/>
        <w:rPr/>
      </w:pPr>
      <w:r>
        <w:rPr/>
      </w:r>
    </w:p>
    <w:p>
      <w:pPr>
        <w:pStyle w:val="Normal"/>
        <w:rPr/>
      </w:pPr>
      <w:r>
        <w:rPr/>
        <w:t>On a very high level, the first 14 points went over Raptors I, II and IV structures and issues.  Point 15 through 19 described Raptor III structure.  Point 20 is the latest information regarding to possible steps Enron may be taking towards resolve Raptor issues.  These notes are based on my understanding of the deal and my discussion with Gordon, Vince and Rakesh. It can only be used as a quick revisit of Raptor Structures.</w:t>
      </w:r>
    </w:p>
    <w:p>
      <w:pPr>
        <w:pStyle w:val="Normal"/>
        <w:rPr/>
      </w:pPr>
      <w:r>
        <w:rPr/>
      </w:r>
    </w:p>
    <w:p>
      <w:pPr>
        <w:pStyle w:val="Normal"/>
        <w:rPr/>
      </w:pPr>
      <w:r>
        <w:rPr/>
      </w:r>
    </w:p>
    <w:p>
      <w:pPr>
        <w:pStyle w:val="Normal"/>
        <w:numPr>
          <w:ilvl w:val="0"/>
          <w:numId w:val="1"/>
        </w:numPr>
        <w:rPr/>
      </w:pPr>
      <w:r>
        <w:rPr/>
        <w:t>The following graph depict the Raptor balance sheet at the inception of Raptors I, II and IV:</w:t>
      </w:r>
    </w:p>
    <w:p>
      <w:pPr>
        <w:pStyle w:val="Normal"/>
        <w:rPr/>
      </w:pPr>
      <w:r>
        <w:rPr/>
      </w:r>
    </w:p>
    <w:p>
      <w:pPr>
        <w:pStyle w:val="Normal"/>
        <w:rPr/>
      </w:pPr>
      <w:r>
        <w:rPr/>
      </w:r>
    </w:p>
    <w:p>
      <w:pPr>
        <w:pStyle w:val="Normal"/>
        <w:ind w:start="360" w:end="0"/>
        <w:rPr/>
      </w:pPr>
      <w:bookmarkStart w:id="0" w:name="_1060255865"/>
      <w:bookmarkStart w:id="1" w:name="_1060255792"/>
      <w:bookmarkEnd w:id="0"/>
      <w:bookmarkEnd w:id="1"/>
      <w:r>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60pt;height:270pt" filled="f" o:ole="">
            <v:imagedata r:id="rId3" o:title=""/>
          </v:shape>
          <o:OLEObject Type="Embed" ProgID="PowerPoint.Show.12" ShapeID="ole_rId2" DrawAspect="Content" ObjectID="_2141449536" r:id="rId2"/>
        </w:object>
      </w:r>
    </w:p>
    <w:p>
      <w:pPr>
        <w:pStyle w:val="Normal"/>
        <w:ind w:start="720" w:end="0"/>
        <w:rPr/>
      </w:pPr>
      <w:r>
        <w:rPr/>
        <w:t>Where:</w:t>
      </w:r>
    </w:p>
    <w:p>
      <w:pPr>
        <w:pStyle w:val="Normal"/>
        <w:ind w:start="1080" w:end="0"/>
        <w:rPr/>
      </w:pPr>
      <w:r>
        <w:rPr>
          <w:u w:val="single"/>
        </w:rPr>
        <w:t>ENE shares:</w:t>
      </w:r>
      <w:r>
        <w:rPr/>
        <w:t xml:space="preserve"> For some of the raptors, ENE contributed certain amount of initial shares (approx. 7 million shares in Raptor I).</w:t>
      </w:r>
    </w:p>
    <w:p>
      <w:pPr>
        <w:pStyle w:val="Normal"/>
        <w:ind w:start="1080" w:end="0"/>
        <w:jc w:val="both"/>
        <w:rPr/>
      </w:pPr>
      <w:r>
        <w:rPr>
          <w:u w:val="single"/>
        </w:rPr>
        <w:t>ENE Forwards:</w:t>
      </w:r>
      <w:r>
        <w:rPr/>
        <w:t xml:space="preserve"> Enron, through White-wing, also entered agreements to sell forward to Raptors to a total of 18 MM shares of ENE (These shares are excess shares from White Wings settlement). The distribution of some of the 18 MM shares is contingent on ENE price decline. However if ENE share drops to below $50/share, White Wing cannot distribute any of the 18 MM shares to Raptors. Because these shares will be utilize to fulfill White-wing’s own debt obligations.</w:t>
      </w:r>
    </w:p>
    <w:p>
      <w:pPr>
        <w:pStyle w:val="Normal"/>
        <w:ind w:start="1080" w:end="0"/>
        <w:jc w:val="both"/>
        <w:rPr/>
      </w:pPr>
      <w:r>
        <w:rPr>
          <w:u w:val="single"/>
        </w:rPr>
        <w:t xml:space="preserve">Enron Credit Capacity: </w:t>
      </w:r>
      <w:r>
        <w:rPr/>
        <w:t xml:space="preserve"> Enron share assets are valued at 66% of market value. The excess 34% is considered as Enron Credit Capacity to further cushion the possible increase in Raptor’s obligations.  This 34% discount is considered as Enron’s equity contribution to Raptors.</w:t>
      </w:r>
    </w:p>
    <w:p>
      <w:pPr>
        <w:pStyle w:val="Normal"/>
        <w:ind w:start="1080" w:end="0"/>
        <w:rPr>
          <w:u w:val="single"/>
        </w:rPr>
      </w:pPr>
      <w:r>
        <w:rPr>
          <w:u w:val="single"/>
        </w:rPr>
        <w:t>Notes from Enron:</w:t>
      </w:r>
      <w:r>
        <w:rPr/>
        <w:t xml:space="preserve"> Each Raptor also issued $50 million notes at 7%, 5 years maturity.  The interest payments to Enron has not been paid.  It is accumulated on Raptors’ balance sheet as part of its asset to offset the decline in credit capacity.</w:t>
      </w:r>
    </w:p>
    <w:p>
      <w:pPr>
        <w:pStyle w:val="Normal"/>
        <w:ind w:start="720" w:end="0"/>
        <w:jc w:val="both"/>
        <w:rPr>
          <w:u w:val="single"/>
        </w:rPr>
      </w:pPr>
      <w:r>
        <w:rPr>
          <w:u w:val="single"/>
        </w:rPr>
      </w:r>
    </w:p>
    <w:p>
      <w:pPr>
        <w:pStyle w:val="Normal"/>
        <w:numPr>
          <w:ilvl w:val="0"/>
          <w:numId w:val="1"/>
        </w:numPr>
        <w:rPr/>
      </w:pPr>
      <w:r>
        <w:rPr/>
        <w:t>Above share contributions will not dilute Enron earning.</w:t>
      </w:r>
    </w:p>
    <w:p>
      <w:pPr>
        <w:pStyle w:val="Normal"/>
        <w:numPr>
          <w:ilvl w:val="0"/>
          <w:numId w:val="1"/>
        </w:numPr>
        <w:rPr/>
      </w:pPr>
      <w:r>
        <w:rPr/>
        <w:t>With the above balance sheet, Raptor entered into a series of Total Return Swap with Enron for a total value of approximately $733 MM dollars for Raptor I, $513 MM dollars for Raptor II, $522 MM for Raptor IV.  After these “hedge” transactions, Raptors’ balance sheet would have the following entries:</w:t>
      </w:r>
    </w:p>
    <w:p>
      <w:pPr>
        <w:pStyle w:val="Normal"/>
        <w:rPr/>
      </w:pPr>
      <w:r>
        <w:rPr/>
      </w:r>
    </w:p>
    <w:p>
      <w:pPr>
        <w:pStyle w:val="Normal"/>
        <w:rPr/>
      </w:pPr>
      <w:r>
        <w:rPr/>
      </w:r>
    </w:p>
    <w:p>
      <w:pPr>
        <w:pStyle w:val="Normal"/>
        <w:rPr/>
      </w:pPr>
      <w:r>
        <w:rP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60pt;height:270pt" filled="f" o:ole="">
            <v:imagedata r:id="rId5" o:title=""/>
          </v:shape>
          <o:OLEObject Type="Embed" ProgID="PowerPoint.Show.12" ShapeID="ole_rId4" DrawAspect="Content" ObjectID="_1213335723" r:id="rId4"/>
        </w:object>
      </w:r>
    </w:p>
    <w:p>
      <w:pPr>
        <w:pStyle w:val="Normal"/>
        <w:ind w:hanging="360" w:start="1080" w:end="0"/>
        <w:rPr/>
      </w:pPr>
      <w:r>
        <w:rPr/>
        <w:t>Where:</w:t>
      </w:r>
    </w:p>
    <w:p>
      <w:pPr>
        <w:pStyle w:val="Normal"/>
        <w:ind w:start="1080" w:end="0"/>
        <w:rPr>
          <w:b/>
          <w:bCs/>
          <w:u w:val="single"/>
        </w:rPr>
      </w:pPr>
      <w:r>
        <w:rPr>
          <w:u w:val="single"/>
        </w:rPr>
        <w:t xml:space="preserve">Swap obligation, Swap receivable: </w:t>
      </w:r>
      <w:r>
        <w:rPr/>
        <w:t>Raptor entered into Total Return Swaps with Enron.  For Enron, assuming TRS is transacted with a true 3</w:t>
      </w:r>
      <w:r>
        <w:rPr>
          <w:vertAlign w:val="superscript"/>
        </w:rPr>
        <w:t>rd</w:t>
      </w:r>
      <w:r>
        <w:rPr/>
        <w:t xml:space="preserve"> party, the total return swap transaction preserved Enron’s value on a series of assets, public and private.  With these total return swaps, if total value of these assets increases beyond the swap prices, Enron will pay Raptors the difference. This payment will reflect on Raptor’s balance sheet as swap receivables.  If total value of these assets drops below the swap price, Raptors will pay Enron the difference.  These payments will be reflected on the balance sheet as Swap obligations.   </w:t>
      </w:r>
      <w:r>
        <w:rPr>
          <w:b/>
          <w:bCs/>
        </w:rPr>
        <w:t xml:space="preserve">Currently, this payment is added to Raptor’s balance sheet as a new note payable to Enron. </w:t>
      </w:r>
      <w:r>
        <w:br w:type="page"/>
      </w:r>
    </w:p>
    <w:p>
      <w:pPr>
        <w:pStyle w:val="Normal"/>
        <w:ind w:start="360" w:end="0"/>
        <w:rPr>
          <w:b/>
          <w:bCs/>
          <w:u w:val="single"/>
        </w:rPr>
      </w:pPr>
      <w:r>
        <w:rPr>
          <w:b/>
          <w:bCs/>
          <w:u w:val="single"/>
        </w:rPr>
      </w:r>
    </w:p>
    <w:p>
      <w:pPr>
        <w:pStyle w:val="Normal"/>
        <w:numPr>
          <w:ilvl w:val="0"/>
          <w:numId w:val="1"/>
        </w:numPr>
        <w:rPr/>
      </w:pPr>
      <w:r>
        <w:rPr>
          <w:u w:val="single"/>
        </w:rPr>
        <w:t>Raptor Mechanism</w:t>
      </w:r>
      <w:r>
        <w:rPr/>
        <w:t xml:space="preserve">: </w:t>
      </w:r>
    </w:p>
    <w:p>
      <w:pPr>
        <w:pStyle w:val="BodyTextIndent"/>
        <w:numPr>
          <w:ilvl w:val="1"/>
          <w:numId w:val="1"/>
        </w:numPr>
        <w:rPr/>
      </w:pPr>
      <w:r>
        <w:rPr/>
        <w:t>Assuming ENE price is fixed, if the total net asset value in the total return swap increase to above the swap strike price, Raptor will receive a payment from Enron to Raptor swap receivables account.</w:t>
      </w:r>
    </w:p>
    <w:p>
      <w:pPr>
        <w:pStyle w:val="Normal"/>
        <w:numPr>
          <w:ilvl w:val="1"/>
          <w:numId w:val="1"/>
        </w:numPr>
        <w:rPr/>
      </w:pPr>
      <w:r>
        <w:rPr/>
        <w:t xml:space="preserve">Assuming ENE price is fixed, if the total net asset value drops below the swap strike price, Raptor will increase its swap obligations and decrease the ENE credit capacity in the Equity.  </w:t>
      </w:r>
    </w:p>
    <w:p>
      <w:pPr>
        <w:pStyle w:val="Normal"/>
        <w:numPr>
          <w:ilvl w:val="1"/>
          <w:numId w:val="1"/>
        </w:numPr>
        <w:rPr/>
      </w:pPr>
      <w:r>
        <w:rPr/>
        <w:t xml:space="preserve">Assuming that ENE price continue to increase, the ENE credit capacity will increase correspondently.  Raptor can cushion a substantial amount of reduction in value of the swap. </w:t>
      </w:r>
    </w:p>
    <w:p>
      <w:pPr>
        <w:pStyle w:val="Normal"/>
        <w:numPr>
          <w:ilvl w:val="1"/>
          <w:numId w:val="1"/>
        </w:numPr>
        <w:rPr/>
      </w:pPr>
      <w:r>
        <w:rPr/>
        <w:t>Assuming that ENE price declines, the ENE credit capacity will decrease correspondently.  The cushion Raptor can use to offset the Swap obligation will be reduced.</w:t>
      </w:r>
    </w:p>
    <w:p>
      <w:pPr>
        <w:pStyle w:val="Normal"/>
        <w:numPr>
          <w:ilvl w:val="1"/>
          <w:numId w:val="1"/>
        </w:numPr>
        <w:rPr/>
      </w:pPr>
      <w:r>
        <w:rPr/>
        <w:t xml:space="preserve">Assuming that ENE price declines while the total net asset value in the TRS also decreases, then, the Enron credit capacity can be quickly exhausted and Enron has to put in more equity to keep the Raptor structure afloat. </w:t>
      </w:r>
    </w:p>
    <w:p>
      <w:pPr>
        <w:pStyle w:val="Normal"/>
        <w:rPr/>
      </w:pPr>
      <w:r>
        <w:rPr/>
      </w:r>
    </w:p>
    <w:p>
      <w:pPr>
        <w:pStyle w:val="Normal"/>
        <w:numPr>
          <w:ilvl w:val="0"/>
          <w:numId w:val="1"/>
        </w:numPr>
        <w:rPr/>
      </w:pPr>
      <w:r>
        <w:rPr/>
        <w:t>Enron made above arrangement when its stock price was around $75/share. The price went up to $90s and then started to decline. At the same time, the total asset value in the swap was dropping as well.  These two movements significantly reduced the ENE credit capacity.</w:t>
      </w:r>
      <w:r>
        <w:br w:type="page"/>
      </w:r>
    </w:p>
    <w:p>
      <w:pPr>
        <w:pStyle w:val="Normal"/>
        <w:numPr>
          <w:ilvl w:val="0"/>
          <w:numId w:val="1"/>
        </w:numPr>
        <w:rPr/>
      </w:pPr>
      <w:r>
        <w:rPr/>
        <w:t>To prevent ENE credit capacity from further deterioration, Raptor transacted with Enron to put on costless collars on its Enron shares, where Raptor brought puts and sold calls to Enron.  There are three collars structured for Raptor I, II, IV respectively.  After putting on collars, Raptor balance sheet looks like the following:</w:t>
      </w:r>
    </w:p>
    <w:p>
      <w:pPr>
        <w:pStyle w:val="Normal"/>
        <w:rPr/>
      </w:pPr>
      <w:r>
        <w:rPr/>
      </w:r>
    </w:p>
    <w:p>
      <w:pPr>
        <w:pStyle w:val="Normal"/>
        <w:rPr/>
      </w:pPr>
      <w:r>
        <w:rPr/>
        <w:object w:dxaOrig="14400" w:dyaOrig="108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60pt;height:270pt" filled="f" o:ole="">
            <v:imagedata r:id="rId7" o:title=""/>
          </v:shape>
          <o:OLEObject Type="Embed" ProgID="PowerPoint.Show.12" ShapeID="ole_rId6" DrawAspect="Content" ObjectID="_1164632184" r:id="rId6"/>
        </w:object>
      </w:r>
    </w:p>
    <w:p>
      <w:pPr>
        <w:pStyle w:val="Normal"/>
        <w:rPr/>
      </w:pPr>
      <w:r>
        <w:rPr/>
      </w:r>
    </w:p>
    <w:p>
      <w:pPr>
        <w:pStyle w:val="Normal"/>
        <w:numPr>
          <w:ilvl w:val="0"/>
          <w:numId w:val="1"/>
        </w:numPr>
        <w:rPr>
          <w:u w:val="single"/>
        </w:rPr>
      </w:pPr>
      <w:r>
        <w:rPr>
          <w:u w:val="single"/>
        </w:rPr>
        <w:t>Issues with the Collars:</w:t>
      </w:r>
      <w:r>
        <w:rPr/>
        <w:t xml:space="preserve"> These options are European style options, with maturity date in 2003.   Enron elected to use equity method for settling the options, with a maximum limit of 3 shares per option settlement.  The equity method will not affect Enron’s P/L on settlement date.  However, the shares that will be used for the settlement will dilute Enron earnings.   The number of shares that is protected with these collars are as following:  3.9 MM shares for Raptor I, 7.8 Million shares for Raptor II, and 6.3 MM shares for Raptor IV.  A total of 18 MM shares.  My estimation is that maximum number of shares need to be issued at the settlement in 2003 will be 3x18 = 54 MM shares.</w:t>
      </w:r>
    </w:p>
    <w:p>
      <w:pPr>
        <w:pStyle w:val="Normal"/>
        <w:ind w:start="360" w:end="0"/>
        <w:rPr>
          <w:u w:val="single"/>
        </w:rPr>
      </w:pPr>
      <w:r>
        <w:rPr/>
        <w:t xml:space="preserve"> </w:t>
      </w:r>
    </w:p>
    <w:p>
      <w:pPr>
        <w:pStyle w:val="Normal"/>
        <w:numPr>
          <w:ilvl w:val="0"/>
          <w:numId w:val="1"/>
        </w:numPr>
        <w:rPr>
          <w:u w:val="single"/>
        </w:rPr>
      </w:pPr>
      <w:r>
        <w:rPr>
          <w:u w:val="single"/>
        </w:rPr>
        <w:t>Additional Shares, Collars, Note Monitization and Contingent Forwards:</w:t>
      </w:r>
      <w:r>
        <w:rPr/>
        <w:t xml:space="preserve">  By the first quarter of 2001, ENE price have dropped to around $61/share. At around ENE $75.89/share, Raptors have taken the maximum amount of White wing forward shares (18 MM shares).   The combined effect of the dropping in ENE share price and the dropping in net asset value of the swaps again resulted in a negative Enron credit capacity. </w:t>
      </w:r>
    </w:p>
    <w:p>
      <w:pPr>
        <w:pStyle w:val="Normal"/>
        <w:numPr>
          <w:ilvl w:val="1"/>
          <w:numId w:val="1"/>
        </w:numPr>
        <w:rPr/>
      </w:pPr>
      <w:r>
        <w:rPr>
          <w:u w:val="single"/>
        </w:rPr>
        <w:t>Additional Share Injection:</w:t>
      </w:r>
      <w:r>
        <w:rPr/>
        <w:t xml:space="preserve">  Enron injected 12MM shares from JEDI to Raptor II and IV at 23% discount. Raptors utilized the shares to boost Raptors’ asset holding and reduce the negative ENE credit capacity. (I am not sure if these shares will dilute Enron earning.  But given the fact that these shares are from JEDI, there may not be a dilution.)</w:t>
      </w:r>
    </w:p>
    <w:p>
      <w:pPr>
        <w:pStyle w:val="Normal"/>
        <w:numPr>
          <w:ilvl w:val="1"/>
          <w:numId w:val="1"/>
        </w:numPr>
        <w:rPr/>
      </w:pPr>
      <w:r>
        <w:rPr>
          <w:u w:val="single"/>
        </w:rPr>
        <w:t>Collars:</w:t>
      </w:r>
      <w:r>
        <w:rPr/>
        <w:t xml:space="preserve">  Raptors put on costless collars for these shares immediately, long put @$61.48/share and short call @ 91.04, with Enron as the counter party. The total numbers of shares covered under the collars are: 7.9 MM shares for Raptor II and 4.1 MM shares for Raptor IV.   With a maturity of 2005 and European style options.  Again equity settlement method will be used and maximum of 3 shares per option is applied.  The shares that will be utilized for the settlement of these shares will create dilution to Enron earnings.  My estimation is that with total 12 MM shares covered under the collars, the maximum amount of share Enron may have to be issued at maturity will be 3x12 = 36 MM shares.</w:t>
      </w:r>
    </w:p>
    <w:p>
      <w:pPr>
        <w:pStyle w:val="Normal"/>
        <w:ind w:start="1080" w:end="0"/>
        <w:rPr/>
      </w:pPr>
      <w:r>
        <w:rPr/>
      </w:r>
    </w:p>
    <w:p>
      <w:pPr>
        <w:pStyle w:val="Normal"/>
        <w:numPr>
          <w:ilvl w:val="1"/>
          <w:numId w:val="1"/>
        </w:numPr>
        <w:rPr/>
      </w:pPr>
      <w:r>
        <w:rPr>
          <w:u w:val="single"/>
        </w:rPr>
        <w:t>Note Monetization (Project Tahiti):</w:t>
      </w:r>
      <w:r>
        <w:rPr/>
        <w:t xml:space="preserve">  These is a $259 MM note that is underwritten By Pronghorn 1 LLC to a third party, Porcupine.  Pronghorn is an entity somehow structured under Raptor.  Porcupine is a 3</w:t>
      </w:r>
      <w:r>
        <w:rPr>
          <w:vertAlign w:val="superscript"/>
        </w:rPr>
        <w:t>rd</w:t>
      </w:r>
      <w:r>
        <w:rPr/>
        <w:t xml:space="preserve"> party.  The note is due on April 2005.  Porcupine is making payments to Pronghorn. Enron has monetized this note for Pronghorn and scheduled to pay Pronghorn, a.k.a. Raptors, immediately $30 MM in cash with no discount; another $50 MM with no discount by the end of year 2001; and pay the remaining $179 MM notes within the next few years.</w:t>
      </w:r>
    </w:p>
    <w:p>
      <w:pPr>
        <w:pStyle w:val="Normal"/>
        <w:rPr/>
      </w:pPr>
      <w:r>
        <w:rPr/>
      </w:r>
    </w:p>
    <w:p>
      <w:pPr>
        <w:pStyle w:val="Normal"/>
        <w:numPr>
          <w:ilvl w:val="1"/>
          <w:numId w:val="1"/>
        </w:numPr>
        <w:rPr/>
      </w:pPr>
      <w:r>
        <w:rPr>
          <w:u w:val="single"/>
        </w:rPr>
        <w:t>Contingent ENE Shares Forwards:</w:t>
      </w:r>
      <w:r>
        <w:rPr/>
        <w:t xml:space="preserve">  If ENE price drops below $50/shares, White-wing is unable to distribute the 18 MM shares. White-wing must utilized all these shares to fulfill its own debt obligation with Ospry.   When Enron was traded at $60/share, the chance of ENE share price dropping below $50/share was not inconceivable.  To prevent that from affecting Raptor structures, Raptor entered into a “Reversal” offering agreement with Enron.  The spirit of the agreement is as following:  If ENE price dropping below $50/share, Enron will forward sell 18 MM new shares to Raptors to replace the 18 MM shares that would have been distributed through White-wing to Raptors.  But should if ENE price recover to above $50/share, then, this agreement will be voided since the original forwards from White-wing will be distributable again.</w:t>
      </w:r>
    </w:p>
    <w:p>
      <w:pPr>
        <w:pStyle w:val="Normal"/>
        <w:rPr/>
      </w:pPr>
      <w:r>
        <w:rPr/>
      </w:r>
    </w:p>
    <w:p>
      <w:pPr>
        <w:pStyle w:val="Normal"/>
        <w:numPr>
          <w:ilvl w:val="0"/>
          <w:numId w:val="1"/>
        </w:numPr>
        <w:rPr/>
      </w:pPr>
      <w:r>
        <w:rPr>
          <w:u w:val="single"/>
        </w:rPr>
        <w:t>Earnings Dilution:</w:t>
      </w:r>
      <w:r>
        <w:rPr/>
        <w:t xml:space="preserve"> After all above transactions, it is my understanding that the maximum number of shares that will dilute Enron earnings will be (1) 48MM shares of possible settlement for the first 3 collars; (2) 36 MM shares of possible settlement for the last 2 collars; and (3) the new 18 MM share of forwards.  Total of 112 MM shares. </w:t>
      </w:r>
    </w:p>
    <w:p>
      <w:pPr>
        <w:pStyle w:val="Normal"/>
        <w:ind w:start="360" w:end="0"/>
        <w:rPr/>
      </w:pPr>
      <w:r>
        <w:rPr/>
      </w:r>
    </w:p>
    <w:p>
      <w:pPr>
        <w:pStyle w:val="Normal"/>
        <w:numPr>
          <w:ilvl w:val="0"/>
          <w:numId w:val="1"/>
        </w:numPr>
        <w:rPr/>
      </w:pPr>
      <w:r>
        <w:rPr>
          <w:u w:val="single"/>
        </w:rPr>
        <w:t>Example on the Maximum Share Limit:</w:t>
      </w:r>
      <w:r>
        <w:rPr/>
        <w:t xml:space="preserve">  As stated earlier, all options have a maximum limit of 3 shares per option restriction.  Here is an example to illustrate the maximum share restriction:      (1) Assuming the strike price is $80, and the ENE share is at $20 at the maturity, the value of the option is $60, ENE will therefore hand over $60/$20=3 shares of ENE stock.   (2) However, if ENE share is at $10 per share, the option value should be $70.  ENE should hand over $70/$10= 7 shares of ENE stock.  But instead of hand in 7 shares, Enron will only hand over 3 shares at the value of $30 in total.  In the other words, </w:t>
      </w:r>
      <w:r>
        <w:rPr>
          <w:b/>
          <w:bCs/>
        </w:rPr>
        <w:t>The Enron shares covered under the collars are not hedged below $20/share</w:t>
      </w:r>
      <w:r>
        <w:rPr/>
        <w:t>.</w:t>
      </w:r>
    </w:p>
    <w:p>
      <w:pPr>
        <w:pStyle w:val="Normal"/>
        <w:rPr/>
      </w:pPr>
      <w:r>
        <w:rPr/>
      </w:r>
    </w:p>
    <w:p>
      <w:pPr>
        <w:pStyle w:val="Normal"/>
        <w:rPr/>
      </w:pPr>
      <w:r>
        <w:rPr/>
      </w:r>
    </w:p>
    <w:p>
      <w:pPr>
        <w:pStyle w:val="Normal"/>
        <w:numPr>
          <w:ilvl w:val="0"/>
          <w:numId w:val="1"/>
        </w:numPr>
        <w:rPr/>
      </w:pPr>
      <w:r>
        <w:rPr/>
        <w:t>After above transactions, Raptors’ balance sheet looks like the following:</w:t>
      </w:r>
    </w:p>
    <w:p>
      <w:pPr>
        <w:pStyle w:val="Normal"/>
        <w:rPr/>
      </w:pPr>
      <w:r>
        <w:rPr/>
      </w:r>
    </w:p>
    <w:p>
      <w:pPr>
        <w:pStyle w:val="Normal"/>
        <w:rPr/>
      </w:pPr>
      <w:r>
        <w:rPr/>
      </w:r>
    </w:p>
    <w:p>
      <w:pPr>
        <w:pStyle w:val="Normal"/>
        <w:rPr/>
      </w:pPr>
      <w:r>
        <w:rPr/>
        <w:object w:dxaOrig="14400" w:dyaOrig="108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60pt;height:270pt" filled="f" o:ole="">
            <v:imagedata r:id="rId9" o:title=""/>
          </v:shape>
          <o:OLEObject Type="Embed" ProgID="PowerPoint.Show.12" ShapeID="ole_rId8" DrawAspect="Content" ObjectID="_1656964145" r:id="rId8"/>
        </w:object>
      </w:r>
    </w:p>
    <w:p>
      <w:pPr>
        <w:pStyle w:val="Normal"/>
        <w:rPr/>
      </w:pPr>
      <w:r>
        <w:rPr/>
      </w:r>
    </w:p>
    <w:p>
      <w:pPr>
        <w:pStyle w:val="Normal"/>
        <w:numPr>
          <w:ilvl w:val="0"/>
          <w:numId w:val="1"/>
        </w:numPr>
        <w:rPr/>
      </w:pPr>
      <w:r>
        <w:rPr/>
        <w:t>Immediately after above transactions in item 8, aggregated Enron Credit Capacity was negative $36MM. As of early August, the Enron Credit Capacity is approaching negative 180 MM again.</w:t>
      </w:r>
    </w:p>
    <w:p>
      <w:pPr>
        <w:pStyle w:val="Normal"/>
        <w:ind w:start="360" w:end="0"/>
        <w:rPr/>
      </w:pPr>
      <w:r>
        <w:rPr/>
      </w:r>
    </w:p>
    <w:p>
      <w:pPr>
        <w:pStyle w:val="Normal"/>
        <w:numPr>
          <w:ilvl w:val="0"/>
          <w:numId w:val="1"/>
        </w:numPr>
        <w:rPr>
          <w:u w:val="single"/>
        </w:rPr>
      </w:pPr>
      <w:r>
        <w:rPr>
          <w:u w:val="single"/>
        </w:rPr>
        <w:t>Asset Revaluation:</w:t>
      </w:r>
      <w:r>
        <w:rPr/>
        <w:t xml:space="preserve"> Research is in the process of revalue the private assets in the Raptor swaps.  Rakesh Bharat is working on the revaluation.  Some results should be out this week.  </w:t>
      </w:r>
    </w:p>
    <w:p>
      <w:pPr>
        <w:pStyle w:val="Normal"/>
        <w:rPr>
          <w:u w:val="single"/>
        </w:rPr>
      </w:pPr>
      <w:r>
        <w:rPr>
          <w:u w:val="single"/>
        </w:rPr>
      </w:r>
      <w:r>
        <w:br w:type="page"/>
      </w:r>
    </w:p>
    <w:p>
      <w:pPr>
        <w:pStyle w:val="Normal"/>
        <w:ind w:start="360" w:end="0"/>
        <w:rPr>
          <w:u w:val="single"/>
        </w:rPr>
      </w:pPr>
      <w:r>
        <w:rPr>
          <w:u w:val="single"/>
        </w:rPr>
      </w:r>
    </w:p>
    <w:p>
      <w:pPr>
        <w:pStyle w:val="Normal"/>
        <w:numPr>
          <w:ilvl w:val="0"/>
          <w:numId w:val="1"/>
        </w:numPr>
        <w:rPr>
          <w:u w:val="single"/>
        </w:rPr>
      </w:pPr>
      <w:r>
        <w:rPr>
          <w:u w:val="single"/>
        </w:rPr>
        <w:t>Enron’s Management of its Public Assets in Raptor I, II and IV:</w:t>
      </w:r>
      <w:r>
        <w:rPr/>
        <w:t xml:space="preserve">  As of 8/03/01, Enron has sold the following assets that were included in the TRS with Raptors, therefore, terminated these specific swaps with Raptors. However, the corresponding swap payments from Raptor may not have been paid.  It may have been rolled into additional notes to Enron.</w:t>
      </w:r>
    </w:p>
    <w:p>
      <w:pPr>
        <w:pStyle w:val="Normal"/>
        <w:rPr>
          <w:u w:val="single"/>
        </w:rPr>
      </w:pPr>
      <w:r>
        <w:rPr>
          <w:u w:val="single"/>
        </w:rPr>
      </w:r>
    </w:p>
    <w:p>
      <w:pPr>
        <w:pStyle w:val="Normal"/>
        <w:rPr>
          <w:u w:val="single"/>
        </w:rPr>
      </w:pPr>
      <w:bookmarkStart w:id="2" w:name="_1060549817"/>
      <w:bookmarkEnd w:id="2"/>
      <w:r>
        <w:rPr>
          <w:u w:val="single"/>
        </w:rPr>
        <w:object w:dxaOrig="11213" w:dyaOrig="7906">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31.8pt;height:271.15pt" filled="f" o:ole="">
            <v:imagedata r:id="rId11" o:title=""/>
          </v:shape>
          <o:OLEObject Type="Embed" ProgID="Excel.Sheet.12" ShapeID="ole_rId10" DrawAspect="Content" ObjectID="_176792009" r:id="rId10"/>
        </w:object>
      </w:r>
    </w:p>
    <w:p>
      <w:pPr>
        <w:pStyle w:val="Normal"/>
        <w:rPr>
          <w:u w:val="single"/>
        </w:rPr>
      </w:pPr>
      <w:r>
        <w:rPr>
          <w:u w:val="single"/>
        </w:rPr>
      </w:r>
      <w:r>
        <w:br w:type="page"/>
      </w:r>
    </w:p>
    <w:p>
      <w:pPr>
        <w:pStyle w:val="Normal"/>
        <w:ind w:start="360" w:end="0"/>
        <w:rPr>
          <w:u w:val="single"/>
        </w:rPr>
      </w:pPr>
      <w:r>
        <w:rPr>
          <w:u w:val="single"/>
        </w:rPr>
      </w:r>
    </w:p>
    <w:p>
      <w:pPr>
        <w:pStyle w:val="Normal"/>
        <w:numPr>
          <w:ilvl w:val="0"/>
          <w:numId w:val="1"/>
        </w:numPr>
        <w:rPr>
          <w:u w:val="single"/>
        </w:rPr>
      </w:pPr>
      <w:r>
        <w:rPr>
          <w:u w:val="single"/>
        </w:rPr>
        <w:t xml:space="preserve">Raptor III Structure: </w:t>
      </w:r>
      <w:r>
        <w:rPr/>
        <w:t xml:space="preserve"> The raptor III structure transformation is somewhat sketch to me at this time.  But from a high level, att the inception, Raptor III’s balance sheet includes the following: </w:t>
      </w:r>
    </w:p>
    <w:p>
      <w:pPr>
        <w:pStyle w:val="Normal"/>
        <w:ind w:start="360" w:end="0"/>
        <w:rPr>
          <w:u w:val="single"/>
        </w:rPr>
      </w:pPr>
      <w:r>
        <w:rPr>
          <w:u w:val="single"/>
        </w:rPr>
      </w:r>
    </w:p>
    <w:p>
      <w:pPr>
        <w:pStyle w:val="Normal"/>
        <w:rPr/>
      </w:pPr>
      <w:r>
        <w:rPr/>
        <w:object w:dxaOrig="14400" w:dyaOrig="108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60pt;height:270pt" filled="f" o:ole="">
            <v:imagedata r:id="rId13" o:title=""/>
          </v:shape>
          <o:OLEObject Type="Embed" ProgID="PowerPoint.Show.12" ShapeID="ole_rId12" DrawAspect="Content" ObjectID="_1496690778" r:id="rId12"/>
        </w:object>
      </w:r>
    </w:p>
    <w:p>
      <w:pPr>
        <w:pStyle w:val="Normal"/>
        <w:rPr>
          <w:u w:val="single"/>
        </w:rPr>
      </w:pPr>
      <w:r>
        <w:rPr/>
        <w:t xml:space="preserve">   </w:t>
      </w:r>
    </w:p>
    <w:p>
      <w:pPr>
        <w:pStyle w:val="Normal"/>
        <w:numPr>
          <w:ilvl w:val="0"/>
          <w:numId w:val="1"/>
        </w:numPr>
        <w:rPr>
          <w:u w:val="single"/>
        </w:rPr>
      </w:pPr>
      <w:r>
        <w:rPr/>
        <w:t>The major difference between Raptor III structures and the other three Raptors is that on the asset side, TNPC Warrants replaced Enron shares and share forwards.  Therefore, the Raptor III asset value and its Enron Credit Capacity was depending on the TNPC market prices.   There was around 120,000 warrants issued.  Each warrant will entitle the Raptor III with 200 TNPC shares. Therefore, there are total of 24 MM of TNPC shares committed into the Raptor III. Immediately after TNPC IPO.  At $21/share, these warrants was worth around $500 MM dollars of asset value. The initial Enron Credit capacity was around $495 MM dollars.</w:t>
      </w:r>
    </w:p>
    <w:p>
      <w:pPr>
        <w:pStyle w:val="Normal"/>
        <w:rPr>
          <w:u w:val="single"/>
        </w:rPr>
      </w:pPr>
      <w:r>
        <w:rPr>
          <w:u w:val="single"/>
        </w:rPr>
      </w:r>
    </w:p>
    <w:p>
      <w:pPr>
        <w:pStyle w:val="Normal"/>
        <w:numPr>
          <w:ilvl w:val="0"/>
          <w:numId w:val="1"/>
        </w:numPr>
        <w:rPr>
          <w:u w:val="single"/>
        </w:rPr>
      </w:pPr>
      <w:r>
        <w:rPr/>
        <w:t xml:space="preserve">Raptor III completed the Total Return Swap with Enron, with a total asset value of $380 MM dollars in the TRS.  </w:t>
      </w:r>
    </w:p>
    <w:p>
      <w:pPr>
        <w:pStyle w:val="Normal"/>
        <w:rPr>
          <w:u w:val="single"/>
        </w:rPr>
      </w:pPr>
      <w:r>
        <w:rPr>
          <w:u w:val="single"/>
        </w:rPr>
      </w:r>
    </w:p>
    <w:p>
      <w:pPr>
        <w:pStyle w:val="Normal"/>
        <w:numPr>
          <w:ilvl w:val="0"/>
          <w:numId w:val="1"/>
        </w:numPr>
        <w:rPr>
          <w:u w:val="single"/>
        </w:rPr>
      </w:pPr>
      <w:r>
        <w:rPr/>
        <w:t>Subsequently, the TNPC price has dropped significantly from $21 dollar at inception of the TRS to $7/share by March of 2001.  In the mean time, the swaps have dropped in value of approximately $247 MM dollars.  The combined effect resulted a $113 MM negative Enron Credit Capacity by March of 2001.  As of August 2001, the Enron Credit Capacity in Raptor III has dropped to negative $226 MM dollars.</w:t>
      </w:r>
    </w:p>
    <w:p>
      <w:pPr>
        <w:pStyle w:val="Normal"/>
        <w:rPr>
          <w:u w:val="single"/>
        </w:rPr>
      </w:pPr>
      <w:r>
        <w:rPr>
          <w:u w:val="single"/>
        </w:rPr>
      </w:r>
    </w:p>
    <w:p>
      <w:pPr>
        <w:pStyle w:val="Normal"/>
        <w:numPr>
          <w:ilvl w:val="0"/>
          <w:numId w:val="1"/>
        </w:numPr>
        <w:rPr/>
      </w:pPr>
      <w:r>
        <w:rPr/>
        <w:t xml:space="preserve">With the TNPC’s price at around $4/share today, each dollar increases in TNPC price will improve Enron Credit Capcity by $42 MM dollars. </w:t>
      </w:r>
    </w:p>
    <w:p>
      <w:pPr>
        <w:pStyle w:val="Normal"/>
        <w:ind w:start="360" w:end="0"/>
        <w:rPr/>
      </w:pPr>
      <w:r>
        <w:rPr/>
      </w:r>
    </w:p>
    <w:p>
      <w:pPr>
        <w:pStyle w:val="Normal"/>
        <w:numPr>
          <w:ilvl w:val="0"/>
          <w:numId w:val="1"/>
        </w:numPr>
        <w:rPr/>
      </w:pPr>
      <w:r>
        <w:rPr>
          <w:u w:val="single"/>
        </w:rPr>
        <w:t>Finance Group plan:</w:t>
      </w:r>
      <w:r>
        <w:rPr/>
        <w:t xml:space="preserve">  Two possible steps have been considered regarding to the Raptor Structures:</w:t>
      </w:r>
    </w:p>
    <w:p>
      <w:pPr>
        <w:pStyle w:val="Normal"/>
        <w:numPr>
          <w:ilvl w:val="1"/>
          <w:numId w:val="1"/>
        </w:numPr>
        <w:rPr/>
      </w:pPr>
      <w:r>
        <w:rPr/>
        <w:t>Buy out some pieces of Raptors’ assets before the end of the 3</w:t>
      </w:r>
      <w:r>
        <w:rPr>
          <w:vertAlign w:val="superscript"/>
        </w:rPr>
        <w:t>rd</w:t>
      </w:r>
      <w:r>
        <w:rPr/>
        <w:t xml:space="preserve"> Quarter</w:t>
      </w:r>
    </w:p>
    <w:p>
      <w:pPr>
        <w:pStyle w:val="Normal"/>
        <w:numPr>
          <w:ilvl w:val="1"/>
          <w:numId w:val="1"/>
        </w:numPr>
        <w:rPr/>
      </w:pPr>
      <w:r>
        <w:rPr/>
        <w:t>Performing private asset revaluation.  Based on the assessment of the private asset values, Enron may buy back equity ownerships by the end of the year.  It is my understanding that these preliminary plans with be presented to Enron CFO this Wednesday at the earliest.</w:t>
      </w:r>
    </w:p>
    <w:p>
      <w:pPr>
        <w:pStyle w:val="Normal"/>
        <w:ind w:start="1080" w:end="0"/>
        <w:rPr/>
      </w:pPr>
      <w:r>
        <w:rPr/>
      </w:r>
    </w:p>
    <w:p>
      <w:pPr>
        <w:pStyle w:val="Normal"/>
        <w:ind w:start="360" w:end="0"/>
        <w:rPr>
          <w:b/>
          <w:bCs/>
          <w:u w:val="single"/>
        </w:rPr>
      </w:pPr>
      <w:r>
        <w:rPr/>
        <w:t xml:space="preserve">   </w:t>
      </w:r>
      <w:r>
        <w:rPr>
          <w:b/>
          <w:bCs/>
        </w:rPr>
        <w:t xml:space="preserve">   </w:t>
      </w:r>
    </w:p>
    <w:p>
      <w:pPr>
        <w:pStyle w:val="Normal"/>
        <w:ind w:start="360" w:end="0"/>
        <w:rPr>
          <w:b/>
          <w:bCs/>
          <w:u w:val="single"/>
        </w:rPr>
      </w:pPr>
      <w:r>
        <w:rPr>
          <w:b/>
          <w:bCs/>
          <w:u w:val="single"/>
        </w:rPr>
      </w:r>
    </w:p>
    <w:p>
      <w:pPr>
        <w:pStyle w:val="Normal"/>
        <w:rPr>
          <w:u w:val="single"/>
        </w:rPr>
      </w:pPr>
      <w:r>
        <w:rPr>
          <w:u w:val="single"/>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package" Target="embeddings/oleObject2.pptx"/><Relationship Id="rId5" Type="http://schemas.openxmlformats.org/officeDocument/2006/relationships/image" Target="media/image2.wmf"/><Relationship Id="rId6" Type="http://schemas.openxmlformats.org/officeDocument/2006/relationships/package" Target="embeddings/oleObject3.pptx"/><Relationship Id="rId7" Type="http://schemas.openxmlformats.org/officeDocument/2006/relationships/image" Target="media/image3.wmf"/><Relationship Id="rId8" Type="http://schemas.openxmlformats.org/officeDocument/2006/relationships/package" Target="embeddings/oleObject4.pptx"/><Relationship Id="rId9" Type="http://schemas.openxmlformats.org/officeDocument/2006/relationships/image" Target="media/image4.wmf"/><Relationship Id="rId10" Type="http://schemas.openxmlformats.org/officeDocument/2006/relationships/package" Target="embeddings/oleObject5.xlsx"/><Relationship Id="rId11" Type="http://schemas.openxmlformats.org/officeDocument/2006/relationships/image" Target="media/image5.wmf"/><Relationship Id="rId12" Type="http://schemas.openxmlformats.org/officeDocument/2006/relationships/package" Target="embeddings/oleObject6.pptx"/><Relationship Id="rId13" Type="http://schemas.openxmlformats.org/officeDocument/2006/relationships/image" Target="media/image6.wmf"/><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2001-08-29T03:31:00Z</dcterms:created>
  <dc:creator>dyuan</dc:creator>
  <dc:description/>
  <dc:language>en-CA</dc:language>
  <cp:lastModifiedBy>Home</cp:lastModifiedBy>
  <cp:lastPrinted>2001-08-28T17:11:00Z</cp:lastPrinted>
  <dcterms:modified xsi:type="dcterms:W3CDTF">2001-08-29T04:58:00Z</dcterms:modified>
  <cp:revision>6</cp:revision>
  <dc:subject/>
  <dc:title>Raptor Notes:</dc:title>
</cp:coreProperties>
</file>