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tabs>
          <w:tab w:val="clear" w:pos="720"/>
          <w:tab w:val="left" w:pos="6480" w:leader="none"/>
        </w:tabs>
        <w:rPr>
          <w:sz w:val="24"/>
        </w:rPr>
      </w:pPr>
      <w:r>
        <w:rPr/>
        <w:tab/>
        <w:tab/>
        <w:tab/>
        <w:tab/>
      </w:r>
    </w:p>
    <w:p>
      <w:pPr>
        <w:pStyle w:val="Normal"/>
        <w:jc w:val="center"/>
        <w:rPr>
          <w:b/>
          <w:sz w:val="24"/>
        </w:rPr>
      </w:pPr>
      <w:r>
        <w:rPr>
          <w:b/>
          <w:sz w:val="24"/>
        </w:rPr>
      </w:r>
    </w:p>
    <w:p>
      <w:pPr>
        <w:pStyle w:val="Normal"/>
        <w:jc w:val="center"/>
        <w:rPr>
          <w:b/>
          <w:sz w:val="24"/>
        </w:rPr>
      </w:pPr>
      <w:r>
        <w:rPr>
          <w:b/>
          <w:sz w:val="24"/>
        </w:rPr>
      </w:r>
    </w:p>
    <w:p>
      <w:pPr>
        <w:pStyle w:val="Normal"/>
        <w:jc w:val="center"/>
        <w:rPr>
          <w:b/>
          <w:sz w:val="24"/>
        </w:rPr>
      </w:pPr>
      <w:r>
        <w:rPr>
          <w:b/>
          <w:sz w:val="24"/>
        </w:rPr>
      </w:r>
    </w:p>
    <w:p>
      <w:pPr>
        <w:pStyle w:val="Heading1"/>
        <w:ind w:hanging="0" w:start="0"/>
        <w:jc w:val="center"/>
        <w:rPr>
          <w:sz w:val="22"/>
        </w:rPr>
      </w:pPr>
      <w:r>
        <mc:AlternateContent>
          <mc:Choice Requires="wps">
            <w:drawing>
              <wp:anchor behindDoc="0" distT="0" distB="0" distL="114935" distR="114935" simplePos="0" locked="0" layoutInCell="1" allowOverlap="1" relativeHeight="4">
                <wp:simplePos x="0" y="0"/>
                <wp:positionH relativeFrom="column">
                  <wp:posOffset>2453640</wp:posOffset>
                </wp:positionH>
                <wp:positionV relativeFrom="paragraph">
                  <wp:posOffset>149860</wp:posOffset>
                </wp:positionV>
                <wp:extent cx="731520" cy="0"/>
                <wp:effectExtent l="0" t="5080" r="0" b="5080"/>
                <wp:wrapNone/>
                <wp:docPr id="1" name=""/>
                <a:graphic xmlns:a="http://schemas.openxmlformats.org/drawingml/2006/main">
                  <a:graphicData uri="http://schemas.microsoft.com/office/word/2010/wordprocessingShape">
                    <wps:wsp>
                      <wps:cNvSpPr/>
                      <wps:spPr>
                        <a:xfrm>
                          <a:off x="0" y="0"/>
                          <a:ext cx="73152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93.2pt,11.8pt" to="250.75pt,11.8pt" stroked="t" o:allowincell="f" style="position:absolute">
                <v:stroke color="black" weight="9360" joinstyle="miter" endcap="flat"/>
                <v:fill o:detectmouseclick="t" on="false"/>
                <w10:wrap type="none"/>
              </v:line>
            </w:pict>
          </mc:Fallback>
        </mc:AlternateContent>
      </w:r>
      <w:r>
        <w:rPr>
          <w:sz w:val="22"/>
        </w:rPr>
        <w:t xml:space="preserve">                       </w:t>
      </w:r>
      <w:r>
        <w:rPr>
          <w:sz w:val="22"/>
        </w:rPr>
        <w:t>, 2000</w:t>
      </w:r>
    </w:p>
    <w:p>
      <w:pPr>
        <w:pStyle w:val="Normal"/>
        <w:jc w:val="center"/>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t>Talon I, LLC</w:t>
        <w:tab/>
        <w:tab/>
        <w:tab/>
        <w:tab/>
      </w:r>
    </w:p>
    <w:p>
      <w:pPr>
        <w:pStyle w:val="Heading2"/>
        <w:ind w:hanging="0" w:start="0"/>
        <w:rPr/>
      </w:pPr>
      <w:r>
        <w:rPr/>
        <w:t>333 Clay Street, Suite 1203</w:t>
        <w:tab/>
        <w:tab/>
        <w:tab/>
        <w:tab/>
      </w:r>
    </w:p>
    <w:p>
      <w:pPr>
        <w:pStyle w:val="Normal"/>
        <w:jc w:val="both"/>
        <w:rPr>
          <w:sz w:val="24"/>
        </w:rPr>
      </w:pPr>
      <w:r>
        <w:rPr>
          <w:sz w:val="24"/>
        </w:rPr>
        <w:t>Houston, TX  77002</w:t>
        <w:tab/>
        <w:tab/>
        <w:tab/>
        <w:tab/>
        <w:tab/>
      </w:r>
    </w:p>
    <w:p>
      <w:pPr>
        <w:pStyle w:val="Normal"/>
        <w:jc w:val="both"/>
        <w:rPr>
          <w:sz w:val="24"/>
        </w:rPr>
      </w:pPr>
      <w:r>
        <w:rPr>
          <w:sz w:val="24"/>
        </w:rPr>
      </w:r>
    </w:p>
    <w:p>
      <w:pPr>
        <w:pStyle w:val="Normal"/>
        <w:jc w:val="both"/>
        <w:rPr>
          <w:sz w:val="24"/>
        </w:rPr>
      </w:pPr>
      <w:r>
        <w:rPr>
          <w:sz w:val="24"/>
        </w:rPr>
        <w:t>Dear Sirs:</w:t>
      </w:r>
    </w:p>
    <w:p>
      <w:pPr>
        <w:pStyle w:val="Normal"/>
        <w:jc w:val="both"/>
        <w:rPr>
          <w:sz w:val="24"/>
        </w:rPr>
      </w:pPr>
      <w:r>
        <w:rPr>
          <w:sz w:val="24"/>
        </w:rPr>
      </w:r>
    </w:p>
    <w:p>
      <w:pPr>
        <w:pStyle w:val="Normal"/>
        <w:jc w:val="both"/>
        <w:rPr>
          <w:sz w:val="24"/>
        </w:rPr>
      </w:pPr>
      <w:r>
        <w:rPr>
          <w:sz w:val="24"/>
        </w:rPr>
        <w:t>Pending the preparation and execution of a definitive confirmation, this letter will confirm our understanding regarding a derivative transaction (the "Transaction") between Talon I, LLC ("Talon") and Enron Corp. ("Enron”).</w:t>
      </w:r>
    </w:p>
    <w:p>
      <w:pPr>
        <w:pStyle w:val="Normal"/>
        <w:jc w:val="both"/>
        <w:rPr>
          <w:sz w:val="24"/>
        </w:rPr>
      </w:pPr>
      <w:r>
        <w:rPr>
          <w:sz w:val="24"/>
        </w:rPr>
      </w:r>
    </w:p>
    <w:p>
      <w:pPr>
        <w:pStyle w:val="Normal"/>
        <w:jc w:val="both"/>
        <w:rPr>
          <w:sz w:val="24"/>
        </w:rPr>
      </w:pPr>
      <w:r>
        <w:rPr>
          <w:sz w:val="24"/>
        </w:rPr>
        <w:t>The Transaction (i) is being done pursuant to the ISDA Master Agreement between Talon and Enron dated as of April 18, 2000 and (ii) it is expressly understood that the intent of the parties is to enter into a transaction that shall be compliant with the Emerging Issues Task Force Issue 00-19, “Determination of Whether Share Settlement is within the control of the issuer for purposes of Applying Issue No. 96-13” as followed by Enron Corp under U.S. Generally Accepted Accounting Principles (“GAAP”).</w:t>
      </w:r>
    </w:p>
    <w:p>
      <w:pPr>
        <w:pStyle w:val="Normal"/>
        <w:jc w:val="both"/>
        <w:rPr>
          <w:sz w:val="24"/>
        </w:rPr>
      </w:pPr>
      <w:r>
        <w:rPr>
          <w:sz w:val="24"/>
        </w:rPr>
      </w:r>
    </w:p>
    <w:p>
      <w:pPr>
        <w:pStyle w:val="Normal"/>
        <w:jc w:val="both"/>
        <w:rPr>
          <w:sz w:val="24"/>
        </w:rPr>
      </w:pPr>
      <w:r>
        <w:rPr>
          <w:sz w:val="24"/>
        </w:rPr>
        <w:t xml:space="preserve">The Transaction terms and conditions will include those set forth in the attached </w:t>
      </w:r>
      <w:r>
        <w:rPr>
          <w:sz w:val="24"/>
          <w:u w:val="single"/>
        </w:rPr>
        <w:t>Annex A.</w:t>
      </w:r>
    </w:p>
    <w:p>
      <w:pPr>
        <w:pStyle w:val="Normal"/>
        <w:jc w:val="both"/>
        <w:rPr>
          <w:sz w:val="24"/>
        </w:rPr>
      </w:pPr>
      <w:r>
        <w:rPr>
          <w:sz w:val="24"/>
        </w:rPr>
      </w:r>
    </w:p>
    <w:p>
      <w:pPr>
        <w:pStyle w:val="Normal"/>
        <w:jc w:val="both"/>
        <w:rPr>
          <w:sz w:val="24"/>
        </w:rPr>
      </w:pPr>
      <w:r>
        <w:rPr>
          <w:sz w:val="24"/>
        </w:rPr>
        <w:t>Talon and Enron shall incorporate the terms and conditions expressed in this letter in a mutually acceptable definitive confirmation as soon as is practicable.</w:t>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tabs>
          <w:tab w:val="clear" w:pos="720"/>
          <w:tab w:val="left" w:pos="4320" w:leader="none"/>
        </w:tabs>
        <w:jc w:val="both"/>
        <w:rPr>
          <w:sz w:val="24"/>
        </w:rPr>
      </w:pPr>
      <w:r>
        <w:rPr>
          <w:sz w:val="24"/>
        </w:rPr>
        <w:tab/>
        <w:t>Yours sincerely,</w:t>
      </w:r>
    </w:p>
    <w:p>
      <w:pPr>
        <w:pStyle w:val="Normal"/>
        <w:jc w:val="both"/>
        <w:rPr>
          <w:sz w:val="24"/>
        </w:rPr>
      </w:pPr>
      <w:r>
        <w:rPr>
          <w:sz w:val="24"/>
        </w:rPr>
      </w:r>
    </w:p>
    <w:p>
      <w:pPr>
        <w:pStyle w:val="Normal"/>
        <w:tabs>
          <w:tab w:val="clear" w:pos="720"/>
          <w:tab w:val="left" w:pos="4320" w:leader="none"/>
        </w:tabs>
        <w:jc w:val="both"/>
        <w:rPr>
          <w:sz w:val="24"/>
        </w:rPr>
      </w:pPr>
      <w:r>
        <w:rPr>
          <w:sz w:val="24"/>
        </w:rPr>
        <w:tab/>
      </w:r>
      <w:r>
        <w:rPr>
          <w:b/>
          <w:sz w:val="24"/>
        </w:rPr>
        <w:t>Enron Corp.</w:t>
      </w:r>
    </w:p>
    <w:p>
      <w:pPr>
        <w:pStyle w:val="Normal"/>
        <w:tabs>
          <w:tab w:val="clear" w:pos="720"/>
          <w:tab w:val="left" w:pos="4590" w:leader="none"/>
        </w:tabs>
        <w:jc w:val="both"/>
        <w:rPr>
          <w:sz w:val="24"/>
        </w:rPr>
      </w:pPr>
      <w:r>
        <w:rPr>
          <w:sz w:val="24"/>
        </w:rPr>
      </w:r>
    </w:p>
    <w:p>
      <w:pPr>
        <w:pStyle w:val="Heading2"/>
        <w:tabs>
          <w:tab w:val="clear" w:pos="720"/>
          <w:tab w:val="left" w:pos="4320" w:leader="none"/>
        </w:tabs>
        <w:ind w:hanging="0" w:start="0"/>
        <w:rPr/>
      </w:pPr>
      <w:r>
        <w:rPr/>
        <w:tab/>
      </w:r>
    </w:p>
    <w:p>
      <w:pPr>
        <w:pStyle w:val="Normal"/>
        <w:tabs>
          <w:tab w:val="clear" w:pos="720"/>
          <w:tab w:val="left" w:pos="4590" w:leader="none"/>
        </w:tabs>
        <w:jc w:val="both"/>
        <w:rPr>
          <w:sz w:val="24"/>
        </w:rPr>
      </w:pPr>
      <w:r>
        <w:rPr>
          <w:sz w:val="24"/>
        </w:rPr>
      </w:r>
    </w:p>
    <w:p>
      <w:pPr>
        <w:pStyle w:val="Normal"/>
        <w:tabs>
          <w:tab w:val="clear" w:pos="720"/>
          <w:tab w:val="left" w:pos="4320" w:leader="none"/>
        </w:tabs>
        <w:jc w:val="both"/>
        <w:rPr>
          <w:sz w:val="24"/>
        </w:rPr>
      </w:pPr>
      <w:r>
        <mc:AlternateContent>
          <mc:Choice Requires="wps">
            <w:drawing>
              <wp:anchor behindDoc="0" distT="0" distB="0" distL="114935" distR="114935" simplePos="0" locked="0" layoutInCell="1" allowOverlap="1" relativeHeight="3">
                <wp:simplePos x="0" y="0"/>
                <wp:positionH relativeFrom="column">
                  <wp:posOffset>2985135</wp:posOffset>
                </wp:positionH>
                <wp:positionV relativeFrom="paragraph">
                  <wp:posOffset>153670</wp:posOffset>
                </wp:positionV>
                <wp:extent cx="2011680" cy="0"/>
                <wp:effectExtent l="0" t="5080" r="0" b="5080"/>
                <wp:wrapNone/>
                <wp:docPr id="2" name=""/>
                <a:graphic xmlns:a="http://schemas.openxmlformats.org/drawingml/2006/main">
                  <a:graphicData uri="http://schemas.microsoft.com/office/word/2010/wordprocessingShape">
                    <wps:wsp>
                      <wps:cNvSpPr/>
                      <wps:spPr>
                        <a:xfrm>
                          <a:off x="0" y="0"/>
                          <a:ext cx="201168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235.05pt,12.1pt" to="393.4pt,12.1pt" stroked="t" o:allowincell="f" style="position:absolute">
                <v:stroke color="black" weight="9360" joinstyle="miter" endcap="flat"/>
                <v:fill o:detectmouseclick="t" on="false"/>
                <w10:wrap type="none"/>
              </v:line>
            </w:pict>
          </mc:Fallback>
        </mc:AlternateContent>
      </w:r>
      <w:r>
        <w:rPr>
          <w:sz w:val="24"/>
        </w:rPr>
        <w:tab/>
        <w:t>By:</w:t>
        <w:tab/>
        <w:tab/>
        <w:tab/>
        <w:tab/>
        <w:tab/>
      </w:r>
    </w:p>
    <w:p>
      <w:pPr>
        <w:pStyle w:val="Normal"/>
        <w:tabs>
          <w:tab w:val="clear" w:pos="720"/>
          <w:tab w:val="left" w:pos="4320" w:leader="none"/>
        </w:tabs>
        <w:jc w:val="both"/>
        <w:rPr>
          <w:sz w:val="24"/>
        </w:rPr>
      </w:pPr>
      <w:r>
        <w:rPr>
          <w:sz w:val="24"/>
        </w:rPr>
        <w:tab/>
        <w:t>Name:</w:t>
      </w:r>
    </w:p>
    <w:p>
      <w:pPr>
        <w:pStyle w:val="Normal"/>
        <w:tabs>
          <w:tab w:val="clear" w:pos="720"/>
          <w:tab w:val="left" w:pos="4320" w:leader="none"/>
        </w:tabs>
        <w:jc w:val="both"/>
        <w:rPr>
          <w:sz w:val="24"/>
        </w:rPr>
      </w:pPr>
      <w:r>
        <w:rPr>
          <w:sz w:val="24"/>
        </w:rPr>
        <w:tab/>
        <w:t>Title:</w:t>
      </w:r>
    </w:p>
    <w:p>
      <w:pPr>
        <w:pStyle w:val="Normal"/>
        <w:tabs>
          <w:tab w:val="clear" w:pos="720"/>
          <w:tab w:val="left" w:pos="4590" w:leader="none"/>
        </w:tabs>
        <w:jc w:val="both"/>
        <w:rPr>
          <w:sz w:val="24"/>
        </w:rPr>
      </w:pPr>
      <w:r>
        <w:rPr>
          <w:sz w:val="24"/>
        </w:rPr>
      </w:r>
    </w:p>
    <w:p>
      <w:pPr>
        <w:pStyle w:val="Normal"/>
        <w:tabs>
          <w:tab w:val="clear" w:pos="720"/>
          <w:tab w:val="left" w:pos="4590" w:leader="none"/>
        </w:tabs>
        <w:jc w:val="both"/>
        <w:rPr>
          <w:sz w:val="24"/>
        </w:rPr>
      </w:pPr>
      <w:r>
        <w:rPr>
          <w:sz w:val="24"/>
        </w:rPr>
      </w:r>
    </w:p>
    <w:p>
      <w:pPr>
        <w:pStyle w:val="Normal"/>
        <w:tabs>
          <w:tab w:val="clear" w:pos="720"/>
          <w:tab w:val="left" w:pos="4590" w:leader="none"/>
        </w:tabs>
        <w:jc w:val="both"/>
        <w:rPr>
          <w:sz w:val="24"/>
        </w:rPr>
      </w:pPr>
      <w:r>
        <w:rPr>
          <w:sz w:val="24"/>
        </w:rPr>
      </w:r>
    </w:p>
    <w:p>
      <w:pPr>
        <w:pStyle w:val="Normal"/>
        <w:tabs>
          <w:tab w:val="clear" w:pos="720"/>
          <w:tab w:val="left" w:pos="4590" w:leader="none"/>
        </w:tabs>
        <w:jc w:val="both"/>
        <w:rPr>
          <w:sz w:val="24"/>
        </w:rPr>
      </w:pPr>
      <w:r>
        <w:rPr>
          <w:sz w:val="24"/>
        </w:rPr>
        <w:t>ACCEPTED AND AGREED:</w:t>
      </w:r>
    </w:p>
    <w:p>
      <w:pPr>
        <w:pStyle w:val="Normal"/>
        <w:tabs>
          <w:tab w:val="clear" w:pos="720"/>
          <w:tab w:val="left" w:pos="4590" w:leader="none"/>
        </w:tabs>
        <w:jc w:val="both"/>
        <w:rPr>
          <w:sz w:val="24"/>
        </w:rPr>
      </w:pPr>
      <w:r>
        <w:rPr>
          <w:sz w:val="24"/>
        </w:rPr>
      </w:r>
    </w:p>
    <w:p>
      <w:pPr>
        <w:pStyle w:val="Heading4"/>
        <w:ind w:hanging="0" w:start="0"/>
        <w:rPr/>
      </w:pPr>
      <w:r>
        <w:rPr/>
        <w:t>Talon I, LLC</w:t>
      </w:r>
    </w:p>
    <w:p>
      <w:pPr>
        <w:pStyle w:val="Normal"/>
        <w:tabs>
          <w:tab w:val="clear" w:pos="720"/>
          <w:tab w:val="left" w:pos="450" w:leader="none"/>
          <w:tab w:val="left" w:pos="4590" w:leader="none"/>
        </w:tabs>
        <w:jc w:val="both"/>
        <w:rPr>
          <w:sz w:val="24"/>
        </w:rPr>
      </w:pPr>
      <w:r>
        <w:rPr>
          <w:sz w:val="24"/>
        </w:rPr>
      </w:r>
    </w:p>
    <w:p>
      <w:pPr>
        <w:pStyle w:val="Normal"/>
        <w:tabs>
          <w:tab w:val="clear" w:pos="720"/>
          <w:tab w:val="left" w:pos="0" w:leader="none"/>
          <w:tab w:val="left" w:pos="450" w:leader="none"/>
        </w:tabs>
        <w:jc w:val="both"/>
        <w:rPr>
          <w:sz w:val="24"/>
        </w:rPr>
      </w:pPr>
      <w:r>
        <w:rPr>
          <w:sz w:val="24"/>
        </w:rPr>
        <w:t>By:</w:t>
        <w:tab/>
        <w:t xml:space="preserve">LJM2 – Talon, LLC, </w:t>
      </w:r>
    </w:p>
    <w:p>
      <w:pPr>
        <w:pStyle w:val="Normal"/>
        <w:tabs>
          <w:tab w:val="clear" w:pos="720"/>
          <w:tab w:val="left" w:pos="0" w:leader="none"/>
          <w:tab w:val="left" w:pos="450" w:leader="none"/>
        </w:tabs>
        <w:jc w:val="both"/>
        <w:rPr>
          <w:sz w:val="24"/>
        </w:rPr>
      </w:pPr>
      <w:r>
        <w:rPr>
          <w:sz w:val="24"/>
        </w:rPr>
        <w:tab/>
        <w:t>its Servicer</w:t>
      </w:r>
    </w:p>
    <w:p>
      <w:pPr>
        <w:pStyle w:val="Normal"/>
        <w:tabs>
          <w:tab w:val="clear" w:pos="720"/>
          <w:tab w:val="left" w:pos="0" w:leader="none"/>
        </w:tabs>
        <w:jc w:val="both"/>
        <w:rPr>
          <w:sz w:val="24"/>
        </w:rPr>
      </w:pPr>
      <w:r>
        <w:rPr>
          <w:sz w:val="24"/>
        </w:rPr>
      </w:r>
    </w:p>
    <w:p>
      <w:pPr>
        <w:pStyle w:val="Normal"/>
        <w:tabs>
          <w:tab w:val="clear" w:pos="720"/>
          <w:tab w:val="left" w:pos="0" w:leader="none"/>
        </w:tabs>
        <w:jc w:val="both"/>
        <w:rPr>
          <w:sz w:val="24"/>
        </w:rPr>
      </w:pPr>
      <w:r>
        <w:rPr>
          <w:sz w:val="24"/>
        </w:rPr>
        <w:t>By:  LJM2 Co-Investment, L.P.,</w:t>
      </w:r>
    </w:p>
    <w:p>
      <w:pPr>
        <w:pStyle w:val="Normal"/>
        <w:tabs>
          <w:tab w:val="clear" w:pos="720"/>
          <w:tab w:val="left" w:pos="0" w:leader="none"/>
          <w:tab w:val="left" w:pos="450" w:leader="none"/>
        </w:tabs>
        <w:jc w:val="both"/>
        <w:rPr>
          <w:sz w:val="24"/>
        </w:rPr>
      </w:pPr>
      <w:r>
        <w:rPr>
          <w:sz w:val="24"/>
        </w:rPr>
        <w:tab/>
        <w:t>its Managing Member</w:t>
      </w:r>
    </w:p>
    <w:p>
      <w:pPr>
        <w:pStyle w:val="Normal"/>
        <w:tabs>
          <w:tab w:val="clear" w:pos="720"/>
          <w:tab w:val="left" w:pos="0" w:leader="none"/>
        </w:tabs>
        <w:jc w:val="both"/>
        <w:rPr>
          <w:sz w:val="24"/>
        </w:rPr>
      </w:pPr>
      <w:r>
        <w:rPr>
          <w:sz w:val="24"/>
        </w:rPr>
      </w:r>
    </w:p>
    <w:p>
      <w:pPr>
        <w:pStyle w:val="Normal"/>
        <w:tabs>
          <w:tab w:val="clear" w:pos="720"/>
          <w:tab w:val="left" w:pos="0" w:leader="none"/>
          <w:tab w:val="left" w:pos="450" w:leader="none"/>
          <w:tab w:val="left" w:pos="1440" w:leader="none"/>
        </w:tabs>
        <w:jc w:val="both"/>
        <w:rPr>
          <w:sz w:val="24"/>
        </w:rPr>
      </w:pPr>
      <w:r>
        <w:rPr>
          <w:sz w:val="24"/>
        </w:rPr>
        <w:t>By:</w:t>
        <w:tab/>
        <w:t>LJM2 Capital Management, L.P.,</w:t>
      </w:r>
    </w:p>
    <w:p>
      <w:pPr>
        <w:pStyle w:val="Normal"/>
        <w:tabs>
          <w:tab w:val="clear" w:pos="720"/>
          <w:tab w:val="left" w:pos="0" w:leader="none"/>
          <w:tab w:val="left" w:pos="450" w:leader="none"/>
          <w:tab w:val="left" w:pos="1440" w:leader="none"/>
        </w:tabs>
        <w:jc w:val="both"/>
        <w:rPr>
          <w:sz w:val="24"/>
        </w:rPr>
      </w:pPr>
      <w:r>
        <w:rPr>
          <w:sz w:val="24"/>
        </w:rPr>
        <w:tab/>
        <w:t>its General Partner</w:t>
      </w:r>
    </w:p>
    <w:p>
      <w:pPr>
        <w:pStyle w:val="Normal"/>
        <w:tabs>
          <w:tab w:val="clear" w:pos="720"/>
          <w:tab w:val="left" w:pos="0" w:leader="none"/>
          <w:tab w:val="left" w:pos="1440" w:leader="none"/>
        </w:tabs>
        <w:jc w:val="both"/>
        <w:rPr>
          <w:sz w:val="24"/>
        </w:rPr>
      </w:pPr>
      <w:r>
        <w:rPr>
          <w:sz w:val="24"/>
        </w:rPr>
      </w:r>
    </w:p>
    <w:p>
      <w:pPr>
        <w:pStyle w:val="Normal"/>
        <w:tabs>
          <w:tab w:val="clear" w:pos="720"/>
          <w:tab w:val="left" w:pos="0" w:leader="none"/>
          <w:tab w:val="left" w:pos="450" w:leader="none"/>
          <w:tab w:val="left" w:pos="1440" w:leader="none"/>
          <w:tab w:val="left" w:pos="1980" w:leader="none"/>
        </w:tabs>
        <w:jc w:val="both"/>
        <w:rPr>
          <w:sz w:val="24"/>
        </w:rPr>
      </w:pPr>
      <w:r>
        <w:rPr>
          <w:sz w:val="24"/>
        </w:rPr>
        <w:t>By:</w:t>
        <w:tab/>
        <w:t>LJM2 Capital Management, LLC,</w:t>
      </w:r>
    </w:p>
    <w:p>
      <w:pPr>
        <w:pStyle w:val="Normal"/>
        <w:tabs>
          <w:tab w:val="clear" w:pos="720"/>
          <w:tab w:val="left" w:pos="0" w:leader="none"/>
          <w:tab w:val="left" w:pos="450" w:leader="none"/>
          <w:tab w:val="left" w:pos="1440" w:leader="none"/>
          <w:tab w:val="left" w:pos="1980" w:leader="none"/>
        </w:tabs>
        <w:jc w:val="both"/>
        <w:rPr>
          <w:sz w:val="24"/>
        </w:rPr>
      </w:pPr>
      <w:r>
        <w:rPr>
          <w:sz w:val="24"/>
        </w:rPr>
        <w:tab/>
        <w:t>its General Partner</w:t>
      </w:r>
    </w:p>
    <w:p>
      <w:pPr>
        <w:pStyle w:val="Normal"/>
        <w:tabs>
          <w:tab w:val="clear" w:pos="720"/>
          <w:tab w:val="left" w:pos="450" w:leader="none"/>
          <w:tab w:val="left" w:pos="900" w:leader="none"/>
          <w:tab w:val="left" w:pos="1440" w:leader="none"/>
          <w:tab w:val="left" w:pos="1980" w:leader="none"/>
          <w:tab w:val="left" w:pos="4590" w:leader="none"/>
        </w:tabs>
        <w:jc w:val="both"/>
        <w:rPr>
          <w:sz w:val="24"/>
        </w:rPr>
      </w:pPr>
      <w:r>
        <w:rPr>
          <w:sz w:val="24"/>
        </w:rPr>
      </w:r>
    </w:p>
    <w:p>
      <w:pPr>
        <w:pStyle w:val="Normal"/>
        <w:tabs>
          <w:tab w:val="clear" w:pos="720"/>
          <w:tab w:val="left" w:pos="450" w:leader="none"/>
          <w:tab w:val="left" w:pos="900" w:leader="none"/>
          <w:tab w:val="left" w:pos="1440" w:leader="none"/>
          <w:tab w:val="left" w:pos="1980" w:leader="none"/>
          <w:tab w:val="left" w:pos="4590" w:leader="none"/>
        </w:tabs>
        <w:jc w:val="both"/>
        <w:rPr>
          <w:sz w:val="24"/>
        </w:rPr>
      </w:pPr>
      <w:r>
        <w:rPr>
          <w:sz w:val="24"/>
        </w:rPr>
      </w:r>
    </w:p>
    <w:p>
      <w:pPr>
        <w:pStyle w:val="Normal"/>
        <w:tabs>
          <w:tab w:val="clear" w:pos="720"/>
          <w:tab w:val="left" w:pos="450" w:leader="none"/>
          <w:tab w:val="left" w:pos="900" w:leader="none"/>
          <w:tab w:val="left" w:pos="1440" w:leader="none"/>
          <w:tab w:val="left" w:pos="1980" w:leader="none"/>
          <w:tab w:val="left" w:pos="4590" w:leader="none"/>
        </w:tabs>
        <w:jc w:val="both"/>
        <w:rPr>
          <w:sz w:val="24"/>
        </w:rPr>
      </w:pPr>
      <w:r>
        <mc:AlternateContent>
          <mc:Choice Requires="wps">
            <w:drawing>
              <wp:anchor behindDoc="0" distT="0" distB="0" distL="114935" distR="114935" simplePos="0" locked="0" layoutInCell="1" allowOverlap="1" relativeHeight="2">
                <wp:simplePos x="0" y="0"/>
                <wp:positionH relativeFrom="column">
                  <wp:posOffset>234315</wp:posOffset>
                </wp:positionH>
                <wp:positionV relativeFrom="paragraph">
                  <wp:posOffset>146685</wp:posOffset>
                </wp:positionV>
                <wp:extent cx="2011680" cy="0"/>
                <wp:effectExtent l="0" t="5080" r="0" b="5080"/>
                <wp:wrapNone/>
                <wp:docPr id="3" name=""/>
                <a:graphic xmlns:a="http://schemas.openxmlformats.org/drawingml/2006/main">
                  <a:graphicData uri="http://schemas.microsoft.com/office/word/2010/wordprocessingShape">
                    <wps:wsp>
                      <wps:cNvSpPr/>
                      <wps:spPr>
                        <a:xfrm>
                          <a:off x="0" y="0"/>
                          <a:ext cx="201168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8.45pt,11.55pt" to="176.8pt,11.55pt" stroked="t" o:allowincell="f" style="position:absolute">
                <v:stroke color="black" weight="9360" joinstyle="miter" endcap="flat"/>
                <v:fill o:detectmouseclick="t" on="false"/>
                <w10:wrap type="none"/>
              </v:line>
            </w:pict>
          </mc:Fallback>
        </mc:AlternateContent>
      </w:r>
      <w:r>
        <w:rPr>
          <w:sz w:val="24"/>
        </w:rPr>
        <w:t>By:</w:t>
        <w:tab/>
        <w:tab/>
        <w:tab/>
        <w:tab/>
      </w:r>
    </w:p>
    <w:p>
      <w:pPr>
        <w:pStyle w:val="Normal"/>
        <w:tabs>
          <w:tab w:val="clear" w:pos="720"/>
          <w:tab w:val="left" w:pos="450" w:leader="none"/>
          <w:tab w:val="left" w:pos="900" w:leader="none"/>
          <w:tab w:val="left" w:pos="1440" w:leader="none"/>
          <w:tab w:val="left" w:pos="1980" w:leader="none"/>
          <w:tab w:val="left" w:pos="4590" w:leader="none"/>
        </w:tabs>
        <w:jc w:val="both"/>
        <w:rPr>
          <w:sz w:val="24"/>
        </w:rPr>
      </w:pPr>
      <w:r>
        <w:rPr>
          <w:sz w:val="24"/>
        </w:rPr>
        <w:t>Name:</w:t>
      </w:r>
    </w:p>
    <w:p>
      <w:pPr>
        <w:pStyle w:val="Normal"/>
        <w:tabs>
          <w:tab w:val="clear" w:pos="720"/>
          <w:tab w:val="left" w:pos="450" w:leader="none"/>
          <w:tab w:val="left" w:pos="900" w:leader="none"/>
          <w:tab w:val="left" w:pos="1440" w:leader="none"/>
          <w:tab w:val="left" w:pos="1980" w:leader="none"/>
          <w:tab w:val="left" w:pos="4590" w:leader="none"/>
        </w:tabs>
        <w:jc w:val="both"/>
        <w:rPr>
          <w:sz w:val="24"/>
        </w:rPr>
      </w:pPr>
      <w:r>
        <w:rPr>
          <w:sz w:val="24"/>
        </w:rPr>
        <w:t>Title:</w:t>
      </w:r>
    </w:p>
    <w:p>
      <w:pPr>
        <w:pStyle w:val="Normal"/>
        <w:tabs>
          <w:tab w:val="clear" w:pos="720"/>
          <w:tab w:val="left" w:pos="450" w:leader="none"/>
          <w:tab w:val="left" w:pos="4590" w:leader="none"/>
        </w:tabs>
        <w:jc w:val="both"/>
        <w:rPr>
          <w:sz w:val="24"/>
        </w:rPr>
      </w:pPr>
      <w:r>
        <w:rPr>
          <w:sz w:val="24"/>
        </w:rPr>
        <w:tab/>
        <w:tab/>
      </w:r>
    </w:p>
    <w:p>
      <w:pPr>
        <w:pStyle w:val="Normal"/>
        <w:tabs>
          <w:tab w:val="clear" w:pos="720"/>
          <w:tab w:val="left" w:pos="4590" w:leader="none"/>
        </w:tabs>
        <w:jc w:val="both"/>
        <w:rPr>
          <w:sz w:val="24"/>
        </w:rPr>
      </w:pPr>
      <w:r>
        <w:rPr>
          <w:sz w:val="24"/>
        </w:rPr>
      </w:r>
    </w:p>
    <w:p>
      <w:pPr>
        <w:pStyle w:val="Normal"/>
        <w:tabs>
          <w:tab w:val="clear" w:pos="720"/>
          <w:tab w:val="left" w:pos="4590" w:leader="none"/>
        </w:tabs>
        <w:jc w:val="both"/>
        <w:rPr>
          <w:sz w:val="24"/>
        </w:rPr>
      </w:pPr>
      <w:r>
        <w:rPr>
          <w:sz w:val="24"/>
        </w:rPr>
        <w:tab/>
      </w:r>
    </w:p>
    <w:p>
      <w:pPr>
        <w:pStyle w:val="Normal"/>
        <w:tabs>
          <w:tab w:val="clear" w:pos="720"/>
          <w:tab w:val="left" w:pos="4590" w:leader="none"/>
        </w:tabs>
        <w:jc w:val="both"/>
        <w:rPr>
          <w:sz w:val="24"/>
        </w:rPr>
      </w:pPr>
      <w:r>
        <w:rPr>
          <w:sz w:val="24"/>
        </w:rPr>
        <w:tab/>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2"/>
        </w:rPr>
      </w:pPr>
      <w:r>
        <w:rPr>
          <w:sz w:val="22"/>
        </w:rPr>
      </w:r>
    </w:p>
    <w:p>
      <w:pPr>
        <w:pStyle w:val="Normal"/>
        <w:jc w:val="both"/>
        <w:rPr>
          <w:sz w:val="24"/>
        </w:rPr>
      </w:pPr>
      <w:r>
        <w:rPr>
          <w:sz w:val="24"/>
        </w:rPr>
        <w:tab/>
        <w:tab/>
        <w:tab/>
      </w:r>
    </w:p>
    <w:p>
      <w:pPr>
        <w:pStyle w:val="Normal"/>
        <w:jc w:val="both"/>
        <w:rPr>
          <w:b/>
          <w:sz w:val="24"/>
        </w:rPr>
      </w:pPr>
      <w:r>
        <w:rPr>
          <w:b/>
          <w:sz w:val="24"/>
        </w:rPr>
      </w:r>
    </w:p>
    <w:p>
      <w:pPr>
        <w:pStyle w:val="Normal"/>
        <w:jc w:val="both"/>
        <w:rPr>
          <w:b/>
          <w:sz w:val="24"/>
        </w:rPr>
      </w:pPr>
      <w:r>
        <w:rPr>
          <w:b/>
          <w:sz w:val="24"/>
        </w:rPr>
      </w:r>
    </w:p>
    <w:p>
      <w:pPr>
        <w:pStyle w:val="Normal"/>
        <w:jc w:val="both"/>
        <w:rPr>
          <w:b/>
          <w:sz w:val="24"/>
        </w:rPr>
      </w:pPr>
      <w:r>
        <w:rPr>
          <w:b/>
          <w:sz w:val="24"/>
        </w:rPr>
      </w:r>
    </w:p>
    <w:p>
      <w:pPr>
        <w:pStyle w:val="Normal"/>
        <w:jc w:val="both"/>
        <w:rPr>
          <w:b/>
          <w:sz w:val="24"/>
        </w:rPr>
      </w:pPr>
      <w:r>
        <w:rPr>
          <w:b/>
          <w:sz w:val="24"/>
        </w:rPr>
      </w:r>
    </w:p>
    <w:p>
      <w:pPr>
        <w:pStyle w:val="Normal"/>
        <w:jc w:val="both"/>
        <w:rPr>
          <w:b/>
          <w:sz w:val="24"/>
        </w:rPr>
      </w:pPr>
      <w:r>
        <w:rPr>
          <w:b/>
          <w:sz w:val="24"/>
        </w:rPr>
      </w:r>
    </w:p>
    <w:p>
      <w:pPr>
        <w:pStyle w:val="Normal"/>
        <w:jc w:val="both"/>
        <w:rPr>
          <w:b/>
          <w:sz w:val="24"/>
        </w:rPr>
      </w:pPr>
      <w:r>
        <w:rPr>
          <w:b/>
          <w:sz w:val="24"/>
        </w:rPr>
      </w:r>
      <w:r>
        <w:br w:type="page"/>
      </w:r>
    </w:p>
    <w:p>
      <w:pPr>
        <w:pStyle w:val="Normal"/>
        <w:tabs>
          <w:tab w:val="clear" w:pos="720"/>
          <w:tab w:val="left" w:pos="6210" w:leader="none"/>
        </w:tabs>
        <w:jc w:val="center"/>
        <w:rPr>
          <w:b/>
          <w:sz w:val="24"/>
          <w:u w:val="single"/>
        </w:rPr>
      </w:pPr>
      <w:r>
        <w:rPr>
          <w:b/>
          <w:sz w:val="24"/>
          <w:u w:val="single"/>
        </w:rPr>
        <w:t>ANNEX A</w:t>
      </w:r>
    </w:p>
    <w:p>
      <w:pPr>
        <w:pStyle w:val="Normal"/>
        <w:tabs>
          <w:tab w:val="clear" w:pos="720"/>
          <w:tab w:val="left" w:pos="6210" w:leader="none"/>
        </w:tabs>
        <w:jc w:val="both"/>
        <w:rPr>
          <w:b/>
          <w:sz w:val="24"/>
          <w:u w:val="single"/>
        </w:rPr>
      </w:pPr>
      <w:r>
        <w:rPr>
          <w:b/>
          <w:sz w:val="24"/>
          <w:u w:val="single"/>
        </w:rPr>
      </w:r>
    </w:p>
    <w:p>
      <w:pPr>
        <w:pStyle w:val="Heading2"/>
        <w:tabs>
          <w:tab w:val="clear" w:pos="720"/>
          <w:tab w:val="left" w:pos="5580" w:leader="none"/>
        </w:tabs>
        <w:ind w:hanging="0" w:start="0"/>
        <w:rPr/>
      </w:pPr>
      <w:r>
        <w:rPr>
          <w:b/>
        </w:rPr>
        <w:t>Trade Date:</w:t>
      </w:r>
      <w:r>
        <w:rPr/>
        <w:tab/>
        <w:t xml:space="preserve"> [October 25, 2000]</w:t>
      </w:r>
    </w:p>
    <w:p>
      <w:pPr>
        <w:pStyle w:val="Normal"/>
        <w:tabs>
          <w:tab w:val="clear" w:pos="720"/>
          <w:tab w:val="left" w:pos="5580" w:leader="none"/>
        </w:tabs>
        <w:jc w:val="both"/>
        <w:rPr>
          <w:sz w:val="24"/>
          <w:lang w:val="en-CA" w:eastAsia="en-CA"/>
        </w:rPr>
      </w:pPr>
      <w:r>
        <w:rPr>
          <w:sz w:val="24"/>
          <w:lang w:val="en-CA" w:eastAsia="en-CA"/>
        </w:rPr>
        <mc:AlternateContent>
          <mc:Choice Requires="wps">
            <w:drawing>
              <wp:anchor behindDoc="0" distT="0" distB="0" distL="114935" distR="114935" simplePos="0" locked="0" layoutInCell="1" allowOverlap="1" relativeHeight="5">
                <wp:simplePos x="0" y="0"/>
                <wp:positionH relativeFrom="column">
                  <wp:posOffset>3566160</wp:posOffset>
                </wp:positionH>
                <wp:positionV relativeFrom="paragraph">
                  <wp:posOffset>22860</wp:posOffset>
                </wp:positionV>
                <wp:extent cx="1005840" cy="0"/>
                <wp:effectExtent l="0" t="5080" r="0" b="5080"/>
                <wp:wrapNone/>
                <wp:docPr id="4" name=""/>
                <a:graphic xmlns:a="http://schemas.openxmlformats.org/drawingml/2006/main">
                  <a:graphicData uri="http://schemas.microsoft.com/office/word/2010/wordprocessingShape">
                    <wps:wsp>
                      <wps:cNvSpPr/>
                      <wps:spPr>
                        <a:xfrm>
                          <a:off x="0" y="0"/>
                          <a:ext cx="100584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280.8pt,1.8pt" to="359.95pt,1.8pt" stroked="t" o:allowincell="f" style="position:absolute">
                <v:stroke color="black" weight="9360" joinstyle="miter" endcap="flat"/>
                <v:fill o:detectmouseclick="t" on="false"/>
                <w10:wrap type="none"/>
              </v:line>
            </w:pict>
          </mc:Fallback>
        </mc:AlternateContent>
      </w:r>
    </w:p>
    <w:p>
      <w:pPr>
        <w:pStyle w:val="Normal"/>
        <w:tabs>
          <w:tab w:val="clear" w:pos="720"/>
          <w:tab w:val="left" w:pos="5580" w:leader="none"/>
        </w:tabs>
        <w:jc w:val="both"/>
        <w:rPr/>
      </w:pPr>
      <w:r>
        <mc:AlternateContent>
          <mc:Choice Requires="wps">
            <w:drawing>
              <wp:anchor behindDoc="0" distT="0" distB="0" distL="114935" distR="114935" simplePos="0" locked="0" layoutInCell="1" allowOverlap="1" relativeHeight="6">
                <wp:simplePos x="0" y="0"/>
                <wp:positionH relativeFrom="column">
                  <wp:posOffset>3562350</wp:posOffset>
                </wp:positionH>
                <wp:positionV relativeFrom="paragraph">
                  <wp:posOffset>156210</wp:posOffset>
                </wp:positionV>
                <wp:extent cx="1005840" cy="0"/>
                <wp:effectExtent l="0" t="5080" r="0" b="5080"/>
                <wp:wrapNone/>
                <wp:docPr id="5" name=""/>
                <a:graphic xmlns:a="http://schemas.openxmlformats.org/drawingml/2006/main">
                  <a:graphicData uri="http://schemas.microsoft.com/office/word/2010/wordprocessingShape">
                    <wps:wsp>
                      <wps:cNvSpPr/>
                      <wps:spPr>
                        <a:xfrm>
                          <a:off x="0" y="0"/>
                          <a:ext cx="100584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280.5pt,12.3pt" to="359.65pt,12.3pt" stroked="t" o:allowincell="f" style="position:absolute">
                <v:stroke color="black" weight="9360" joinstyle="miter" endcap="flat"/>
                <v:fill o:detectmouseclick="t" on="false"/>
                <w10:wrap type="none"/>
              </v:line>
            </w:pict>
          </mc:Fallback>
        </mc:AlternateContent>
      </w:r>
      <w:r>
        <w:rPr>
          <w:b/>
          <w:sz w:val="24"/>
        </w:rPr>
        <w:t>Effective Date:</w:t>
      </w:r>
      <w:r>
        <w:rPr>
          <w:sz w:val="24"/>
        </w:rPr>
        <w:tab/>
        <w:t>[October 25, 2000]</w:t>
      </w:r>
    </w:p>
    <w:p>
      <w:pPr>
        <w:pStyle w:val="Normal"/>
        <w:tabs>
          <w:tab w:val="clear" w:pos="720"/>
          <w:tab w:val="left" w:pos="5580" w:leader="none"/>
        </w:tabs>
        <w:jc w:val="both"/>
        <w:rPr>
          <w:sz w:val="24"/>
        </w:rPr>
      </w:pPr>
      <w:r>
        <w:rPr>
          <w:sz w:val="24"/>
        </w:rPr>
      </w:r>
    </w:p>
    <w:p>
      <w:pPr>
        <w:pStyle w:val="BodyTextIndent"/>
        <w:rPr/>
      </w:pPr>
      <w:r>
        <mc:AlternateContent>
          <mc:Choice Requires="wps">
            <w:drawing>
              <wp:anchor behindDoc="0" distT="0" distB="0" distL="114935" distR="114935" simplePos="0" locked="0" layoutInCell="1" allowOverlap="1" relativeHeight="7">
                <wp:simplePos x="0" y="0"/>
                <wp:positionH relativeFrom="column">
                  <wp:posOffset>3566160</wp:posOffset>
                </wp:positionH>
                <wp:positionV relativeFrom="paragraph">
                  <wp:posOffset>137160</wp:posOffset>
                </wp:positionV>
                <wp:extent cx="1005840" cy="0"/>
                <wp:effectExtent l="0" t="5080" r="0" b="5080"/>
                <wp:wrapNone/>
                <wp:docPr id="6" name=""/>
                <a:graphic xmlns:a="http://schemas.openxmlformats.org/drawingml/2006/main">
                  <a:graphicData uri="http://schemas.microsoft.com/office/word/2010/wordprocessingShape">
                    <wps:wsp>
                      <wps:cNvSpPr/>
                      <wps:spPr>
                        <a:xfrm>
                          <a:off x="0" y="0"/>
                          <a:ext cx="100584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280.8pt,10.8pt" to="359.95pt,10.8pt" stroked="t" o:allowincell="f" style="position:absolute">
                <v:stroke color="black" weight="9360" joinstyle="miter" endcap="flat"/>
                <v:fill o:detectmouseclick="t" on="false"/>
                <w10:wrap type="none"/>
              </v:line>
            </w:pict>
          </mc:Fallback>
        </mc:AlternateContent>
      </w:r>
      <w:r>
        <w:rPr>
          <w:b/>
        </w:rPr>
        <w:t>Termination Date:</w:t>
      </w:r>
      <w:r>
        <w:rPr/>
        <w:tab/>
        <w:t>[April 18, 2005]  (with such early termination provisions as may be agreed)</w:t>
      </w:r>
    </w:p>
    <w:p>
      <w:pPr>
        <w:pStyle w:val="Normal"/>
        <w:tabs>
          <w:tab w:val="clear" w:pos="720"/>
          <w:tab w:val="left" w:pos="5580" w:leader="none"/>
        </w:tabs>
        <w:ind w:hanging="5580" w:start="5580" w:end="0"/>
        <w:rPr>
          <w:sz w:val="24"/>
        </w:rPr>
      </w:pPr>
      <w:r>
        <w:rPr>
          <w:sz w:val="24"/>
        </w:rPr>
      </w:r>
    </w:p>
    <w:p>
      <w:pPr>
        <w:pStyle w:val="Normal"/>
        <w:tabs>
          <w:tab w:val="clear" w:pos="720"/>
          <w:tab w:val="left" w:pos="5580" w:leader="none"/>
        </w:tabs>
        <w:ind w:hanging="5580" w:start="5580" w:end="0"/>
        <w:rPr/>
      </w:pPr>
      <w:r>
        <w:rPr>
          <w:b/>
          <w:sz w:val="24"/>
        </w:rPr>
        <w:t>Type of Swap:</w:t>
      </w:r>
      <w:r>
        <w:rPr>
          <w:sz w:val="24"/>
        </w:rPr>
        <w:tab/>
        <w:t>Price Return Swap</w:t>
      </w:r>
    </w:p>
    <w:p>
      <w:pPr>
        <w:pStyle w:val="Normal"/>
        <w:tabs>
          <w:tab w:val="clear" w:pos="720"/>
          <w:tab w:val="left" w:pos="5580" w:leader="none"/>
        </w:tabs>
        <w:ind w:hanging="5580" w:start="5580" w:end="0"/>
        <w:rPr>
          <w:sz w:val="24"/>
        </w:rPr>
      </w:pPr>
      <w:r>
        <w:rPr>
          <w:sz w:val="24"/>
        </w:rPr>
      </w:r>
    </w:p>
    <w:p>
      <w:pPr>
        <w:pStyle w:val="Normal"/>
        <w:tabs>
          <w:tab w:val="clear" w:pos="720"/>
          <w:tab w:val="left" w:pos="180" w:leader="none"/>
          <w:tab w:val="left" w:pos="5580" w:leader="none"/>
        </w:tabs>
        <w:rPr/>
      </w:pPr>
      <w:r>
        <w:rPr>
          <w:b/>
          <w:bCs/>
          <w:sz w:val="24"/>
        </w:rPr>
        <w:t>Underlying:</w:t>
      </w:r>
      <w:r>
        <w:rPr>
          <w:sz w:val="24"/>
        </w:rPr>
        <w:tab/>
        <w:t>7,615,930 Shares of Enron Corp. Stock</w:t>
      </w:r>
    </w:p>
    <w:p>
      <w:pPr>
        <w:pStyle w:val="Normal"/>
        <w:tabs>
          <w:tab w:val="clear" w:pos="720"/>
          <w:tab w:val="left" w:pos="180" w:leader="none"/>
          <w:tab w:val="left" w:pos="5580" w:leader="none"/>
        </w:tabs>
        <w:rPr>
          <w:sz w:val="24"/>
        </w:rPr>
      </w:pPr>
      <w:r>
        <w:rPr>
          <w:sz w:val="24"/>
        </w:rPr>
      </w:r>
    </w:p>
    <w:p>
      <w:pPr>
        <w:pStyle w:val="Heading1"/>
        <w:tabs>
          <w:tab w:val="clear" w:pos="720"/>
          <w:tab w:val="left" w:pos="180" w:leader="none"/>
          <w:tab w:val="left" w:pos="5580" w:leader="none"/>
        </w:tabs>
        <w:ind w:hanging="0" w:start="0"/>
        <w:rPr/>
      </w:pPr>
      <w:r>
        <mc:AlternateContent>
          <mc:Choice Requires="wps">
            <w:drawing>
              <wp:anchor behindDoc="0" distT="0" distB="0" distL="114935" distR="114935" simplePos="0" locked="0" layoutInCell="1" allowOverlap="1" relativeHeight="8">
                <wp:simplePos x="0" y="0"/>
                <wp:positionH relativeFrom="column">
                  <wp:posOffset>3558540</wp:posOffset>
                </wp:positionH>
                <wp:positionV relativeFrom="paragraph">
                  <wp:posOffset>150495</wp:posOffset>
                </wp:positionV>
                <wp:extent cx="2011680" cy="0"/>
                <wp:effectExtent l="0" t="5080" r="0" b="5080"/>
                <wp:wrapNone/>
                <wp:docPr id="7" name=""/>
                <a:graphic xmlns:a="http://schemas.openxmlformats.org/drawingml/2006/main">
                  <a:graphicData uri="http://schemas.microsoft.com/office/word/2010/wordprocessingShape">
                    <wps:wsp>
                      <wps:cNvSpPr/>
                      <wps:spPr>
                        <a:xfrm>
                          <a:off x="0" y="0"/>
                          <a:ext cx="201168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280.2pt,11.85pt" to="438.55pt,11.85pt" stroked="t" o:allowincell="f" style="position:absolute">
                <v:stroke color="black" weight="9360" joinstyle="miter" endcap="flat"/>
                <v:fill o:detectmouseclick="t" on="false"/>
                <w10:wrap type="none"/>
              </v:line>
            </w:pict>
          </mc:Fallback>
        </mc:AlternateContent>
      </w:r>
      <w:r>
        <w:rPr>
          <w:b/>
          <w:bCs/>
        </w:rPr>
        <w:t>Initial Price of Underlying:</w:t>
      </w:r>
      <w:r>
        <w:rPr/>
        <w:tab/>
        <w:t>$ [76.10]</w:t>
      </w:r>
    </w:p>
    <w:p>
      <w:pPr>
        <w:pStyle w:val="Normal"/>
        <w:tabs>
          <w:tab w:val="clear" w:pos="720"/>
          <w:tab w:val="left" w:pos="180" w:leader="none"/>
          <w:tab w:val="left" w:pos="5580" w:leader="none"/>
        </w:tabs>
        <w:ind w:hanging="5580" w:start="5580" w:end="0"/>
        <w:rPr>
          <w:sz w:val="24"/>
        </w:rPr>
      </w:pPr>
      <w:r>
        <w:rPr>
          <w:sz w:val="24"/>
        </w:rPr>
      </w:r>
    </w:p>
    <w:p>
      <w:pPr>
        <w:pStyle w:val="Normal"/>
        <w:tabs>
          <w:tab w:val="clear" w:pos="720"/>
          <w:tab w:val="left" w:pos="180" w:leader="none"/>
          <w:tab w:val="left" w:pos="5580" w:leader="none"/>
        </w:tabs>
        <w:ind w:hanging="5580" w:start="5580" w:end="0"/>
        <w:rPr/>
      </w:pPr>
      <w:r>
        <w:rPr>
          <w:b/>
          <w:sz w:val="24"/>
        </w:rPr>
        <w:t>Final Price of Underlying:</w:t>
      </w:r>
      <w:r>
        <w:rPr>
          <w:sz w:val="24"/>
        </w:rPr>
        <w:tab/>
        <w:t>Market value of ENE shares upon settlement as quoted on the NYSE.</w:t>
      </w:r>
    </w:p>
    <w:p>
      <w:pPr>
        <w:pStyle w:val="Normal"/>
        <w:tabs>
          <w:tab w:val="clear" w:pos="720"/>
          <w:tab w:val="left" w:pos="180" w:leader="none"/>
          <w:tab w:val="left" w:pos="5580" w:leader="none"/>
        </w:tabs>
        <w:ind w:hanging="5580" w:start="5580" w:end="0"/>
        <w:rPr>
          <w:sz w:val="24"/>
        </w:rPr>
      </w:pPr>
      <w:r>
        <w:rPr>
          <w:sz w:val="24"/>
        </w:rPr>
      </w:r>
    </w:p>
    <w:p>
      <w:pPr>
        <w:pStyle w:val="Normal"/>
        <w:tabs>
          <w:tab w:val="clear" w:pos="720"/>
          <w:tab w:val="left" w:pos="180" w:leader="none"/>
          <w:tab w:val="left" w:pos="5580" w:leader="none"/>
        </w:tabs>
        <w:ind w:hanging="5580" w:start="5580" w:end="0"/>
        <w:rPr/>
      </w:pPr>
      <w:r>
        <w:rPr>
          <w:b/>
          <w:sz w:val="24"/>
        </w:rPr>
        <w:t>Calculation Agent:</w:t>
      </w:r>
      <w:r>
        <w:rPr>
          <w:sz w:val="24"/>
        </w:rPr>
        <w:tab/>
        <w:t>Enron Corp.</w:t>
      </w:r>
    </w:p>
    <w:p>
      <w:pPr>
        <w:pStyle w:val="Normal"/>
        <w:tabs>
          <w:tab w:val="clear" w:pos="720"/>
          <w:tab w:val="left" w:pos="180" w:leader="none"/>
          <w:tab w:val="left" w:pos="5580" w:leader="none"/>
        </w:tabs>
        <w:ind w:hanging="5580" w:start="5580" w:end="0"/>
        <w:rPr>
          <w:sz w:val="24"/>
        </w:rPr>
      </w:pPr>
      <w:r>
        <w:rPr>
          <w:sz w:val="24"/>
        </w:rPr>
      </w:r>
    </w:p>
    <w:p>
      <w:pPr>
        <w:pStyle w:val="Normal"/>
        <w:tabs>
          <w:tab w:val="clear" w:pos="720"/>
          <w:tab w:val="left" w:pos="180" w:leader="none"/>
          <w:tab w:val="left" w:pos="5580" w:leader="none"/>
        </w:tabs>
        <w:ind w:hanging="5580" w:start="5580" w:end="0"/>
        <w:rPr/>
      </w:pPr>
      <w:r>
        <w:rPr>
          <w:b/>
          <w:sz w:val="24"/>
        </w:rPr>
        <w:t>Settlement:</w:t>
      </w:r>
      <w:r>
        <w:rPr>
          <w:sz w:val="24"/>
        </w:rPr>
        <w:tab/>
        <w:t>Talon shall pay Enron the amount by which the Final Price of Underlying exceeds the Initial Price of Underlying and Enron shall pay Talon the amount by which the Initial Price of Underlying exceeds the Final Price of Underlying.</w:t>
      </w:r>
    </w:p>
    <w:p>
      <w:pPr>
        <w:pStyle w:val="Normal"/>
        <w:tabs>
          <w:tab w:val="clear" w:pos="720"/>
          <w:tab w:val="left" w:pos="180" w:leader="none"/>
          <w:tab w:val="left" w:pos="5580" w:leader="none"/>
        </w:tabs>
        <w:ind w:hanging="5580" w:start="5580" w:end="0"/>
        <w:rPr>
          <w:b/>
          <w:sz w:val="24"/>
        </w:rPr>
      </w:pPr>
      <w:r>
        <w:rPr>
          <w:b/>
          <w:sz w:val="24"/>
        </w:rPr>
      </w:r>
    </w:p>
    <w:p>
      <w:pPr>
        <w:pStyle w:val="Normal"/>
        <w:tabs>
          <w:tab w:val="clear" w:pos="720"/>
          <w:tab w:val="left" w:pos="180" w:leader="none"/>
          <w:tab w:val="left" w:pos="5580" w:leader="none"/>
        </w:tabs>
        <w:ind w:hanging="5580" w:start="5580" w:end="0"/>
        <w:rPr>
          <w:sz w:val="24"/>
          <w:u w:val="single"/>
        </w:rPr>
      </w:pPr>
      <w:r>
        <w:rPr>
          <w:b/>
          <w:sz w:val="24"/>
        </w:rPr>
        <w:t>Other:</w:t>
        <w:tab/>
      </w:r>
      <w:r>
        <w:rPr>
          <w:bCs/>
          <w:sz w:val="24"/>
        </w:rPr>
        <w:t xml:space="preserve">It is expressly understood that the parties hereto shall negotiate an agreement in good faith that is compliant in all respects with the provisions of EITF Issue No. 00-19, </w:t>
      </w:r>
      <w:r>
        <w:rPr>
          <w:bCs/>
          <w:i/>
          <w:iCs/>
          <w:sz w:val="24"/>
        </w:rPr>
        <w:t>Determination of Whether Share Settlment Is within the Control of the Company for Purposes of Applying EITF Issue No. 96-13.</w:t>
      </w:r>
      <w:r>
        <w:rPr>
          <w:bCs/>
          <w:sz w:val="24"/>
        </w:rPr>
        <w:t xml:space="preserve">  Compliance with EITF Issue No. 00-19 shall be a condition subsequent to the effectiveness of this agreement.  </w:t>
      </w:r>
      <w:r>
        <w:rPr>
          <w:b/>
          <w:sz w:val="24"/>
        </w:rPr>
        <w:tab/>
      </w:r>
    </w:p>
    <w:p>
      <w:pPr>
        <w:pStyle w:val="Normal"/>
        <w:jc w:val="both"/>
        <w:rPr>
          <w:b/>
          <w:sz w:val="24"/>
          <w:u w:val="single"/>
        </w:rPr>
      </w:pPr>
      <w:r>
        <w:rPr>
          <w:b/>
          <w:sz w:val="24"/>
          <w:u w:val="single"/>
        </w:rPr>
      </w:r>
    </w:p>
    <w:p>
      <w:pPr>
        <w:pStyle w:val="Normal"/>
        <w:jc w:val="both"/>
        <w:rPr>
          <w:b/>
          <w:sz w:val="24"/>
        </w:rPr>
      </w:pPr>
      <w:r>
        <w:rPr>
          <w:b/>
          <w:sz w:val="24"/>
        </w:rPr>
      </w:r>
    </w:p>
    <w:p>
      <w:pPr>
        <w:pStyle w:val="Normal"/>
        <w:jc w:val="both"/>
        <w:rPr>
          <w:b/>
          <w:sz w:val="24"/>
        </w:rPr>
      </w:pPr>
      <w:r>
        <w:rPr>
          <w:b/>
          <w:sz w:val="24"/>
        </w:rPr>
      </w:r>
    </w:p>
    <w:p>
      <w:pPr>
        <w:pStyle w:val="Normal"/>
        <w:jc w:val="both"/>
        <w:rPr>
          <w:b/>
          <w:sz w:val="24"/>
        </w:rPr>
      </w:pPr>
      <w:r>
        <w:rPr>
          <w:b/>
          <w:sz w:val="24"/>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4410" w:leader="none"/>
        <w:tab w:val="right" w:pos="8640" w:leader="none"/>
      </w:tabs>
      <w:rPr>
        <w:sz w:val="22"/>
      </w:rPr>
    </w:pPr>
    <w:r>
      <w:rPr>
        <w:sz w:val="22"/>
      </w:rPr>
      <w:tab/>
      <w:t xml:space="preserve">- </w:t>
    </w:r>
    <w:r>
      <w:rPr>
        <w:sz w:val="22"/>
      </w:rPr>
      <w:fldChar w:fldCharType="begin"/>
    </w:r>
    <w:r>
      <w:rPr>
        <w:sz w:val="22"/>
      </w:rPr>
      <w:instrText xml:space="preserve"> PAGE </w:instrText>
    </w:r>
    <w:r>
      <w:rPr>
        <w:sz w:val="22"/>
      </w:rPr>
      <w:fldChar w:fldCharType="separate"/>
    </w:r>
    <w:r>
      <w:rPr>
        <w:sz w:val="22"/>
      </w:rPr>
      <w:t>3</w:t>
    </w:r>
    <w:r>
      <w:rPr>
        <w:sz w:val="22"/>
      </w:rPr>
      <w:fldChar w:fldCharType="end"/>
    </w:r>
    <w:r>
      <w:rPr>
        <w:sz w:val="22"/>
      </w:rPr>
      <w:t xml:space="preserve"> -</w:t>
    </w:r>
  </w:p>
  <w:p>
    <w:pPr>
      <w:pStyle w:val="Footer"/>
      <w:jc w:val="center"/>
      <w:rPr>
        <w:sz w:val="22"/>
      </w:rPr>
    </w:pPr>
    <w:r>
      <w:rPr>
        <w:sz w:val="22"/>
      </w:rPr>
    </w:r>
  </w:p>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/mnt/main-storage/datasets/enron-docs/doc/Raptor_I_SS_Swap.doc</w:t>
    </w:r>
    <w:r>
      <w:rPr>
        <w:sz w:val="16"/>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p>
    <w:pPr>
      <w:pStyle w:val="Footer"/>
      <w:tabs>
        <w:tab w:val="clear" w:pos="4320"/>
        <w:tab w:val="center" w:pos="4410" w:leader="none"/>
        <w:tab w:val="right" w:pos="8640" w:leader="none"/>
      </w:tabs>
      <w:jc w:val="center"/>
      <w:rPr/>
    </w:pPr>
    <w:r>
      <w:rPr>
        <w:sz w:val="22"/>
      </w:rPr>
      <w:t>-</w:t>
    </w:r>
    <w:r>
      <w:rPr>
        <w:sz w:val="22"/>
      </w:rPr>
      <w:fldChar w:fldCharType="begin"/>
    </w:r>
    <w:r>
      <w:rPr>
        <w:sz w:val="22"/>
      </w:rPr>
      <w:instrText xml:space="preserve"> PAGE </w:instrText>
    </w:r>
    <w:r>
      <w:rPr>
        <w:sz w:val="22"/>
      </w:rPr>
      <w:fldChar w:fldCharType="separate"/>
    </w:r>
    <w:r>
      <w:rPr>
        <w:sz w:val="22"/>
      </w:rPr>
      <w:t>1</w:t>
    </w:r>
    <w:r>
      <w:rPr>
        <w:sz w:val="22"/>
      </w:rPr>
      <w:fldChar w:fldCharType="end"/>
    </w:r>
    <w:r>
      <w:rPr>
        <w:sz w:val="22"/>
      </w:rPr>
      <w:t xml:space="preserve">- </w:t>
    </w:r>
  </w:p>
  <w:p>
    <w:pPr>
      <w:pStyle w:val="Footer"/>
      <w:jc w:val="center"/>
      <w:rPr>
        <w:sz w:val="22"/>
      </w:rPr>
    </w:pPr>
    <w:r>
      <w:rPr>
        <w:sz w:val="22"/>
      </w:rPr>
    </w:r>
  </w:p>
  <w:p>
    <w:pPr>
      <w:pStyle w:val="Footer"/>
      <w:jc w:val="center"/>
      <w:rPr>
        <w:sz w:val="22"/>
      </w:rPr>
    </w:pPr>
    <w:r>
      <w:rPr>
        <w:sz w:val="22"/>
      </w:rPr>
    </w:r>
  </w:p>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/mnt/main-storage/datasets/enron-docs/doc/Raptor_I_SS_Swap.doc</w:t>
    </w:r>
    <w:r>
      <w:rPr>
        <w:sz w:val="16"/>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8640"/>
        <w:tab w:val="left" w:pos="6480" w:leader="none"/>
      </w:tabs>
      <w:rPr/>
    </w:pPr>
    <w:r>
      <w:rPr/>
      <w:tab/>
    </w:r>
  </w:p>
  <w:p>
    <w:pPr>
      <w:pStyle w:val="Header"/>
      <w:tabs>
        <w:tab w:val="clear" w:pos="4320"/>
        <w:tab w:val="clear" w:pos="8640"/>
        <w:tab w:val="left" w:pos="6480" w:leader="none"/>
      </w:tabs>
      <w:rPr/>
    </w:pPr>
    <w:r>
      <w:rPr/>
      <w:tab/>
      <w:tab/>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8640"/>
        <w:tab w:val="left" w:pos="7110" w:leader="none"/>
      </w:tabs>
      <w:rPr/>
    </w:pPr>
    <w:r>
      <w:rPr/>
      <w:tab/>
    </w:r>
  </w:p>
  <w:p>
    <w:pPr>
      <w:pStyle w:val="Header"/>
      <w:tabs>
        <w:tab w:val="clear" w:pos="4320"/>
        <w:tab w:val="clear" w:pos="8640"/>
        <w:tab w:val="left" w:pos="7110" w:leader="none"/>
      </w:tabs>
      <w:rPr/>
    </w:pPr>
    <w:r>
      <w:rPr/>
    </w:r>
  </w:p>
  <w:p>
    <w:pPr>
      <w:pStyle w:val="Header"/>
      <w:tabs>
        <w:tab w:val="clear" w:pos="4320"/>
        <w:tab w:val="clear" w:pos="8640"/>
        <w:tab w:val="left" w:pos="7110" w:leader="none"/>
      </w:tabs>
      <w:jc w:val="center"/>
      <w:rPr>
        <w:sz w:val="22"/>
      </w:rPr>
    </w:pPr>
    <w:r>
      <w:rPr>
        <w:sz w:val="22"/>
      </w:rPr>
      <w:t>Enron Corp.</w:t>
    </w:r>
  </w:p>
  <w:p>
    <w:pPr>
      <w:pStyle w:val="Header"/>
      <w:tabs>
        <w:tab w:val="clear" w:pos="4320"/>
        <w:tab w:val="clear" w:pos="8640"/>
        <w:tab w:val="left" w:pos="7110" w:leader="none"/>
      </w:tabs>
      <w:jc w:val="center"/>
      <w:rPr>
        <w:sz w:val="22"/>
      </w:rPr>
    </w:pPr>
    <w:r>
      <w:rPr>
        <w:sz w:val="22"/>
      </w:rPr>
      <w:t>1400 Smith Street</w:t>
    </w:r>
  </w:p>
  <w:p>
    <w:pPr>
      <w:pStyle w:val="Header"/>
      <w:tabs>
        <w:tab w:val="clear" w:pos="4320"/>
        <w:tab w:val="clear" w:pos="8640"/>
        <w:tab w:val="left" w:pos="7110" w:leader="none"/>
      </w:tabs>
      <w:jc w:val="center"/>
      <w:rPr>
        <w:sz w:val="22"/>
      </w:rPr>
    </w:pPr>
    <w:r>
      <w:rPr>
        <w:sz w:val="22"/>
      </w:rPr>
      <w:t>Houston, TX  77002</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sz w:val="24"/>
    </w:rPr>
  </w:style>
  <w:style w:type="paragraph" w:styleId="Heading2">
    <w:name w:val="heading 2"/>
    <w:basedOn w:val="Normal"/>
    <w:next w:val="Normal"/>
    <w:qFormat/>
    <w:pPr>
      <w:keepNext w:val="true"/>
      <w:numPr>
        <w:ilvl w:val="1"/>
        <w:numId w:val="1"/>
      </w:numPr>
      <w:jc w:val="both"/>
      <w:outlineLvl w:val="1"/>
    </w:pPr>
    <w:rPr>
      <w:sz w:val="24"/>
    </w:rPr>
  </w:style>
  <w:style w:type="paragraph" w:styleId="Heading3">
    <w:name w:val="heading 3"/>
    <w:basedOn w:val="Normal"/>
    <w:next w:val="Normal"/>
    <w:qFormat/>
    <w:pPr>
      <w:keepNext w:val="true"/>
      <w:numPr>
        <w:ilvl w:val="2"/>
        <w:numId w:val="1"/>
      </w:numPr>
      <w:tabs>
        <w:tab w:val="clear" w:pos="720"/>
        <w:tab w:val="left" w:pos="180" w:leader="none"/>
        <w:tab w:val="left" w:pos="5580" w:leader="none"/>
      </w:tabs>
      <w:ind w:hanging="5580" w:start="5580" w:end="0"/>
      <w:outlineLvl w:val="2"/>
    </w:pPr>
    <w:rPr>
      <w:sz w:val="24"/>
    </w:rPr>
  </w:style>
  <w:style w:type="paragraph" w:styleId="Heading4">
    <w:name w:val="heading 4"/>
    <w:basedOn w:val="Normal"/>
    <w:next w:val="Normal"/>
    <w:qFormat/>
    <w:pPr>
      <w:keepNext w:val="true"/>
      <w:numPr>
        <w:ilvl w:val="3"/>
        <w:numId w:val="1"/>
      </w:numPr>
      <w:tabs>
        <w:tab w:val="clear" w:pos="720"/>
        <w:tab w:val="left" w:pos="0" w:leader="none"/>
        <w:tab w:val="left" w:pos="4590" w:leader="none"/>
      </w:tabs>
      <w:jc w:val="both"/>
      <w:outlineLvl w:val="3"/>
    </w:pPr>
    <w:rPr>
      <w:b/>
      <w:sz w:val="24"/>
    </w:rPr>
  </w:style>
  <w:style w:type="paragraph" w:styleId="Heading5">
    <w:name w:val="heading 5"/>
    <w:basedOn w:val="Normal"/>
    <w:next w:val="Normal"/>
    <w:qFormat/>
    <w:pPr>
      <w:keepNext w:val="true"/>
      <w:numPr>
        <w:ilvl w:val="4"/>
        <w:numId w:val="1"/>
      </w:numPr>
      <w:tabs>
        <w:tab w:val="clear" w:pos="720"/>
        <w:tab w:val="left" w:pos="5580" w:leader="none"/>
      </w:tabs>
      <w:ind w:hanging="5580" w:start="5580" w:end="0"/>
      <w:outlineLvl w:val="4"/>
    </w:pPr>
    <w:rPr>
      <w:b/>
      <w:sz w:val="24"/>
    </w:rPr>
  </w:style>
  <w:style w:type="character" w:styleId="DefaultParagraphFont">
    <w:name w:val="Default Paragraph Font"/>
    <w:qFormat/>
    <w:rPr/>
  </w:style>
  <w:style w:type="paragraph" w:styleId="Heading">
    <w:name w:val="Heading"/>
    <w:basedOn w:val="Normal"/>
    <w:next w:val="BodyText"/>
    <w:qFormat/>
    <w:pPr>
      <w:jc w:val="center"/>
    </w:pPr>
    <w:rPr>
      <w:b/>
      <w:sz w:val="22"/>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tabs>
        <w:tab w:val="clear" w:pos="720"/>
        <w:tab w:val="left" w:pos="5580" w:leader="none"/>
      </w:tabs>
      <w:ind w:hanging="5580" w:start="5580" w:end="0"/>
    </w:pPr>
    <w:rPr>
      <w:sz w:val="24"/>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2000-10-26T09:44:00Z</dcterms:created>
  <dc:creator>jdorsey</dc:creator>
  <dc:description/>
  <dc:language>en-CA</dc:language>
  <cp:lastModifiedBy>rsiurek</cp:lastModifiedBy>
  <cp:lastPrinted>2000-10-05T14:27:00Z</cp:lastPrinted>
  <dcterms:modified xsi:type="dcterms:W3CDTF">2000-10-26T09:55:00Z</dcterms:modified>
  <cp:revision>4</cp:revision>
  <dc:subject/>
  <dc:title>Scott M</dc:title>
</cp:coreProperties>
</file>