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8748"/>
      </w:tblGrid>
      <w:tr>
        <w:trPr/>
        <w:tc>
          <w:tcPr>
            <w:tcW w:w="8748" w:type="dxa"/>
            <w:tcBorders/>
          </w:tcPr>
          <w:p>
            <w:pPr>
              <w:pStyle w:val="Normal"/>
              <w:tabs>
                <w:tab w:val="clear" w:pos="720"/>
                <w:tab w:val="left" w:pos="2412" w:leader="none"/>
              </w:tabs>
              <w:ind w:start="1962" w:end="0"/>
              <w:jc w:val="end"/>
              <w:rPr/>
            </w:pPr>
            <w:r>
              <w:drawing>
                <wp:anchor behindDoc="0" distT="0" distB="0" distL="114935" distR="114935" simplePos="0" locked="0" layoutInCell="0" allowOverlap="1" relativeHeight="2">
                  <wp:simplePos x="0" y="0"/>
                  <wp:positionH relativeFrom="margin">
                    <wp:posOffset>-502920</wp:posOffset>
                  </wp:positionH>
                  <wp:positionV relativeFrom="paragraph">
                    <wp:posOffset>-34290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tab/>
            </w: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BodyText"/>
        <w:rPr/>
      </w:pPr>
      <w:r>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w:t>
      </w:r>
    </w:p>
    <w:p>
      <w:pPr>
        <w:pStyle w:val="Normal"/>
        <w:tabs>
          <w:tab w:val="clear" w:pos="720"/>
          <w:tab w:val="left" w:pos="6480" w:leader="none"/>
        </w:tabs>
        <w:rPr>
          <w:b/>
          <w:sz w:val="22"/>
        </w:rPr>
      </w:pPr>
      <w:r>
        <w:rPr>
          <w:b/>
          <w:sz w:val="22"/>
        </w:rPr>
      </w:r>
    </w:p>
    <w:p>
      <w:pPr>
        <w:pStyle w:val="Normal"/>
        <w:tabs>
          <w:tab w:val="left" w:pos="720" w:leader="none"/>
          <w:tab w:val="left" w:pos="3240" w:leader="none"/>
        </w:tabs>
        <w:ind w:start="720" w:end="0"/>
        <w:rPr>
          <w:sz w:val="22"/>
        </w:rPr>
      </w:pPr>
      <w:r>
        <w:rPr>
          <w:sz w:val="22"/>
        </w:rPr>
        <w:t>Date:</w:t>
        <w:tab/>
        <w:t>[May 24, 2000]</w:t>
      </w:r>
    </w:p>
    <w:p>
      <w:pPr>
        <w:pStyle w:val="Normal"/>
        <w:tabs>
          <w:tab w:val="clear" w:pos="720"/>
          <w:tab w:val="left" w:pos="3240" w:leader="none"/>
          <w:tab w:val="left" w:pos="6480" w:leader="none"/>
        </w:tabs>
        <w:ind w:start="720" w:end="0"/>
        <w:rPr>
          <w:sz w:val="22"/>
        </w:rPr>
      </w:pPr>
      <w:r>
        <w:rPr>
          <w:sz w:val="22"/>
        </w:rPr>
        <w:t>To:</w:t>
        <w:tab/>
        <w:t>Rand-Whitney Containerboard L.P. ("Counterparty")</w:t>
      </w:r>
    </w:p>
    <w:p>
      <w:pPr>
        <w:pStyle w:val="Normal"/>
        <w:tabs>
          <w:tab w:val="clear" w:pos="720"/>
          <w:tab w:val="left" w:pos="3240" w:leader="none"/>
          <w:tab w:val="left" w:pos="6480" w:leader="none"/>
        </w:tabs>
        <w:ind w:start="720" w:end="0"/>
        <w:rPr>
          <w:sz w:val="22"/>
        </w:rPr>
      </w:pPr>
      <w:r>
        <w:rPr>
          <w:sz w:val="22"/>
        </w:rPr>
        <w:t>Attention:</w:t>
        <w:tab/>
        <w:t>Michael A. Quattromani</w:t>
      </w:r>
    </w:p>
    <w:p>
      <w:pPr>
        <w:pStyle w:val="Normal"/>
        <w:tabs>
          <w:tab w:val="clear" w:pos="720"/>
          <w:tab w:val="left" w:pos="3240" w:leader="none"/>
          <w:tab w:val="left" w:pos="6480" w:leader="none"/>
        </w:tabs>
        <w:ind w:start="720" w:end="0"/>
        <w:rPr>
          <w:sz w:val="22"/>
        </w:rPr>
      </w:pPr>
      <w:r>
        <w:rPr>
          <w:sz w:val="22"/>
        </w:rPr>
        <w:t>Phone No.:</w:t>
        <w:tab/>
        <w:t>(617) 723-7637</w:t>
      </w:r>
    </w:p>
    <w:p>
      <w:pPr>
        <w:pStyle w:val="Normal"/>
        <w:tabs>
          <w:tab w:val="clear" w:pos="720"/>
          <w:tab w:val="left" w:pos="3240" w:leader="none"/>
          <w:tab w:val="left" w:pos="6480" w:leader="none"/>
        </w:tabs>
        <w:ind w:start="720" w:end="0"/>
        <w:rPr>
          <w:sz w:val="22"/>
        </w:rPr>
      </w:pPr>
      <w:r>
        <w:rPr>
          <w:sz w:val="22"/>
        </w:rPr>
        <w:t>Fax No.:</w:t>
        <w:tab/>
        <w:t>(617) 723-3458</w:t>
      </w:r>
    </w:p>
    <w:p>
      <w:pPr>
        <w:pStyle w:val="Normal"/>
        <w:tabs>
          <w:tab w:val="clear" w:pos="720"/>
          <w:tab w:val="left" w:pos="3240" w:leader="none"/>
          <w:tab w:val="left" w:pos="6480" w:leader="none"/>
        </w:tabs>
        <w:ind w:start="720" w:end="0"/>
        <w:rPr>
          <w:sz w:val="22"/>
        </w:rPr>
      </w:pPr>
      <w:r>
        <w:rPr>
          <w:sz w:val="22"/>
        </w:rPr>
        <w:t>From:</w:t>
        <w:tab/>
        <w:t xml:space="preserve">Enron North America Corp.   (“ENA”) </w:t>
      </w:r>
    </w:p>
    <w:p>
      <w:pPr>
        <w:pStyle w:val="Normal"/>
        <w:tabs>
          <w:tab w:val="clear" w:pos="720"/>
          <w:tab w:val="left" w:pos="3240" w:leader="none"/>
          <w:tab w:val="left" w:pos="6480" w:leader="none"/>
        </w:tabs>
        <w:ind w:start="720" w:end="0"/>
        <w:rPr>
          <w:sz w:val="22"/>
        </w:rPr>
      </w:pPr>
      <w:r>
        <w:rPr>
          <w:sz w:val="22"/>
        </w:rPr>
        <w:t>Re:</w:t>
        <w:tab/>
        <w:t>Commodity Swap Deal No. Draft</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Normal"/>
        <w:rPr>
          <w:sz w:val="22"/>
        </w:rPr>
      </w:pPr>
      <w:r>
        <w:rPr>
          <w:sz w:val="22"/>
        </w:rPr>
        <w:t>Type of Transaction:</w:t>
        <w:tab/>
        <w:tab/>
        <w:tab/>
        <w:tab/>
        <w:t>Collar</w:t>
      </w:r>
    </w:p>
    <w:p>
      <w:pPr>
        <w:pStyle w:val="Normal"/>
        <w:rPr>
          <w:sz w:val="22"/>
        </w:rPr>
      </w:pPr>
      <w:r>
        <w:rPr>
          <w:sz w:val="22"/>
        </w:rPr>
      </w:r>
    </w:p>
    <w:p>
      <w:pPr>
        <w:pStyle w:val="Normal"/>
        <w:tabs>
          <w:tab w:val="left" w:pos="720" w:leader="none"/>
        </w:tabs>
        <w:rPr>
          <w:sz w:val="22"/>
        </w:rPr>
      </w:pPr>
      <w:r>
        <w:rPr>
          <w:sz w:val="22"/>
        </w:rPr>
        <w:t>Commodity:</w:t>
        <w:tab/>
        <w:tab/>
        <w:tab/>
        <w:tab/>
        <w:tab/>
        <w:t>Old Corrugated Containers #11</w:t>
      </w:r>
    </w:p>
    <w:p>
      <w:pPr>
        <w:pStyle w:val="Normal"/>
        <w:rPr>
          <w:sz w:val="22"/>
        </w:rPr>
      </w:pPr>
      <w:r>
        <w:rPr>
          <w:sz w:val="22"/>
        </w:rPr>
      </w:r>
    </w:p>
    <w:p>
      <w:pPr>
        <w:pStyle w:val="Normal"/>
        <w:rPr>
          <w:sz w:val="22"/>
        </w:rPr>
      </w:pPr>
      <w:r>
        <w:rPr>
          <w:sz w:val="22"/>
        </w:rPr>
        <w:t>Commodity Unit:</w:t>
        <w:tab/>
        <w:tab/>
        <w:tab/>
        <w:tab/>
        <w:t>Short Ton</w:t>
      </w:r>
    </w:p>
    <w:p>
      <w:pPr>
        <w:pStyle w:val="Normal"/>
        <w:rPr>
          <w:sz w:val="22"/>
        </w:rPr>
      </w:pPr>
      <w:r>
        <w:rPr>
          <w:sz w:val="22"/>
        </w:rPr>
        <w:tab/>
        <w:tab/>
      </w:r>
    </w:p>
    <w:p>
      <w:pPr>
        <w:pStyle w:val="Normal"/>
        <w:rPr>
          <w:sz w:val="22"/>
        </w:rPr>
      </w:pPr>
      <w:r>
        <w:rPr>
          <w:sz w:val="22"/>
        </w:rPr>
        <w:t>Trade Date:</w:t>
        <w:tab/>
        <w:tab/>
        <w:tab/>
        <w:tab/>
        <w:tab/>
        <w:t>[May 24, 2000]</w:t>
      </w:r>
    </w:p>
    <w:p>
      <w:pPr>
        <w:pStyle w:val="Normal"/>
        <w:rPr>
          <w:sz w:val="22"/>
        </w:rPr>
      </w:pPr>
      <w:r>
        <w:rPr>
          <w:sz w:val="22"/>
        </w:rPr>
      </w:r>
    </w:p>
    <w:p>
      <w:pPr>
        <w:pStyle w:val="Normal"/>
        <w:rPr>
          <w:sz w:val="22"/>
        </w:rPr>
      </w:pPr>
      <w:r>
        <w:rPr>
          <w:sz w:val="22"/>
        </w:rPr>
        <w:t>Effective Date:</w:t>
        <w:tab/>
        <w:tab/>
        <w:tab/>
        <w:tab/>
        <w:tab/>
        <w:t>[June 1, 2000]</w:t>
      </w:r>
    </w:p>
    <w:p>
      <w:pPr>
        <w:pStyle w:val="Normal"/>
        <w:rPr>
          <w:sz w:val="22"/>
        </w:rPr>
      </w:pPr>
      <w:r>
        <w:rPr>
          <w:sz w:val="22"/>
        </w:rPr>
      </w:r>
    </w:p>
    <w:p>
      <w:pPr>
        <w:pStyle w:val="Normal"/>
        <w:rPr>
          <w:sz w:val="22"/>
        </w:rPr>
      </w:pPr>
      <w:r>
        <w:rPr>
          <w:sz w:val="22"/>
        </w:rPr>
        <w:t>Termination Date:</w:t>
        <w:tab/>
        <w:tab/>
        <w:tab/>
        <w:tab/>
        <w:t>[May 31, 2004]</w:t>
      </w:r>
    </w:p>
    <w:p>
      <w:pPr>
        <w:pStyle w:val="Normal"/>
        <w:rPr>
          <w:sz w:val="22"/>
        </w:rPr>
      </w:pPr>
      <w:r>
        <w:rPr>
          <w:sz w:val="22"/>
        </w:rPr>
      </w:r>
    </w:p>
    <w:p>
      <w:pPr>
        <w:pStyle w:val="Normal"/>
        <w:ind w:hanging="4320" w:start="4320" w:end="0"/>
        <w:jc w:val="both"/>
        <w:rPr/>
      </w:pPr>
      <w:r>
        <w:rPr>
          <w:sz w:val="22"/>
        </w:rPr>
        <w:t>Determination Period(s):</w:t>
        <w:tab/>
      </w:r>
      <w:r>
        <w:rPr>
          <w:color w:val="000000"/>
          <w:sz w:val="22"/>
        </w:rPr>
        <w:t xml:space="preserve">Monthly periods, with the first Determination Period commencing on </w:t>
      </w:r>
      <w:r>
        <w:rPr>
          <w:sz w:val="22"/>
        </w:rPr>
        <w:t>[June 1, 2000]</w:t>
      </w:r>
      <w:r>
        <w:rPr>
          <w:color w:val="000000"/>
          <w:sz w:val="22"/>
        </w:rPr>
        <w:t xml:space="preserve"> and the final Determination Period ending on </w:t>
      </w:r>
      <w:r>
        <w:rPr>
          <w:sz w:val="22"/>
        </w:rPr>
        <w:t>[May 31, 2004]</w:t>
      </w:r>
    </w:p>
    <w:p>
      <w:pPr>
        <w:pStyle w:val="Normal"/>
        <w:rPr>
          <w:sz w:val="22"/>
        </w:rPr>
      </w:pPr>
      <w:r>
        <w:rPr>
          <w:sz w:val="22"/>
        </w:rPr>
      </w:r>
    </w:p>
    <w:p>
      <w:pPr>
        <w:pStyle w:val="Normal"/>
        <w:rPr>
          <w:sz w:val="22"/>
        </w:rPr>
      </w:pPr>
      <w:r>
        <w:rPr>
          <w:sz w:val="22"/>
        </w:rPr>
        <w:t>Automatic Exercise:</w:t>
        <w:tab/>
        <w:tab/>
        <w:tab/>
        <w:tab/>
        <w:t>Applicable</w:t>
      </w:r>
    </w:p>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338"/>
        <w:gridCol w:w="5580"/>
      </w:tblGrid>
      <w:tr>
        <w:trPr/>
        <w:tc>
          <w:tcPr>
            <w:tcW w:w="4338" w:type="dxa"/>
            <w:tcBorders/>
          </w:tcPr>
          <w:p>
            <w:pPr>
              <w:pStyle w:val="Normal"/>
              <w:rPr>
                <w:sz w:val="22"/>
              </w:rPr>
            </w:pPr>
            <w:r>
              <w:rPr>
                <w:sz w:val="22"/>
              </w:rPr>
              <w:t>Exercise Period:</w:t>
            </w:r>
          </w:p>
        </w:tc>
        <w:tc>
          <w:tcPr>
            <w:tcW w:w="5580" w:type="dxa"/>
            <w:tcBorders/>
          </w:tcPr>
          <w:p>
            <w:pPr>
              <w:pStyle w:val="Normal"/>
              <w:jc w:val="both"/>
              <w:rPr>
                <w:sz w:val="22"/>
              </w:rPr>
            </w:pPr>
            <w:r>
              <w:rPr>
                <w:sz w:val="22"/>
              </w:rPr>
              <w:t>Inapplicable</w:t>
            </w:r>
          </w:p>
        </w:tc>
      </w:tr>
    </w:tbl>
    <w:p>
      <w:pPr>
        <w:pStyle w:val="Normal"/>
        <w:rPr>
          <w:sz w:val="22"/>
        </w:rPr>
      </w:pPr>
      <w:r>
        <w:rPr>
          <w:sz w:val="22"/>
        </w:rPr>
        <w:tab/>
      </w:r>
    </w:p>
    <w:p>
      <w:pPr>
        <w:pStyle w:val="Normal"/>
        <w:rPr>
          <w:sz w:val="22"/>
        </w:rPr>
      </w:pPr>
      <w:r>
        <w:rPr>
          <w:sz w:val="22"/>
        </w:rPr>
        <w:t>Written Confirmation:</w:t>
        <w:tab/>
        <w:tab/>
        <w:tab/>
        <w:tab/>
        <w:t>Inapplicable</w:t>
      </w:r>
    </w:p>
    <w:p>
      <w:pPr>
        <w:pStyle w:val="Normal"/>
        <w:rPr>
          <w:sz w:val="22"/>
        </w:rPr>
      </w:pPr>
      <w:r>
        <w:rPr>
          <w:sz w:val="22"/>
        </w:rPr>
      </w:r>
    </w:p>
    <w:p>
      <w:pPr>
        <w:pStyle w:val="Normal"/>
        <w:rPr>
          <w:sz w:val="22"/>
        </w:rPr>
      </w:pPr>
      <w:r>
        <w:rPr>
          <w:sz w:val="22"/>
        </w:rPr>
        <w:t xml:space="preserve">Call Price </w:t>
      </w:r>
    </w:p>
    <w:p>
      <w:pPr>
        <w:pStyle w:val="Normal"/>
        <w:rPr>
          <w:sz w:val="22"/>
        </w:rPr>
      </w:pPr>
      <w:r>
        <w:rPr>
          <w:sz w:val="22"/>
        </w:rPr>
        <w:t>Payor (Call Seller):</w:t>
        <w:tab/>
        <w:tab/>
        <w:tab/>
        <w:tab/>
        <w:t>ENA</w:t>
      </w:r>
    </w:p>
    <w:p>
      <w:pPr>
        <w:pStyle w:val="Normal"/>
        <w:ind w:firstLine="720" w:end="0"/>
        <w:rPr>
          <w:sz w:val="22"/>
        </w:rPr>
      </w:pPr>
      <w:r>
        <w:rPr>
          <w:sz w:val="22"/>
        </w:rPr>
      </w:r>
    </w:p>
    <w:p>
      <w:pPr>
        <w:pStyle w:val="Normal"/>
        <w:rPr>
          <w:sz w:val="22"/>
        </w:rPr>
      </w:pPr>
      <w:r>
        <w:rPr>
          <w:sz w:val="22"/>
        </w:rPr>
        <w:t>Call Price:</w:t>
        <w:tab/>
        <w:tab/>
        <w:tab/>
        <w:tab/>
        <w:tab/>
        <w:t>[U.S. $130.00 per Short Ton]</w:t>
      </w:r>
    </w:p>
    <w:p>
      <w:pPr>
        <w:pStyle w:val="Normal"/>
        <w:ind w:firstLine="720" w:end="0"/>
        <w:rPr>
          <w:sz w:val="22"/>
        </w:rPr>
      </w:pPr>
      <w:r>
        <w:rPr>
          <w:sz w:val="22"/>
        </w:rPr>
      </w:r>
    </w:p>
    <w:p>
      <w:pPr>
        <w:pStyle w:val="Normal"/>
        <w:rPr>
          <w:sz w:val="22"/>
        </w:rPr>
      </w:pPr>
      <w:r>
        <w:rPr>
          <w:sz w:val="22"/>
        </w:rPr>
        <w:t xml:space="preserve">Put Price </w:t>
      </w:r>
    </w:p>
    <w:p>
      <w:pPr>
        <w:pStyle w:val="Normal"/>
        <w:rPr>
          <w:sz w:val="22"/>
        </w:rPr>
      </w:pPr>
      <w:r>
        <w:rPr>
          <w:sz w:val="22"/>
        </w:rPr>
        <w:t>Payor (Put Seller):</w:t>
        <w:tab/>
        <w:tab/>
        <w:tab/>
        <w:tab/>
        <w:t>Counterparty</w:t>
      </w:r>
    </w:p>
    <w:p>
      <w:pPr>
        <w:pStyle w:val="Normal"/>
        <w:ind w:firstLine="720" w:end="0"/>
        <w:rPr>
          <w:sz w:val="22"/>
        </w:rPr>
      </w:pPr>
      <w:r>
        <w:rPr>
          <w:sz w:val="22"/>
        </w:rPr>
      </w:r>
    </w:p>
    <w:p>
      <w:pPr>
        <w:pStyle w:val="Normal"/>
        <w:rPr>
          <w:sz w:val="22"/>
        </w:rPr>
      </w:pPr>
      <w:r>
        <w:rPr>
          <w:sz w:val="22"/>
        </w:rPr>
        <w:t>Put Price:</w:t>
        <w:tab/>
        <w:tab/>
        <w:tab/>
        <w:tab/>
        <w:tab/>
        <w:t>[U.S. $75.00 per Short Ton]</w:t>
      </w:r>
    </w:p>
    <w:p>
      <w:pPr>
        <w:pStyle w:val="Normal"/>
        <w:rPr>
          <w:sz w:val="22"/>
        </w:rPr>
      </w:pPr>
      <w:r>
        <w:rPr>
          <w:sz w:val="22"/>
        </w:rPr>
      </w:r>
    </w:p>
    <w:p>
      <w:pPr>
        <w:pStyle w:val="Normal"/>
        <w:rPr>
          <w:sz w:val="22"/>
        </w:rPr>
      </w:pPr>
      <w:r>
        <w:rPr>
          <w:sz w:val="22"/>
        </w:rPr>
        <w:t>Total Notional Quantity:</w:t>
        <w:tab/>
        <w:tab/>
        <w:tab/>
        <w:t>[48,000 Short Tons]</w:t>
      </w:r>
    </w:p>
    <w:p>
      <w:pPr>
        <w:pStyle w:val="Normal"/>
        <w:rPr>
          <w:sz w:val="22"/>
        </w:rPr>
      </w:pPr>
      <w:r>
        <w:rPr>
          <w:sz w:val="22"/>
        </w:rPr>
      </w:r>
    </w:p>
    <w:tbl>
      <w:tblPr>
        <w:tblW w:w="9216" w:type="dxa"/>
        <w:jc w:val="start"/>
        <w:tblInd w:w="0" w:type="dxa"/>
        <w:tblLayout w:type="fixed"/>
        <w:tblCellMar>
          <w:top w:w="0" w:type="dxa"/>
          <w:start w:w="108" w:type="dxa"/>
          <w:bottom w:w="0" w:type="dxa"/>
          <w:end w:w="108" w:type="dxa"/>
        </w:tblCellMar>
      </w:tblPr>
      <w:tblGrid>
        <w:gridCol w:w="4428"/>
        <w:gridCol w:w="4788"/>
      </w:tblGrid>
      <w:tr>
        <w:trPr/>
        <w:tc>
          <w:tcPr>
            <w:tcW w:w="4428" w:type="dxa"/>
            <w:tcBorders/>
          </w:tcPr>
          <w:p>
            <w:pPr>
              <w:pStyle w:val="Normal"/>
              <w:rPr>
                <w:sz w:val="22"/>
              </w:rPr>
            </w:pPr>
            <w:r>
              <w:rPr>
                <w:sz w:val="22"/>
              </w:rPr>
              <w:t xml:space="preserve">Notional Quantity Per </w:t>
            </w:r>
          </w:p>
          <w:p>
            <w:pPr>
              <w:pStyle w:val="Normal"/>
              <w:rPr>
                <w:sz w:val="22"/>
              </w:rPr>
            </w:pPr>
            <w:r>
              <w:rPr>
                <w:sz w:val="22"/>
              </w:rPr>
              <w:t>Determination Period:</w:t>
            </w:r>
          </w:p>
        </w:tc>
        <w:tc>
          <w:tcPr>
            <w:tcW w:w="4788" w:type="dxa"/>
            <w:tcBorders/>
          </w:tcPr>
          <w:p>
            <w:pPr>
              <w:pStyle w:val="Normal"/>
              <w:snapToGrid w:val="false"/>
              <w:ind w:start="-108" w:end="0"/>
              <w:rPr>
                <w:sz w:val="22"/>
              </w:rPr>
            </w:pPr>
            <w:r>
              <w:rPr>
                <w:sz w:val="22"/>
              </w:rPr>
            </w:r>
          </w:p>
          <w:p>
            <w:pPr>
              <w:pStyle w:val="Normal"/>
              <w:ind w:start="-108" w:end="0"/>
              <w:jc w:val="both"/>
              <w:rPr>
                <w:sz w:val="22"/>
              </w:rPr>
            </w:pPr>
            <w:r>
              <w:rPr>
                <w:sz w:val="22"/>
              </w:rPr>
              <w:t>[1,000 Short Tons]</w:t>
            </w:r>
          </w:p>
        </w:tc>
      </w:tr>
    </w:tbl>
    <w:p>
      <w:pPr>
        <w:pStyle w:val="Normal"/>
        <w:rPr>
          <w:sz w:val="22"/>
        </w:rPr>
      </w:pPr>
      <w:r>
        <w:rPr>
          <w:sz w:val="22"/>
        </w:rPr>
        <w:tab/>
      </w:r>
    </w:p>
    <w:p>
      <w:pPr>
        <w:pStyle w:val="BodyTextIndent"/>
        <w:tabs>
          <w:tab w:val="clear" w:pos="6480"/>
          <w:tab w:val="left" w:pos="90" w:leader="none"/>
          <w:tab w:val="left" w:pos="2160" w:leader="none"/>
          <w:tab w:val="left" w:pos="4320" w:leader="none"/>
        </w:tabs>
        <w:ind w:hanging="4320" w:start="4320" w:end="0"/>
        <w:rPr/>
      </w:pPr>
      <w:r>
        <w:rPr>
          <w:sz w:val="22"/>
        </w:rPr>
        <w:t>Floating Price:</w:t>
      </w:r>
      <w:r>
        <w:rPr/>
        <w:t xml:space="preserve"> </w:t>
        <w:tab/>
        <w:tab/>
      </w:r>
      <w:r>
        <w:rPr>
          <w:color w:val="000000"/>
          <w:sz w:val="22"/>
        </w:rPr>
        <w:t xml:space="preserve">The Floating Price for each Determination Period shall be the </w:t>
      </w:r>
      <w:r>
        <w:rPr>
          <w:b/>
          <w:color w:val="000000"/>
          <w:sz w:val="22"/>
        </w:rPr>
        <w:t>high</w:t>
      </w:r>
      <w:r>
        <w:rPr>
          <w:color w:val="000000"/>
          <w:sz w:val="22"/>
        </w:rPr>
        <w:t xml:space="preserve"> price per Short Ton of Old Corrugated Containers  #11, stated in U.S. Dollars, published under the headings “Transacted paper stock prices: OCC (11)” opposite the caption “New York” in the second issue of each month of the </w:t>
      </w:r>
      <w:r>
        <w:rPr>
          <w:color w:val="000000"/>
          <w:sz w:val="22"/>
          <w:u w:val="single"/>
        </w:rPr>
        <w:t>Official Board Markets</w:t>
      </w:r>
      <w:r>
        <w:rPr>
          <w:color w:val="000000"/>
          <w:sz w:val="22"/>
        </w:rPr>
        <w:t xml:space="preserve"> that reports prices effective on the Pricing Date for such Determination Period</w:t>
      </w:r>
    </w:p>
    <w:p>
      <w:pPr>
        <w:pStyle w:val="Normal"/>
        <w:rPr>
          <w:color w:val="000000"/>
          <w:sz w:val="22"/>
        </w:rPr>
      </w:pPr>
      <w:r>
        <w:rPr>
          <w:color w:val="000000"/>
          <w:sz w:val="22"/>
        </w:rPr>
      </w:r>
    </w:p>
    <w:p>
      <w:pPr>
        <w:pStyle w:val="BodyTextIndent"/>
        <w:tabs>
          <w:tab w:val="clear" w:pos="6480"/>
          <w:tab w:val="left" w:pos="90" w:leader="none"/>
          <w:tab w:val="left" w:pos="2160" w:leader="none"/>
          <w:tab w:val="left" w:pos="4320" w:leader="none"/>
        </w:tabs>
        <w:ind w:hanging="4320" w:start="4320" w:end="0"/>
        <w:rPr>
          <w:sz w:val="22"/>
        </w:rPr>
      </w:pPr>
      <w:r>
        <w:rPr>
          <w:sz w:val="22"/>
        </w:rPr>
        <w:t>Cash Settlement Amount:</w:t>
        <w:tab/>
        <w:t>On the applicable Payment Date, either the Call Price Payer will pay the Call Cash Settlement Amount or the Put Price Payer will pay the Put Cash Settlement Amount, as follows:</w:t>
      </w:r>
    </w:p>
    <w:p>
      <w:pPr>
        <w:pStyle w:val="BodyTextIndent"/>
        <w:rPr>
          <w:sz w:val="22"/>
        </w:rPr>
      </w:pPr>
      <w:r>
        <w:rPr>
          <w:sz w:val="22"/>
        </w:rPr>
      </w:r>
    </w:p>
    <w:p>
      <w:pPr>
        <w:pStyle w:val="BodyTextIndent"/>
        <w:ind w:hanging="4320" w:start="4320" w:end="0"/>
        <w:rPr>
          <w:sz w:val="22"/>
        </w:rPr>
      </w:pPr>
      <w:r>
        <w:rPr>
          <w:sz w:val="22"/>
        </w:rPr>
        <w:t>Call Cash Settlement Amount:</w:t>
        <w:tab/>
        <w:t xml:space="preserve">Amount payable by Call Price Payor on the applicable Payment Date for such Determination Period which is the product of (i) the Notional Quantity per Determination Period and (ii) the excess, if any, of the Floating Price over the Call Price in respect of such Determination Period; </w:t>
      </w:r>
    </w:p>
    <w:p>
      <w:pPr>
        <w:pStyle w:val="BodyTextIndent"/>
        <w:ind w:start="0" w:end="0"/>
        <w:rPr>
          <w:sz w:val="22"/>
        </w:rPr>
      </w:pPr>
      <w:r>
        <w:rPr>
          <w:sz w:val="22"/>
        </w:rPr>
      </w:r>
    </w:p>
    <w:p>
      <w:pPr>
        <w:pStyle w:val="BodyTextIndent"/>
        <w:ind w:start="0" w:end="0"/>
        <w:rPr>
          <w:sz w:val="22"/>
        </w:rPr>
      </w:pPr>
      <w:r>
        <w:rPr>
          <w:sz w:val="22"/>
        </w:rPr>
        <w:t>OR</w:t>
      </w:r>
    </w:p>
    <w:p>
      <w:pPr>
        <w:pStyle w:val="BodyTextIndent"/>
        <w:rPr>
          <w:sz w:val="22"/>
        </w:rPr>
      </w:pPr>
      <w:r>
        <w:rPr>
          <w:sz w:val="22"/>
        </w:rPr>
      </w:r>
    </w:p>
    <w:p>
      <w:pPr>
        <w:pStyle w:val="BodyTextIndent2"/>
        <w:rPr/>
      </w:pPr>
      <w:r>
        <w:rPr/>
        <w:t>Put Cash Settlement Amount:</w:t>
        <w:tab/>
        <w:t>Amount payable by Put Price Payor on the applicable Payment Date for such Determination Period which is the product of (i) the Notional Quantity per Determination Period and (ii) the excess, if any, of the Put Price over the Floating Price in respect of such Determination Period</w:t>
      </w:r>
    </w:p>
    <w:p>
      <w:pPr>
        <w:pStyle w:val="BodyTextIndent"/>
        <w:tabs>
          <w:tab w:val="left" w:pos="90" w:leader="none"/>
          <w:tab w:val="left" w:pos="2160" w:leader="none"/>
          <w:tab w:val="left" w:pos="4410" w:leader="none"/>
          <w:tab w:val="left" w:pos="6480" w:leader="none"/>
          <w:tab w:val="left" w:pos="9576" w:leader="none"/>
        </w:tabs>
        <w:ind w:hanging="4320" w:start="5040" w:end="0"/>
        <w:rPr/>
      </w:pPr>
      <w:r>
        <w:rPr/>
      </w:r>
    </w:p>
    <w:p>
      <w:pPr>
        <w:pStyle w:val="BodyTextIndent"/>
        <w:tabs>
          <w:tab w:val="clear" w:pos="6480"/>
          <w:tab w:val="left" w:pos="90" w:leader="none"/>
          <w:tab w:val="left" w:pos="2160" w:leader="none"/>
          <w:tab w:val="left" w:pos="4320" w:leader="none"/>
        </w:tabs>
        <w:ind w:hanging="4245" w:start="4245" w:end="0"/>
        <w:rPr>
          <w:b/>
        </w:rPr>
      </w:pPr>
      <w:r>
        <w:rPr>
          <w:sz w:val="22"/>
        </w:rPr>
        <w:t>Payment Date:</w:t>
      </w:r>
      <w:r>
        <w:rPr/>
        <w:tab/>
        <w:tab/>
      </w:r>
      <w:r>
        <w:rPr>
          <w:sz w:val="22"/>
        </w:rPr>
        <w:t>The fifth (5</w:t>
      </w:r>
      <w:r>
        <w:rPr>
          <w:sz w:val="22"/>
          <w:vertAlign w:val="superscript"/>
        </w:rPr>
        <w:t>th</w:t>
      </w:r>
      <w:r>
        <w:rPr>
          <w:sz w:val="22"/>
        </w:rPr>
        <w:t>) Business Day following the last Pricing Date for the applicable Determination Period</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Normal"/>
        <w:ind w:hanging="4245" w:start="4245" w:end="0"/>
        <w:jc w:val="both"/>
        <w:rPr/>
      </w:pPr>
      <w:r>
        <w:rPr>
          <w:sz w:val="22"/>
        </w:rPr>
        <w:t>Alternative Floating Price Source:</w:t>
        <w:tab/>
      </w:r>
      <w:r>
        <w:rPr>
          <w:color w:val="000000"/>
          <w:sz w:val="22"/>
        </w:rPr>
        <w:t xml:space="preserve">The </w:t>
      </w:r>
      <w:r>
        <w:rPr>
          <w:sz w:val="22"/>
        </w:rPr>
        <w:t>Alternative Floating Price Source</w:t>
      </w:r>
      <w:r>
        <w:rPr>
          <w:color w:val="000000"/>
          <w:sz w:val="22"/>
        </w:rPr>
        <w:t xml:space="preserve"> for any Determination Period shall be the issue</w:t>
      </w:r>
      <w:r>
        <w:rPr>
          <w:sz w:val="22"/>
        </w:rPr>
        <w:t xml:space="preserve"> of </w:t>
      </w:r>
      <w:r>
        <w:rPr>
          <w:color w:val="FF0000"/>
          <w:sz w:val="22"/>
          <w:u w:val="single"/>
        </w:rPr>
        <w:t>World Recovered Paper Monitor</w:t>
      </w:r>
      <w:r>
        <w:rPr>
          <w:color w:val="000000"/>
          <w:sz w:val="22"/>
          <w:u w:val="single"/>
        </w:rPr>
        <w:t>,</w:t>
      </w:r>
      <w:r>
        <w:rPr>
          <w:color w:val="000000"/>
          <w:sz w:val="22"/>
        </w:rPr>
        <w:t xml:space="preserve"> or its successor publication, as published by </w:t>
      </w:r>
      <w:r>
        <w:rPr>
          <w:color w:val="FF0000"/>
          <w:sz w:val="22"/>
        </w:rPr>
        <w:t>Resource Information Systems, Inc.</w:t>
      </w:r>
      <w:r>
        <w:rPr>
          <w:color w:val="000000"/>
          <w:sz w:val="22"/>
        </w:rPr>
        <w:t>. (</w:t>
      </w:r>
      <w:r>
        <w:rPr>
          <w:sz w:val="22"/>
        </w:rPr>
        <w:t>or its successor) that reports prices effective for such Determination Period. The</w:t>
      </w:r>
      <w:r>
        <w:rPr>
          <w:color w:val="000000"/>
          <w:sz w:val="22"/>
        </w:rPr>
        <w:t xml:space="preserve"> Floating Price for such </w:t>
      </w:r>
      <w:r>
        <w:rPr>
          <w:sz w:val="22"/>
        </w:rPr>
        <w:t>Determination</w:t>
      </w:r>
      <w:r>
        <w:rPr>
          <w:color w:val="000000"/>
          <w:sz w:val="22"/>
        </w:rPr>
        <w:t xml:space="preserve"> Period </w:t>
      </w:r>
      <w:r>
        <w:rPr>
          <w:sz w:val="22"/>
        </w:rPr>
        <w:t xml:space="preserve">(as determined by reference to the Alternative Floating Price Source) </w:t>
      </w:r>
      <w:r>
        <w:rPr>
          <w:color w:val="000000"/>
          <w:sz w:val="22"/>
        </w:rPr>
        <w:t xml:space="preserve">shall be an amount equal to the sum of (a) the price per </w:t>
      </w:r>
      <w:r>
        <w:rPr>
          <w:color w:val="FF0000"/>
          <w:sz w:val="22"/>
        </w:rPr>
        <w:t>Short Ton</w:t>
      </w:r>
      <w:r>
        <w:rPr>
          <w:sz w:val="22"/>
        </w:rPr>
        <w:t xml:space="preserve"> of </w:t>
      </w:r>
      <w:r>
        <w:rPr>
          <w:color w:val="FF0000"/>
          <w:sz w:val="22"/>
        </w:rPr>
        <w:t>Old Corrugated Containers #11</w:t>
      </w:r>
      <w:r>
        <w:rPr>
          <w:color w:val="000000"/>
          <w:sz w:val="22"/>
        </w:rPr>
        <w:t xml:space="preserve">, published under the headings “Table 2: Recovered Paper Monthly Price Summary: U.S. Recovered Paper: Dollars per Short Ton: Corrugated: OCC (11)” </w:t>
      </w:r>
      <w:r>
        <w:rPr>
          <w:sz w:val="22"/>
        </w:rPr>
        <w:t xml:space="preserve">and (b) an amount (which may be negative) equal to the difference between (i) the mean of the average of the prices per </w:t>
      </w:r>
      <w:r>
        <w:rPr>
          <w:color w:val="FF0000"/>
          <w:sz w:val="22"/>
        </w:rPr>
        <w:t>Short Ton</w:t>
      </w:r>
      <w:r>
        <w:rPr>
          <w:sz w:val="22"/>
        </w:rPr>
        <w:t xml:space="preserve"> of </w:t>
      </w:r>
      <w:r>
        <w:rPr>
          <w:color w:val="FF0000"/>
          <w:sz w:val="22"/>
        </w:rPr>
        <w:t>Old Corrugated Containers #11</w:t>
      </w:r>
      <w:r>
        <w:rPr>
          <w:color w:val="000000"/>
          <w:sz w:val="22"/>
        </w:rPr>
        <w:t xml:space="preserve"> </w:t>
      </w:r>
      <w:r>
        <w:rPr>
          <w:sz w:val="22"/>
        </w:rPr>
        <w:t xml:space="preserve">as determined in accordance with the definition of “Floating Price” above for each month in which such price is available for the twelve calendar months immediately preceding the relevant Determination Period and (ii) the average of the prices per </w:t>
      </w:r>
      <w:r>
        <w:rPr>
          <w:color w:val="FF0000"/>
          <w:sz w:val="22"/>
        </w:rPr>
        <w:t>Short Ton</w:t>
      </w:r>
      <w:r>
        <w:rPr>
          <w:sz w:val="22"/>
        </w:rPr>
        <w:t xml:space="preserve"> of </w:t>
      </w:r>
      <w:r>
        <w:rPr>
          <w:color w:val="FF0000"/>
          <w:sz w:val="22"/>
        </w:rPr>
        <w:t>Old Corrugated Containers #11</w:t>
      </w:r>
      <w:r>
        <w:rPr>
          <w:sz w:val="22"/>
        </w:rPr>
        <w:t xml:space="preserve"> as determined in accordance with subsection (a) above for each month in which such price is available for the twelve calendar months immediately preceding the relevant Determination Period</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Contractual Currency:</w:t>
      </w:r>
      <w:r>
        <w:rPr>
          <w:sz w:val="22"/>
        </w:rPr>
        <w:tab/>
        <w:tab/>
        <w:t>U.S. Dollars</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Governing Law:</w:t>
      </w:r>
      <w:r>
        <w:rPr>
          <w:sz w:val="22"/>
        </w:rPr>
        <w:tab/>
        <w:tab/>
        <w:t>Texas</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b/>
          <w:sz w:val="22"/>
        </w:rPr>
      </w:pPr>
      <w:r>
        <w:rPr>
          <w:b/>
          <w:sz w:val="22"/>
        </w:rPr>
        <w:t xml:space="preserve">General Terms and Conditions </w:t>
      </w:r>
    </w:p>
    <w:p>
      <w:pPr>
        <w:pStyle w:val="BodyTextIndent"/>
        <w:tabs>
          <w:tab w:val="left" w:pos="90" w:leader="none"/>
          <w:tab w:val="left" w:pos="2160" w:leader="none"/>
          <w:tab w:val="left" w:pos="4140" w:leader="none"/>
          <w:tab w:val="left" w:pos="6480" w:leader="none"/>
        </w:tabs>
        <w:ind w:hanging="4860" w:start="4140" w:end="0"/>
        <w:rPr/>
      </w:pPr>
      <w:r>
        <w:rPr>
          <w:b/>
          <w:sz w:val="22"/>
        </w:rPr>
        <w:t>of Confirmations:</w:t>
        <w:tab/>
        <w:tab/>
      </w:r>
      <w:r>
        <w:rPr>
          <w:sz w:val="22"/>
        </w:rPr>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4320" w:leader="none"/>
          <w:tab w:val="left" w:pos="6480" w:leader="none"/>
        </w:tabs>
        <w:ind w:hanging="5040" w:start="4320" w:end="0"/>
        <w:rPr>
          <w:b/>
          <w:sz w:val="22"/>
        </w:rPr>
      </w:pPr>
      <w:r>
        <w:rPr>
          <w:b/>
          <w:sz w:val="22"/>
        </w:rPr>
      </w:r>
    </w:p>
    <w:p>
      <w:pPr>
        <w:pStyle w:val="BodyTextIndent"/>
        <w:tabs>
          <w:tab w:val="left" w:pos="90" w:leader="none"/>
          <w:tab w:val="left" w:pos="2160" w:leader="none"/>
          <w:tab w:val="left" w:pos="4140" w:leader="none"/>
          <w:tab w:val="left" w:pos="6480" w:leader="none"/>
        </w:tabs>
        <w:ind w:hanging="4860" w:start="4140" w:end="0"/>
        <w:rPr/>
      </w:pPr>
      <w:r>
        <w:rPr>
          <w:b/>
          <w:sz w:val="22"/>
        </w:rPr>
        <w:t>Credit or Other Special Provisions:</w:t>
      </w:r>
      <w:r>
        <w:rPr>
          <w:sz w:val="22"/>
        </w:rPr>
        <w:tab/>
        <w:t>[To be Determined]</w:t>
      </w:r>
    </w:p>
    <w:p>
      <w:pPr>
        <w:pStyle w:val="BodyTextIndent"/>
        <w:tabs>
          <w:tab w:val="left" w:pos="90" w:leader="none"/>
          <w:tab w:val="left" w:pos="2160" w:leader="none"/>
          <w:tab w:val="left" w:pos="4320" w:leader="none"/>
          <w:tab w:val="left" w:pos="6480" w:leader="none"/>
        </w:tabs>
        <w:ind w:hanging="5040" w:start="4320" w:end="0"/>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 Corp.</w:t>
        <w:tab/>
        <w:tab/>
        <w:t>Rand-Whitney Containerboard L.P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By: ________DRAFT___________</w:t>
        <w:tab/>
        <w:t>By: ________DRAFT___________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Date: ________________________</w:t>
        <w:tab/>
        <w:t>Date:  _______________________</w:t>
      </w:r>
    </w:p>
    <w:p>
      <w:pPr>
        <w:pStyle w:val="Normal"/>
        <w:rPr>
          <w:sz w:val="22"/>
        </w:rPr>
      </w:pPr>
      <w:r>
        <w:rPr>
          <w:sz w:val="22"/>
        </w:rPr>
      </w:r>
    </w:p>
    <w:p>
      <w:pPr>
        <w:pStyle w:val="Normal"/>
        <w:ind w:start="-720" w:end="0"/>
        <w:rPr>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646-8898</w:t>
      </w:r>
      <w:r>
        <w:rPr>
          <w:sz w:val="22"/>
          <w:b/>
        </w:rPr>
        <w:fldChar w:fldCharType="end"/>
      </w:r>
    </w:p>
    <w:p>
      <w:pPr>
        <w:pStyle w:val="Normal"/>
        <w:rPr>
          <w:sz w:val="22"/>
        </w:rPr>
      </w:pPr>
      <w:r>
        <w:rPr>
          <w:sz w:val="22"/>
        </w:rPr>
      </w:r>
    </w:p>
    <w:tbl>
      <w:tblPr>
        <w:tblW w:w="9450" w:type="dxa"/>
        <w:jc w:val="start"/>
        <w:tblInd w:w="-612" w:type="dxa"/>
        <w:tblLayout w:type="fixed"/>
        <w:tblCellMar>
          <w:top w:w="0" w:type="dxa"/>
          <w:start w:w="108" w:type="dxa"/>
          <w:bottom w:w="0" w:type="dxa"/>
          <w:end w:w="108" w:type="dxa"/>
        </w:tblCellMar>
      </w:tblPr>
      <w:tblGrid>
        <w:gridCol w:w="4860"/>
        <w:gridCol w:w="4590"/>
      </w:tblGrid>
      <w:tr>
        <w:trPr/>
        <w:tc>
          <w:tcPr>
            <w:tcW w:w="4860" w:type="dxa"/>
            <w:tcBorders/>
          </w:tcPr>
          <w:p>
            <w:pPr>
              <w:pStyle w:val="Normal"/>
              <w:rPr>
                <w:sz w:val="22"/>
              </w:rPr>
            </w:pPr>
            <w:r>
              <w:rPr>
                <w:b/>
                <w:sz w:val="22"/>
              </w:rPr>
              <w:t>Address for Notices to ENA:</w:t>
            </w:r>
          </w:p>
        </w:tc>
        <w:tc>
          <w:tcPr>
            <w:tcW w:w="4590" w:type="dxa"/>
            <w:tcBorders/>
          </w:tcPr>
          <w:p>
            <w:pPr>
              <w:pStyle w:val="Normal"/>
              <w:rPr>
                <w:sz w:val="22"/>
              </w:rPr>
            </w:pPr>
            <w:r>
              <w:rPr>
                <w:b/>
                <w:sz w:val="22"/>
              </w:rPr>
              <w:t>Payment Account Information for ENA:</w:t>
            </w:r>
          </w:p>
        </w:tc>
      </w:tr>
      <w:tr>
        <w:trPr/>
        <w:tc>
          <w:tcPr>
            <w:tcW w:w="4860" w:type="dxa"/>
            <w:tcBorders/>
          </w:tcPr>
          <w:p>
            <w:pPr>
              <w:pStyle w:val="Normal"/>
              <w:snapToGrid w:val="false"/>
              <w:rPr>
                <w:sz w:val="22"/>
              </w:rPr>
            </w:pPr>
            <w:r>
              <w:rPr>
                <w:sz w:val="22"/>
              </w:rPr>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590"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4860"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590"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860" w:type="dxa"/>
            <w:tcBorders/>
          </w:tcPr>
          <w:p>
            <w:pPr>
              <w:pStyle w:val="Normal"/>
              <w:rPr>
                <w:sz w:val="22"/>
              </w:rPr>
            </w:pPr>
            <w:r>
              <w:rPr>
                <w:sz w:val="22"/>
              </w:rPr>
              <w:t>Attention: Director, Documentation Dept</w:t>
            </w:r>
          </w:p>
        </w:tc>
        <w:tc>
          <w:tcPr>
            <w:tcW w:w="4590"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4860"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590" w:type="dxa"/>
            <w:tcBorders/>
          </w:tcPr>
          <w:p>
            <w:pPr>
              <w:pStyle w:val="Normal"/>
              <w:snapToGrid w:val="false"/>
              <w:rPr>
                <w:sz w:val="22"/>
              </w:rPr>
            </w:pPr>
            <w:r>
              <w:rPr>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u w:val="single"/>
              </w:rPr>
            </w:pPr>
            <w:r>
              <w:rPr>
                <w:b/>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u w:val="single"/>
              </w:rPr>
              <w:t>Payment Account Information for</w:t>
            </w:r>
            <w:r>
              <w:rPr>
                <w:b/>
                <w:sz w:val="22"/>
                <w:u w:val="single"/>
              </w:rPr>
              <w:t xml:space="preserve"> </w:t>
            </w:r>
            <w:r>
              <w:rPr>
                <w:b/>
                <w:u w:val="single"/>
              </w:rPr>
              <w:t>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Address:  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Attention: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Phone:  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COUNTERPARTY:   PLEASE PROVIDE ABOVE REQUESTED INFORMATION IF NOT PROVIDED PREVIOUSLY OR IF CHANGES HAVE OCCURED</w:t>
      </w:r>
    </w:p>
    <w:sectPr>
      <w:headerReference w:type="default" r:id="rId3"/>
      <w:footerReference w:type="default" r:id="rId4"/>
      <w:type w:val="nextPage"/>
      <w:pgSz w:w="12240" w:h="15840"/>
      <w:pgMar w:left="1800" w:right="1260" w:gutter="0" w:header="720" w:top="1062"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BodyText"/>
      <w:jc w:val="both"/>
      <w:rPr>
        <w:b/>
      </w:rPr>
    </w:pPr>
    <w:r>
      <w:rPr>
        <w:b/>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jc w:val="center"/>
      <w:rPr>
        <w:rFonts w:ascii="Arial" w:hAnsi="Arial" w:cs="Arial"/>
        <w:b/>
        <w:sz w:val="12"/>
      </w:rPr>
    </w:pPr>
    <w:r>
      <w:rPr>
        <w:rFonts w:cs="Arial" w:ascii="Arial" w:hAnsi="Arial"/>
        <w:b/>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DRAFT – FOR DISCUSSION PURPOSES ONLY                  </w:t>
    </w:r>
    <w:r>
      <w:rPr>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720" w:leader="none"/>
        <w:tab w:val="left" w:pos="4248" w:leader="none"/>
        <w:tab w:val="left" w:pos="9918" w:leader="none"/>
      </w:tabs>
      <w:ind w:hanging="4245" w:start="4245"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2000-05-24T13:00:00Z</dcterms:created>
  <dc:creator>wende warren</dc:creator>
  <dc:description/>
  <dc:language>en-CA</dc:language>
  <cp:lastModifiedBy>jcyprow</cp:lastModifiedBy>
  <cp:lastPrinted>2000-05-24T11:57:00Z</cp:lastPrinted>
  <dcterms:modified xsi:type="dcterms:W3CDTF">2000-05-24T16:01:00Z</dcterms:modified>
  <cp:revision>10</cp:revision>
  <dc:subject/>
  <dc:title/>
</cp:coreProperties>
</file>