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Heading1"/>
        <w:widowControl/>
        <w:ind w:hanging="0" w:start="0"/>
        <w:rPr>
          <w:sz w:val="22"/>
          <w:szCs w:val="22"/>
        </w:rPr>
      </w:pPr>
      <w:r>
        <w:rPr>
          <w:sz w:val="22"/>
          <w:szCs w:val="22"/>
        </w:rPr>
        <w:t>Memorandum</w:t>
      </w:r>
    </w:p>
    <w:p>
      <w:pPr>
        <w:pStyle w:val="Normal"/>
        <w:widowControl/>
        <w:rPr>
          <w:sz w:val="22"/>
          <w:szCs w:val="22"/>
        </w:rPr>
      </w:pPr>
      <w:r>
        <w:rPr>
          <w:sz w:val="22"/>
          <w:szCs w:val="22"/>
        </w:rPr>
      </w:r>
    </w:p>
    <w:p>
      <w:pPr>
        <w:pStyle w:val="Normal"/>
        <w:widowControl/>
        <w:rPr/>
      </w:pPr>
      <w:r>
        <w:rPr/>
      </w:r>
    </w:p>
    <w:p>
      <w:pPr>
        <w:pStyle w:val="Normal"/>
        <w:widowControl/>
        <w:rPr/>
      </w:pPr>
      <w:r>
        <w:rPr/>
      </w:r>
    </w:p>
    <w:p>
      <w:pPr>
        <w:pStyle w:val="Normal"/>
        <w:widowControl/>
        <w:rPr>
          <w:sz w:val="24"/>
          <w:szCs w:val="24"/>
        </w:rPr>
      </w:pPr>
      <w:r>
        <w:rPr>
          <w:sz w:val="24"/>
          <w:szCs w:val="24"/>
        </w:rPr>
        <w:t>To:</w:t>
        <w:tab/>
        <w:tab/>
      </w:r>
      <w:r>
        <w:rPr>
          <w:b/>
          <w:bCs/>
          <w:sz w:val="24"/>
          <w:szCs w:val="24"/>
        </w:rPr>
        <w:t>All Attorneys</w:t>
      </w:r>
    </w:p>
    <w:p>
      <w:pPr>
        <w:pStyle w:val="Normal"/>
        <w:widowControl/>
        <w:rPr>
          <w:sz w:val="24"/>
          <w:szCs w:val="24"/>
        </w:rPr>
      </w:pPr>
      <w:r>
        <w:rPr>
          <w:sz w:val="24"/>
          <w:szCs w:val="24"/>
        </w:rPr>
      </w:r>
    </w:p>
    <w:p>
      <w:pPr>
        <w:pStyle w:val="Heading2"/>
        <w:widowControl/>
        <w:ind w:hanging="0" w:start="0"/>
        <w:rPr/>
      </w:pPr>
      <w:r>
        <w:rPr/>
        <w:t>From:</w:t>
        <w:tab/>
        <w:tab/>
      </w:r>
      <w:r>
        <w:rPr>
          <w:b/>
          <w:bCs/>
        </w:rPr>
        <w:t>Ken Keane</w:t>
      </w:r>
    </w:p>
    <w:p>
      <w:pPr>
        <w:pStyle w:val="Normal"/>
        <w:widowControl/>
        <w:rPr>
          <w:sz w:val="24"/>
          <w:szCs w:val="24"/>
        </w:rPr>
      </w:pPr>
      <w:r>
        <w:rPr>
          <w:sz w:val="24"/>
          <w:szCs w:val="24"/>
        </w:rPr>
      </w:r>
    </w:p>
    <w:p>
      <w:pPr>
        <w:pStyle w:val="Normal"/>
        <w:widowControl/>
        <w:rPr>
          <w:sz w:val="24"/>
          <w:szCs w:val="24"/>
        </w:rPr>
      </w:pPr>
      <w:r>
        <w:rPr>
          <w:sz w:val="24"/>
          <w:szCs w:val="24"/>
        </w:rPr>
        <w:t>Subject:</w:t>
        <w:tab/>
      </w:r>
      <w:r>
        <w:rPr>
          <w:b/>
          <w:bCs/>
          <w:sz w:val="24"/>
          <w:szCs w:val="24"/>
        </w:rPr>
        <w:t>FCC Alert</w:t>
      </w:r>
    </w:p>
    <w:p>
      <w:pPr>
        <w:pStyle w:val="Normal"/>
        <w:widowControl/>
        <w:rPr>
          <w:sz w:val="24"/>
          <w:szCs w:val="24"/>
        </w:rPr>
      </w:pPr>
      <w:r>
        <w:rPr>
          <w:sz w:val="24"/>
          <w:szCs w:val="24"/>
        </w:rPr>
      </w:r>
    </w:p>
    <w:p>
      <w:pPr>
        <w:pStyle w:val="Normal"/>
        <w:widowControl/>
        <w:rPr/>
      </w:pPr>
      <w:r>
        <w:rPr>
          <w:sz w:val="24"/>
          <w:szCs w:val="24"/>
        </w:rPr>
        <w:t>Date:</w:t>
        <w:tab/>
        <w:tab/>
      </w:r>
      <w:r>
        <w:rPr>
          <w:b/>
          <w:bCs/>
          <w:sz w:val="24"/>
          <w:szCs w:val="24"/>
        </w:rPr>
        <w:t>November 6, 2000</w:t>
      </w:r>
    </w:p>
    <w:p>
      <w:pPr>
        <w:pStyle w:val="Normal"/>
        <w:widowControl/>
        <w:rPr>
          <w:b/>
          <w:bCs/>
          <w:sz w:val="24"/>
          <w:szCs w:val="24"/>
        </w:rPr>
      </w:pPr>
      <w:r>
        <w:rPr>
          <w:b/>
          <w:bCs/>
          <w:sz w:val="24"/>
          <w:szCs w:val="24"/>
        </w:rPr>
      </w:r>
    </w:p>
    <w:p>
      <w:pPr>
        <w:pStyle w:val="Normal"/>
        <w:widowControl/>
        <w:jc w:val="both"/>
        <w:rPr>
          <w:sz w:val="24"/>
          <w:szCs w:val="24"/>
        </w:rPr>
      </w:pPr>
      <w:r>
        <w:rPr>
          <w:sz w:val="24"/>
          <w:szCs w:val="24"/>
        </w:rPr>
        <w:tab/>
        <w:tab/>
        <w:t>All attorneys, especially those involved in merger and acquisition work, should be aware of the fact that the FCC has been imposing significant fines in connection with the unauthorized assignment or transfer of control of radio licenses.  This memorandum provides a brief update on developments in this area and, hopefully, tips for avoiding a problem that can ruin a whole day.</w:t>
      </w:r>
    </w:p>
    <w:p>
      <w:pPr>
        <w:pStyle w:val="Normal"/>
        <w:widowControl/>
        <w:rPr>
          <w:sz w:val="24"/>
          <w:szCs w:val="24"/>
        </w:rPr>
      </w:pPr>
      <w:r>
        <w:rPr>
          <w:sz w:val="24"/>
          <w:szCs w:val="24"/>
        </w:rPr>
      </w:r>
    </w:p>
    <w:p>
      <w:pPr>
        <w:pStyle w:val="Heading1"/>
        <w:widowControl/>
        <w:ind w:hanging="0" w:start="0"/>
        <w:rPr>
          <w:caps w:val="false"/>
          <w:smallCaps w:val="false"/>
          <w:sz w:val="24"/>
          <w:szCs w:val="24"/>
        </w:rPr>
      </w:pPr>
      <w:r>
        <w:rPr>
          <w:caps w:val="false"/>
          <w:smallCaps w:val="false"/>
          <w:sz w:val="24"/>
          <w:szCs w:val="24"/>
        </w:rPr>
        <w:t>Applicable Requirements</w:t>
      </w:r>
    </w:p>
    <w:p>
      <w:pPr>
        <w:pStyle w:val="Normal"/>
        <w:widowControl/>
        <w:rPr>
          <w:caps/>
          <w:sz w:val="24"/>
          <w:szCs w:val="24"/>
        </w:rPr>
      </w:pPr>
      <w:r>
        <w:rPr>
          <w:caps/>
          <w:sz w:val="24"/>
          <w:szCs w:val="24"/>
        </w:rPr>
      </w:r>
    </w:p>
    <w:p>
      <w:pPr>
        <w:pStyle w:val="Normal"/>
        <w:widowControl/>
        <w:ind w:firstLine="1440" w:end="0"/>
        <w:jc w:val="both"/>
        <w:rPr>
          <w:sz w:val="24"/>
          <w:szCs w:val="24"/>
        </w:rPr>
      </w:pPr>
      <w:r>
        <w:rPr>
          <w:sz w:val="24"/>
          <w:szCs w:val="24"/>
        </w:rPr>
        <w:t>As some of you may be aware, many corporate clients operate a variety of radio facilities.  These firms are often not in the communications business, but rather use the radio facilities in support of operations such as manufacturing.  Examples include everything from microwave links and satellite earth stations for long distance communications, to hand-held radios used by plant security guards and assembly-line personnel.  These facilities are properly operated pursuant to licenses issued by the FCC.  Under the law, such licenses may not be assigned, or control of the licensee corporation transferred, without the prior approval of the FCC.  The prior approval requirement obtains regardless of whether the transaction involves a substantial change in ownership or a mere corporate restructuring.</w:t>
      </w:r>
    </w:p>
    <w:p>
      <w:pPr>
        <w:pStyle w:val="Normal"/>
        <w:widowControl/>
        <w:rPr>
          <w:sz w:val="24"/>
          <w:szCs w:val="24"/>
        </w:rPr>
      </w:pPr>
      <w:r>
        <w:rPr>
          <w:sz w:val="24"/>
          <w:szCs w:val="24"/>
        </w:rPr>
      </w:r>
    </w:p>
    <w:p>
      <w:pPr>
        <w:pStyle w:val="Heading1"/>
        <w:widowControl/>
        <w:ind w:hanging="0" w:start="0"/>
        <w:rPr>
          <w:sz w:val="24"/>
          <w:szCs w:val="24"/>
        </w:rPr>
      </w:pPr>
      <w:r>
        <w:rPr>
          <w:sz w:val="24"/>
          <w:szCs w:val="24"/>
        </w:rPr>
        <w:t xml:space="preserve">FCC </w:t>
      </w:r>
      <w:r>
        <w:rPr>
          <w:caps w:val="false"/>
          <w:smallCaps w:val="false"/>
          <w:sz w:val="24"/>
          <w:szCs w:val="24"/>
        </w:rPr>
        <w:t>Enforcement</w:t>
      </w:r>
    </w:p>
    <w:p>
      <w:pPr>
        <w:pStyle w:val="Normal"/>
        <w:widowControl/>
        <w:rPr>
          <w:sz w:val="24"/>
          <w:szCs w:val="24"/>
        </w:rPr>
      </w:pPr>
      <w:r>
        <w:rPr>
          <w:sz w:val="24"/>
          <w:szCs w:val="24"/>
        </w:rPr>
        <w:tab/>
      </w:r>
    </w:p>
    <w:p>
      <w:pPr>
        <w:pStyle w:val="Normal"/>
        <w:widowControl/>
        <w:ind w:firstLine="1440" w:end="0"/>
        <w:jc w:val="both"/>
        <w:rPr>
          <w:sz w:val="24"/>
          <w:szCs w:val="24"/>
        </w:rPr>
      </w:pPr>
      <w:r>
        <w:rPr>
          <w:sz w:val="24"/>
          <w:szCs w:val="24"/>
        </w:rPr>
        <w:t>In a number of instances over the course of the past year, the FCC has fined corporations for having assigned or transferred control of radio licenses without first having secured its approval.  In some instances the fines were in the high six-figure range, in others much less.  Apart from the size of the fine, however, there is the awkwardness associated with discovery that certain regulatory approvals to the closing may not have been obtained.  These situations often arise because the existence of the licenses was not disclosed at the time the deal was being negotiated.  This is frequently the case in large deals where the value of the radio facilities is a tiny fraction of the total consideration.  In other cases, the existence of the licenses may have been known, but no one may have thought that regulatory approval was required to convey them; this most often happens when the deal involves a mere corporate re-structuring.</w:t>
      </w:r>
    </w:p>
    <w:p>
      <w:pPr>
        <w:pStyle w:val="Normal"/>
        <w:widowControl/>
        <w:ind w:firstLine="1440" w:end="0"/>
        <w:jc w:val="both"/>
        <w:rPr>
          <w:sz w:val="24"/>
          <w:szCs w:val="24"/>
        </w:rPr>
      </w:pPr>
      <w:r>
        <w:rPr>
          <w:sz w:val="24"/>
          <w:szCs w:val="24"/>
        </w:rPr>
      </w:r>
    </w:p>
    <w:p>
      <w:pPr>
        <w:pStyle w:val="Normal"/>
        <w:widowControl/>
        <w:ind w:firstLine="1440" w:end="0"/>
        <w:jc w:val="both"/>
        <w:rPr>
          <w:sz w:val="24"/>
          <w:szCs w:val="24"/>
        </w:rPr>
      </w:pPr>
      <w:r>
        <w:rPr>
          <w:sz w:val="24"/>
          <w:szCs w:val="24"/>
        </w:rPr>
        <w:t>Thus, one of the lessons here is to ensure that adequate due diligence is performed so as to learn of the existence of such licenses.  No less important is clear assignment of responsibility for obtaining any necessary approvals.</w:t>
      </w:r>
    </w:p>
    <w:p>
      <w:pPr>
        <w:pStyle w:val="Normal"/>
        <w:widowControl/>
        <w:rPr>
          <w:sz w:val="24"/>
          <w:szCs w:val="24"/>
        </w:rPr>
      </w:pPr>
      <w:r>
        <w:rPr>
          <w:sz w:val="24"/>
          <w:szCs w:val="24"/>
        </w:rPr>
      </w:r>
    </w:p>
    <w:p>
      <w:pPr>
        <w:pStyle w:val="Heading1"/>
        <w:widowControl/>
        <w:ind w:hanging="0" w:start="0"/>
        <w:rPr>
          <w:caps w:val="false"/>
          <w:smallCaps w:val="false"/>
          <w:sz w:val="24"/>
          <w:szCs w:val="24"/>
        </w:rPr>
      </w:pPr>
      <w:r>
        <w:rPr>
          <w:caps w:val="false"/>
          <w:smallCaps w:val="false"/>
          <w:sz w:val="24"/>
          <w:szCs w:val="24"/>
        </w:rPr>
        <w:t>Regulatory Response</w:t>
      </w:r>
    </w:p>
    <w:p>
      <w:pPr>
        <w:pStyle w:val="Normal"/>
        <w:widowControl/>
        <w:rPr>
          <w:caps/>
          <w:sz w:val="24"/>
          <w:szCs w:val="24"/>
        </w:rPr>
      </w:pPr>
      <w:r>
        <w:rPr>
          <w:caps/>
          <w:sz w:val="24"/>
          <w:szCs w:val="24"/>
        </w:rPr>
      </w:r>
    </w:p>
    <w:p>
      <w:pPr>
        <w:pStyle w:val="BodyTextIndent"/>
        <w:widowControl/>
        <w:ind w:firstLine="1440" w:end="0"/>
        <w:jc w:val="both"/>
        <w:rPr>
          <w:sz w:val="24"/>
          <w:szCs w:val="24"/>
        </w:rPr>
      </w:pPr>
      <w:r>
        <w:rPr>
          <w:sz w:val="24"/>
          <w:szCs w:val="24"/>
        </w:rPr>
        <w:t>The Arter &amp; Hadden Communications group in Washington has assisted clients in working through the  issues associated with these kinds of matters.  This can entail counseling as to the means of securing FCC approval in advance of a closing.  It can also entail, where issues surface post-closing, meetings with the staff of the FCC’s Enforcement Bureau to disclose the situation; the preparation of appropriate filings documenting the facts and securing temporary authorization to continue operating the facilities; and occasionally the negotiation of consent decrees.</w:t>
      </w:r>
    </w:p>
    <w:p>
      <w:pPr>
        <w:pStyle w:val="Normal"/>
        <w:widowControl/>
        <w:rPr>
          <w:sz w:val="24"/>
          <w:szCs w:val="24"/>
        </w:rPr>
      </w:pPr>
      <w:r>
        <w:rPr>
          <w:sz w:val="24"/>
          <w:szCs w:val="24"/>
        </w:rPr>
      </w:r>
    </w:p>
    <w:p>
      <w:pPr>
        <w:pStyle w:val="Normal"/>
        <w:widowControl/>
        <w:jc w:val="both"/>
        <w:rPr>
          <w:sz w:val="24"/>
          <w:szCs w:val="24"/>
        </w:rPr>
      </w:pPr>
      <w:r>
        <w:rPr>
          <w:sz w:val="24"/>
          <w:szCs w:val="24"/>
        </w:rPr>
        <w:tab/>
        <w:tab/>
        <w:t>If anyone has questions regarding FCC requirements and processes in this area, do not hesitate to contact the Arter &amp; Hadden Communications Group.</w:t>
      </w:r>
    </w:p>
    <w:p>
      <w:pPr>
        <w:pStyle w:val="Normal"/>
        <w:widowControl/>
        <w:rPr>
          <w:sz w:val="24"/>
          <w:szCs w:val="24"/>
        </w:rPr>
      </w:pPr>
      <w:r>
        <w:rPr>
          <w:sz w:val="24"/>
          <w:szCs w:val="24"/>
        </w:rPr>
      </w:r>
    </w:p>
    <w:p>
      <w:pPr>
        <w:pStyle w:val="Normal"/>
        <w:widowControl/>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Radio_Licenses_Memo.doc</w:t>
      </w:r>
      <w:r>
        <w:rPr>
          <w:sz w:val="16"/>
          <w:szCs w:val="16"/>
        </w:rPr>
        <w:fldChar w:fldCharType="end"/>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caps/>
    </w:rPr>
  </w:style>
  <w:style w:type="paragraph" w:styleId="Heading2">
    <w:name w:val="heading 2"/>
    <w:basedOn w:val="Normal"/>
    <w:next w:val="Normal"/>
    <w:qFormat/>
    <w:pPr>
      <w:keepNext w:val="true"/>
      <w:numPr>
        <w:ilvl w:val="1"/>
        <w:numId w:val="1"/>
      </w:numPr>
      <w:outlineLvl w:val="1"/>
    </w:pPr>
    <w:rPr>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2000-11-06T19:47:00Z</dcterms:created>
  <dc:creator>Property of</dc:creator>
  <dc:description/>
  <dc:language>en-CA</dc:language>
  <cp:lastModifiedBy>Arter &amp; Hadden</cp:lastModifiedBy>
  <cp:lastPrinted>2000-11-06T16:35:00Z</cp:lastPrinted>
  <dcterms:modified xsi:type="dcterms:W3CDTF">2000-11-06T19:47:00Z</dcterms:modified>
  <cp:revision>2</cp:revision>
  <dc:subject/>
  <dc:title>MEMORANDUM</dc:title>
</cp:coreProperties>
</file>