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
        <w:spacing w:before="260" w:after="0"/>
        <w:rPr>
          <w:b/>
        </w:rPr>
      </w:pPr>
      <w:r>
        <w:rPr>
          <w:b/>
        </w:rPr>
        <w:t>IN THE UNITED STATES DISTRICT COURT</w:t>
      </w:r>
    </w:p>
    <w:p>
      <w:pPr>
        <w:pStyle w:val="Center"/>
        <w:rPr>
          <w:b/>
        </w:rPr>
      </w:pPr>
      <w:r>
        <w:rPr>
          <w:b/>
        </w:rPr>
        <w:t>FOR THE EASTERN DISTRICT OF CALIFORNIA</w:t>
      </w:r>
    </w:p>
    <w:p>
      <w:pPr>
        <w:pStyle w:val="Center"/>
        <w:rPr>
          <w:b/>
        </w:rPr>
      </w:pPr>
      <w:r>
        <w:rPr>
          <w:b/>
        </w:rPr>
      </w:r>
    </w:p>
    <w:tbl>
      <w:tblPr>
        <w:tblW w:w="9576" w:type="dxa"/>
        <w:jc w:val="start"/>
        <w:tblInd w:w="0" w:type="dxa"/>
        <w:tblLayout w:type="fixed"/>
        <w:tblCellMar>
          <w:top w:w="0" w:type="dxa"/>
          <w:start w:w="108" w:type="dxa"/>
          <w:bottom w:w="0" w:type="dxa"/>
          <w:end w:w="108" w:type="dxa"/>
        </w:tblCellMar>
      </w:tblPr>
      <w:tblGrid>
        <w:gridCol w:w="5508"/>
        <w:gridCol w:w="450"/>
        <w:gridCol w:w="3618"/>
      </w:tblGrid>
      <w:tr>
        <w:trPr/>
        <w:tc>
          <w:tcPr>
            <w:tcW w:w="5508" w:type="dxa"/>
            <w:tcBorders/>
          </w:tcPr>
          <w:p>
            <w:pPr>
              <w:pStyle w:val="Normal"/>
              <w:snapToGrid w:val="false"/>
              <w:rPr/>
            </w:pPr>
            <w:r>
              <w:rPr/>
            </w:r>
          </w:p>
        </w:tc>
        <w:tc>
          <w:tcPr>
            <w:tcW w:w="450" w:type="dxa"/>
            <w:tcBorders/>
          </w:tcPr>
          <w:p>
            <w:pPr>
              <w:pStyle w:val="Normal"/>
              <w:rPr/>
            </w:pPr>
            <w:r>
              <w:rPr/>
              <w:t>)</w:t>
            </w:r>
          </w:p>
        </w:tc>
        <w:tc>
          <w:tcPr>
            <w:tcW w:w="3618" w:type="dxa"/>
            <w:tcBorders/>
          </w:tcPr>
          <w:p>
            <w:pPr>
              <w:pStyle w:val="Normal"/>
              <w:snapToGrid w:val="false"/>
              <w:rPr/>
            </w:pPr>
            <w:r>
              <w:rPr/>
            </w:r>
          </w:p>
        </w:tc>
      </w:tr>
      <w:tr>
        <w:trPr/>
        <w:tc>
          <w:tcPr>
            <w:tcW w:w="5508" w:type="dxa"/>
            <w:tcBorders/>
          </w:tcPr>
          <w:p>
            <w:pPr>
              <w:pStyle w:val="Normal"/>
              <w:rPr/>
            </w:pPr>
            <w:r>
              <w:rPr/>
              <w:t>In re:</w:t>
            </w:r>
          </w:p>
        </w:tc>
        <w:tc>
          <w:tcPr>
            <w:tcW w:w="450" w:type="dxa"/>
            <w:tcBorders/>
          </w:tcPr>
          <w:p>
            <w:pPr>
              <w:pStyle w:val="Normal"/>
              <w:rPr/>
            </w:pPr>
            <w:r>
              <w:rPr/>
              <w:t>)</w:t>
            </w:r>
          </w:p>
        </w:tc>
        <w:tc>
          <w:tcPr>
            <w:tcW w:w="3618" w:type="dxa"/>
            <w:tcBorders/>
          </w:tcPr>
          <w:p>
            <w:pPr>
              <w:pStyle w:val="Normal"/>
              <w:snapToGrid w:val="false"/>
              <w:rPr/>
            </w:pPr>
            <w:r>
              <w:rPr/>
            </w:r>
          </w:p>
        </w:tc>
      </w:tr>
      <w:tr>
        <w:trPr/>
        <w:tc>
          <w:tcPr>
            <w:tcW w:w="5508" w:type="dxa"/>
            <w:tcBorders/>
          </w:tcPr>
          <w:p>
            <w:pPr>
              <w:pStyle w:val="Normal"/>
              <w:rPr>
                <w:rFonts w:eastAsia="Galliard"/>
              </w:rPr>
            </w:pPr>
            <w:r>
              <w:rPr>
                <w:rFonts w:eastAsia="Galliard"/>
              </w:rPr>
              <w:t xml:space="preserve">      </w:t>
            </w:r>
          </w:p>
        </w:tc>
        <w:tc>
          <w:tcPr>
            <w:tcW w:w="450" w:type="dxa"/>
            <w:tcBorders/>
          </w:tcPr>
          <w:p>
            <w:pPr>
              <w:pStyle w:val="Normal"/>
              <w:rPr/>
            </w:pPr>
            <w:r>
              <w:rPr/>
              <w:t>)</w:t>
            </w:r>
          </w:p>
        </w:tc>
        <w:tc>
          <w:tcPr>
            <w:tcW w:w="3618" w:type="dxa"/>
            <w:tcBorders/>
          </w:tcPr>
          <w:p>
            <w:pPr>
              <w:pStyle w:val="Normal"/>
              <w:rPr/>
            </w:pPr>
            <w:r>
              <w:rPr/>
              <w:t>No.</w:t>
            </w:r>
          </w:p>
        </w:tc>
      </w:tr>
      <w:tr>
        <w:trPr/>
        <w:tc>
          <w:tcPr>
            <w:tcW w:w="5508" w:type="dxa"/>
            <w:tcBorders/>
          </w:tcPr>
          <w:p>
            <w:pPr>
              <w:pStyle w:val="Normal"/>
              <w:snapToGrid w:val="false"/>
              <w:rPr/>
            </w:pPr>
            <w:r>
              <w:rPr/>
            </w:r>
          </w:p>
        </w:tc>
        <w:tc>
          <w:tcPr>
            <w:tcW w:w="450" w:type="dxa"/>
            <w:tcBorders/>
          </w:tcPr>
          <w:p>
            <w:pPr>
              <w:pStyle w:val="Normal"/>
              <w:rPr/>
            </w:pPr>
            <w:r>
              <w:rPr/>
              <w:t>)</w:t>
            </w:r>
          </w:p>
        </w:tc>
        <w:tc>
          <w:tcPr>
            <w:tcW w:w="3618" w:type="dxa"/>
            <w:tcBorders/>
          </w:tcPr>
          <w:p>
            <w:pPr>
              <w:pStyle w:val="Normal"/>
              <w:snapToGrid w:val="false"/>
              <w:rPr/>
            </w:pPr>
            <w:r>
              <w:rPr/>
            </w:r>
          </w:p>
        </w:tc>
      </w:tr>
      <w:tr>
        <w:trPr/>
        <w:tc>
          <w:tcPr>
            <w:tcW w:w="5508" w:type="dxa"/>
            <w:tcBorders/>
          </w:tcPr>
          <w:p>
            <w:pPr>
              <w:pStyle w:val="Normal"/>
              <w:rPr/>
            </w:pPr>
            <w:r>
              <w:rPr/>
              <w:t>Information Provided To The California Senate Select Committee To Investigate Price Manipulation of the Wholesale Energy Market</w:t>
            </w:r>
          </w:p>
        </w:tc>
        <w:tc>
          <w:tcPr>
            <w:tcW w:w="450" w:type="dxa"/>
            <w:tcBorders/>
          </w:tcPr>
          <w:p>
            <w:pPr>
              <w:pStyle w:val="Normal"/>
              <w:rPr/>
            </w:pPr>
            <w:r>
              <w:rPr/>
              <w:t>)</w:t>
            </w:r>
          </w:p>
          <w:p>
            <w:pPr>
              <w:pStyle w:val="Normal"/>
              <w:rPr/>
            </w:pPr>
            <w:r>
              <w:rPr/>
              <w:t>)</w:t>
            </w:r>
          </w:p>
          <w:p>
            <w:pPr>
              <w:pStyle w:val="Normal"/>
              <w:rPr/>
            </w:pPr>
            <w:r>
              <w:rPr/>
              <w:t>)</w:t>
            </w:r>
          </w:p>
        </w:tc>
        <w:tc>
          <w:tcPr>
            <w:tcW w:w="3618" w:type="dxa"/>
            <w:tcBorders/>
          </w:tcPr>
          <w:p>
            <w:pPr>
              <w:pStyle w:val="Normal"/>
              <w:snapToGrid w:val="false"/>
              <w:rPr/>
            </w:pPr>
            <w:r>
              <w:rPr/>
            </w:r>
          </w:p>
        </w:tc>
      </w:tr>
    </w:tbl>
    <w:p>
      <w:pPr>
        <w:pStyle w:val="Normal"/>
        <w:rPr/>
      </w:pPr>
      <w:r>
        <w:rPr/>
      </w:r>
    </w:p>
    <w:p>
      <w:pPr>
        <w:pStyle w:val="Center"/>
        <w:rPr>
          <w:b/>
        </w:rPr>
      </w:pPr>
      <w:r>
        <w:rPr>
          <w:b/>
        </w:rPr>
        <w:t>PROTECTIVE ORDER</w:t>
      </w:r>
    </w:p>
    <w:p>
      <w:pPr>
        <w:pStyle w:val="Normal"/>
        <w:rPr>
          <w:b/>
        </w:rPr>
      </w:pPr>
      <w:r>
        <w:rPr>
          <w:b/>
        </w:rPr>
      </w:r>
    </w:p>
    <w:p>
      <w:pPr>
        <w:pStyle w:val="Normal"/>
        <w:rPr/>
      </w:pPr>
      <w:r>
        <w:rPr/>
        <w:t>This Protective Order is entered into with respect to the following facts and circumstances:</w:t>
      </w:r>
    </w:p>
    <w:p>
      <w:pPr>
        <w:pStyle w:val="Normal"/>
        <w:rPr/>
      </w:pPr>
      <w:r>
        <w:rPr/>
      </w:r>
    </w:p>
    <w:p>
      <w:pPr>
        <w:pStyle w:val="Normal"/>
        <w:spacing w:lineRule="auto" w:line="360" w:before="0" w:after="360"/>
        <w:ind w:firstLine="720" w:end="0"/>
        <w:rPr/>
      </w:pPr>
      <w:r>
        <w:rPr/>
        <w:t>The California Senate has created a select committee to investigate the marketing and pricing of electricity with respect to the wholesale energy market in California during 2000;</w:t>
      </w:r>
    </w:p>
    <w:p>
      <w:pPr>
        <w:pStyle w:val="Normal"/>
        <w:spacing w:lineRule="auto" w:line="360" w:before="0" w:after="360"/>
        <w:ind w:firstLine="720" w:end="0"/>
        <w:rPr/>
      </w:pPr>
      <w:r>
        <w:rPr/>
        <w:t xml:space="preserve">The Senate Committee desires to obtain certain information and documents from various entities which have been involved in the business of generating and/or marketing of electricity in California; </w:t>
      </w:r>
    </w:p>
    <w:p>
      <w:pPr>
        <w:pStyle w:val="Normal"/>
        <w:spacing w:lineRule="auto" w:line="360" w:before="0" w:after="360"/>
        <w:ind w:firstLine="720" w:end="0"/>
        <w:rPr/>
      </w:pPr>
      <w:r>
        <w:rPr/>
        <w:t>The entities involved in the generating/marketing of electricity in the State of California are subject to the jurisdiction of the Federal Energy Regulatory Commission (“FERC”), which has various regulatory powers with respect to electric generation, supply and delivery in the United States; and</w:t>
      </w:r>
    </w:p>
    <w:p>
      <w:pPr>
        <w:pStyle w:val="Normal"/>
        <w:spacing w:lineRule="auto" w:line="360" w:before="0" w:after="360"/>
        <w:ind w:firstLine="720" w:end="0"/>
        <w:rPr/>
      </w:pPr>
      <w:r>
        <w:rPr/>
        <w:t>Under the Federal Power Act, 16 U.S.C. § 824d, FERC has jurisdiction involving, among others, all sales of electric energy at wholesale and in interstate commerce.</w:t>
      </w:r>
    </w:p>
    <w:p>
      <w:pPr>
        <w:pStyle w:val="Normal"/>
        <w:ind w:firstLine="720" w:end="0"/>
        <w:rPr/>
      </w:pPr>
      <w:r>
        <w:rPr/>
        <w:t xml:space="preserve">WHEREFORE:  IT IS HEREBY ORDERED AS FOLLOWS:  </w:t>
      </w:r>
    </w:p>
    <w:p>
      <w:pPr>
        <w:pStyle w:val="Normal"/>
        <w:ind w:firstLine="720" w:end="0"/>
        <w:rPr/>
      </w:pPr>
      <w:r>
        <w:rPr/>
      </w:r>
    </w:p>
    <w:p>
      <w:pPr>
        <w:pStyle w:val="Heading7"/>
        <w:ind w:hanging="0" w:start="0"/>
        <w:rPr/>
      </w:pPr>
      <w:r>
        <w:rPr>
          <w:i/>
        </w:rPr>
        <w:t>Scope</w:t>
      </w:r>
      <w:r>
        <w:rPr/>
        <w:t xml:space="preserve">.  This Protective Order shall govern the use of all Protected Materials produced by, or on behalf of, any Respondent, as defined below.  </w:t>
      </w:r>
    </w:p>
    <w:p>
      <w:pPr>
        <w:pStyle w:val="Heading7"/>
        <w:ind w:hanging="0" w:start="0"/>
        <w:rPr/>
      </w:pPr>
      <w:r>
        <w:rPr>
          <w:i/>
        </w:rPr>
        <w:t xml:space="preserve">Designation.  </w:t>
      </w:r>
      <w:r>
        <w:rPr/>
        <w:t>A Respondent may designate as protected those materials which customarily have been treated by that Respondent as sensitive or proprietary, and which the Respondent has not available to the public.</w:t>
      </w:r>
    </w:p>
    <w:p>
      <w:pPr>
        <w:pStyle w:val="Heading7"/>
        <w:ind w:hanging="0" w:start="0"/>
        <w:rPr/>
      </w:pPr>
      <w:r>
        <w:rPr>
          <w:i/>
        </w:rPr>
        <w:t>Definitions.</w:t>
      </w:r>
      <w:r>
        <w:rPr/>
        <mc:AlternateContent>
          <mc:Choice Requires="wps">
            <w:drawing>
              <wp:anchor behindDoc="0" distT="0" distB="0" distL="114935" distR="114935" simplePos="0" locked="0" layoutInCell="1" allowOverlap="1" relativeHeight="13">
                <wp:simplePos x="0" y="0"/>
                <wp:positionH relativeFrom="column">
                  <wp:posOffset>-822960</wp:posOffset>
                </wp:positionH>
                <wp:positionV relativeFrom="paragraph">
                  <wp:posOffset>635</wp:posOffset>
                </wp:positionV>
                <wp:extent cx="91440" cy="91440"/>
                <wp:effectExtent l="5080" t="5080" r="5080" b="5080"/>
                <wp:wrapNone/>
                <wp:docPr id="1"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r>
        <w:rPr/>
        <w:t xml:space="preserve">   For purposes of this Order:</w:t>
      </w:r>
    </w:p>
    <w:p>
      <w:pPr>
        <w:pStyle w:val="Heading3"/>
        <w:numPr>
          <w:ilvl w:val="2"/>
          <w:numId w:val="5"/>
        </w:numPr>
        <w:ind w:hanging="0" w:start="0"/>
        <w:rPr/>
      </w:pPr>
      <w:r>
        <w:rPr/>
        <w:t>The term “Respondent” shall mean a person or entity (or their authorized representative) who provides information or documents voluntarily, or pursuant to a subpoena or request for documents or information issued by the California State Senate Select Committee to Investigate Price Manipulation of the Wholesale Energy Market directing the production of witnesses, documents or other items to the Committee, or the owner or originator of documents or information that is the subject of such a subpoena or request for documents or information.</w:t>
      </w:r>
    </w:p>
    <w:p>
      <w:pPr>
        <w:pStyle w:val="Heading3"/>
        <w:ind w:hanging="0" w:start="0"/>
        <w:rPr/>
      </w:pPr>
      <w:r>
        <w:rPr/>
        <w:t>The term “Committee” shall mean the California State Senate Select Committee to Investigate Price Manipulation of the Wholesale Energy Market.</w:t>
      </w:r>
    </w:p>
    <w:p>
      <w:pPr>
        <w:pStyle w:val="Heading3"/>
        <w:ind w:hanging="0" w:start="0"/>
        <w:rPr/>
      </w:pPr>
      <w:r>
        <w:rPr/>
        <w:t xml:space="preserve">(1)  The term “Protected Materials” means (a) materials (including deposition or other testimony) provided by a Respondent in response to subpoena or  other request and designated by such Respondent as protected; (b) any information contained in or obtained from such designated materials; (c) any other materials which are made subject to this Protective Order by this Court or any other court or other agency having appropriate authority, or by agreement of any Respondent and the Committee; (d) notes of Protected Materials; and (e) copies of Protected Materials.  The Respondent producing the Protected Materials shall physically mark them on each page as “PROTECTED MATERIALS” or with words of similar import as long as the term “Protected Materials” is included in that designation to indicate that they are Protected Materials.  </w:t>
        <w:br/>
        <w:br/>
        <w:t>(2)  The term “Notes of Protected Materials” means memoranda, handwritten notes, or any other form of record (including in electronic form) which copies or discloses the substance of materials or information described in Paragraph 3(c)(1).  Notes of Protected Materials are subject to the same restrictions provided in this order for Protected Materials except as specifically provided in this order.</w:t>
      </w:r>
    </w:p>
    <w:p>
      <w:pPr>
        <w:pStyle w:val="Heading3"/>
        <w:ind w:hanging="0" w:start="0"/>
        <w:rPr/>
      </w:pPr>
      <w:r>
        <w:rPr/>
        <w:t xml:space="preserve">The term “Non-Disclosure Certificate” shall mean the certificate annexed hereto by which persons who have been granted access to Protected Materials shall certify their understanding that such access to Protected Materials is provided pursuant to the terms and restrictions of this Protective Order, and that such persons have read the Protective Order and agree to be bound by it.  </w:t>
      </w:r>
    </w:p>
    <w:p>
      <w:pPr>
        <w:pStyle w:val="Heading3"/>
        <w:ind w:hanging="0" w:start="0"/>
        <w:rPr/>
      </w:pPr>
      <w:r>
        <w:rPr/>
        <w:t xml:space="preserve">The term “Authorized Person” shall mean a person who has signed a Non-Disclosure Certificate and who is: </w:t>
      </w:r>
    </w:p>
    <w:p>
      <w:pPr>
        <w:pStyle w:val="Heading4"/>
        <w:ind w:hanging="0" w:start="0"/>
        <w:rPr/>
      </w:pPr>
      <w:r>
        <w:rPr/>
        <w:t xml:space="preserve">a current or replacement Committee Member who is not a party to a  suit or proceeding against a Respondent; </w:t>
      </w:r>
    </w:p>
    <w:p>
      <w:pPr>
        <w:pStyle w:val="Heading4"/>
        <w:ind w:hanging="0" w:start="0"/>
        <w:rPr/>
      </w:pPr>
      <w:r>
        <w:rPr/>
        <w:t>a Committee Member’s regularly employed permanent staff;</w:t>
      </w:r>
    </w:p>
    <w:p>
      <w:pPr>
        <w:pStyle w:val="Heading4"/>
        <w:ind w:hanging="0" w:start="0"/>
        <w:rPr/>
      </w:pPr>
      <w:r>
        <w:rPr/>
        <w:t xml:space="preserve">an attorney, consultant or an expert (or an employee of an attorney, consultant or expert) retained by the Committee for the purpose of advising, preparing for or testifying in this proceeding; or </w:t>
      </w:r>
    </w:p>
    <w:p>
      <w:pPr>
        <w:pStyle w:val="Heading4"/>
        <w:ind w:hanging="0" w:start="0"/>
        <w:rPr/>
      </w:pPr>
      <w:r>
        <w:rPr/>
        <w:t xml:space="preserve">a Respondent’s “designated representative” who shall have access only to the Protected Materials produced by a third party which originated with such Respondent or which has been aggregated with information relating to other market participants and cannot through reasonable effort be disaggregated.   The  “designated representative” shall not be a person employed with its Respondent, nor one who performs marketing or sales functions for such Respondent.  Such designated representative shall not disclose the substance of any Protected Materials it reviews to any person employed by the Respondent whom (s)he is designated.  </w:t>
      </w:r>
    </w:p>
    <w:p>
      <w:pPr>
        <w:pStyle w:val="Heading4"/>
        <w:numPr>
          <w:ilvl w:val="0"/>
          <w:numId w:val="0"/>
        </w:numPr>
        <w:ind w:hanging="0" w:start="2736" w:end="0"/>
        <w:rPr/>
      </w:pPr>
      <w:r>
        <w:rPr/>
        <w:t>“</w:t>
      </w:r>
      <w:r>
        <w:rPr/>
        <w:t xml:space="preserve">Authorized Person” shall not include anyone whose employment includes marketing of energy (either gas or electric products or services), supervision of any employee(s) whose duties include the marketing of gas or electric energy products or services, provision of consulting services to any person whose duties include the marketing of energy products or services (either gas or electric), or the supervision of any employee(s) whose duties include the marketing of such energy products or services.  Nor shall it include any person employed or retained by any person or entity that has or intends to assert a claim against a Respondent, or a governmental agency responsible for regulating the conduct of any Respondent.  </w:t>
      </w:r>
    </w:p>
    <w:p>
      <w:pPr>
        <w:pStyle w:val="Heading7"/>
        <w:numPr>
          <w:ilvl w:val="6"/>
          <w:numId w:val="4"/>
        </w:numPr>
        <w:rPr/>
      </w:pPr>
      <w:r>
        <w:rPr>
          <w:i/>
        </w:rPr>
        <w:t>Availability.</w:t>
      </w:r>
      <w:r>
        <w:rPr/>
        <w:t xml:space="preserve">  Protected Materials shall be made available under the terms of this Protective Order only to Authorized Persons.  No one shall provide anyone other than an Authorized Person with access to Protected Materials.  No attorney, consultant or expert (or their employees) may be an Authorized person if (s)he is retained or employed by (a) any person or entity that has or intends to assert a claim against a Respondent, or (b) a governmental agency responsible for regulating the conduct of any Respondent.</w:t>
      </w:r>
    </w:p>
    <w:p>
      <w:pPr>
        <w:pStyle w:val="Heading7"/>
        <w:numPr>
          <w:ilvl w:val="6"/>
          <w:numId w:val="4"/>
        </w:numPr>
        <w:rPr/>
      </w:pPr>
      <w:r>
        <w:rPr>
          <w:i/>
        </w:rPr>
        <w:t>Information acquired from third parties.</w:t>
      </w:r>
      <w:r>
        <w:rPr/>
        <w:t xml:space="preserve">  To protect from disclosure documents or information that a Respondent previously provided confidentially to a third party, and which the Committee wishes to receive from such third party rather than directly from the Respondent, the Committee shall afford to the Respondent an opportunity to review the documents or information provided by the third party and to designate such documents or information as Protected Material under this Order.  Such review shall be accomplished promptly after the Committee provides notice of its receipt of such documents or information from a third party.  Such documents or information shall be treated as Protected Materials after receipt by the Committee until after the Respondent has had a reasonable opportunity to review the information and/or documents.</w:t>
      </w:r>
    </w:p>
    <w:p>
      <w:pPr>
        <w:pStyle w:val="Heading7"/>
        <w:numPr>
          <w:ilvl w:val="6"/>
          <w:numId w:val="4"/>
        </w:numPr>
        <w:rPr/>
      </w:pPr>
      <w:r>
        <w:rPr>
          <w:i/>
        </w:rPr>
        <w:t>Temporal limitations.</w:t>
      </w:r>
      <w:r>
        <w:rPr/>
        <w:t xml:space="preserve">  Protected Materials shall remain available to the Committee until the later of the termination of the Committee’s investigation or the end of this legislative session.  If requested to do so in writing after that date, the Committee shall, within ten (10) business days of such request, return the Protected Materials (excluding Notes of  Protected Materials) to the Respondent that produced them or their originator, or shall destroy the materials, except that copies of official transcripts and exhibits in this proceeding that contain Protected Materials, and Notes of Protected Material may be retained, if they are maintained in accordance with Paragraph 7, below.   Each Authorized Person, if requested to do so, shall also submit to the producing Respondent and any Respondent that owns or originated the Protected Materials, an affidavit stating that, to the best of its knowledge, all Protected Materials and all Notes of Protected Materials have been returned or have been destroyed or will be maintained in accordance with Paragraph 7.  At the Committee’s request, a Respondent to whom Protected Materials are returned in accordance with this Paragraph 6 shall provide a list of the identifying numbers of such Protected Materials, and retain the Protected Materials for a period of twenty-four months following their return.  Protected Materials neither returned nor destroyed shall remain subject to this Protective Order.</w:t>
      </w:r>
    </w:p>
    <w:p>
      <w:pPr>
        <w:pStyle w:val="Heading7"/>
        <w:numPr>
          <w:ilvl w:val="6"/>
          <w:numId w:val="4"/>
        </w:numPr>
        <w:rPr/>
      </w:pPr>
      <w:r>
        <w:rPr>
          <w:i/>
        </w:rPr>
        <w:t>Maintenance of protected materials.</w:t>
      </w:r>
      <w:r>
        <w:rPr/>
        <w:t xml:space="preserve">  All Protected Materials shall be maintained by the Committee in a secure place.  Access to those materials shall be limited to those Authorized Persons specifically authorized pursuant to Paragraph 10.  The Committee shall place any Protected Materials provided to the Committee in a secure, non-public repository.  By placing such documents in a non-public repository, the Committee is not making a determination of any claim of confidentiality.  The Committee shall have the right to challenge any claim of confidentiality in the manner described herein.</w:t>
      </w:r>
    </w:p>
    <w:p>
      <w:pPr>
        <w:pStyle w:val="Heading7"/>
        <w:ind w:hanging="0" w:start="0"/>
        <w:rPr/>
      </w:pPr>
      <w:r>
        <w:rPr>
          <w:i/>
        </w:rPr>
        <w:t xml:space="preserve">Requests for access. </w:t>
      </w:r>
      <w:r>
        <w:rPr/>
        <w:t xml:space="preserve"> If the Committee or an Authorized Person (collectively, for purposes of this Paragraph 8, “the Committee”) receives a Public Records Act</w:t>
      </w:r>
      <w:r>
        <w:rPr>
          <w:rStyle w:val="FootnoteCharacters"/>
          <w:rStyle w:val="FootnoteReference"/>
        </w:rPr>
        <w:footnoteReference w:id="2"/>
      </w:r>
      <w:r>
        <w:rPr/>
        <w:t xml:space="preserve"> (“PRA”), Legislative Open Records Act (“LORA”)</w:t>
      </w:r>
      <w:r>
        <w:rPr>
          <w:rStyle w:val="FootnoteCharacters"/>
          <w:rStyle w:val="FootnoteReference"/>
        </w:rPr>
        <w:footnoteReference w:id="3"/>
      </w:r>
      <w:r>
        <w:rPr/>
        <w:t xml:space="preserve"> or other form of  request for Protected Materials (“the request”), the Committee will review the request and make a determination as to which, if any, of the Protected Materials responsive to the request fall within the exclusions listed in Government Code Section 9075 or if there is some public interest served by withholding the records.  In addition, the Committee will notify the Respondent who submitted the Protected Materials and any Respondent that owns or originated the Protected Materials and give Respondent(s) at least ten (10) business days (hereafter “the review period”) in which to comment in writing on the request.  The Committee shall not release Protected Materials to a requester during the review period, or, to the extent a Respondent has objected to their release, after the review period, until and unless there has been entered a binding and final court order mandating such disclosure.  If a requester initiates legal proceedings to compel disclosure of Protected Materials, the Committee will notify immediately the Respondent(s) who submitted Protected Materials and any Respondent that owns or originated the Protected Materials of the pendency of the proceeding.   Such Respondent(s) shall be responsible for appearing and defending against disclosure of the Protected Materials, and shall have standing to assert objections to such disclosure.  </w:t>
      </w:r>
    </w:p>
    <w:p>
      <w:pPr>
        <w:pStyle w:val="Heading7"/>
        <w:ind w:hanging="0" w:start="0"/>
        <w:rPr/>
      </w:pPr>
      <w:r>
        <w:rPr>
          <w:i/>
        </w:rPr>
        <w:t>Use of Protected Materials.</w:t>
      </w:r>
      <w:r>
        <w:rPr/>
        <w:t xml:space="preserve">  Protected Materials shall be treated as confidential by the Committee and by each Authorized Person in accordance with the certificate executed pursuant to Paragraph 10.  Protected Materials shall not be used except as necessary for the conduct of the Committee’s investigation, nor shall they be disclosed in any manner to any person except an Authorized Person who is engaged in the conduct of the Committee’s investigation and needs access to the Protected Materials in order to carry out that person’s responsibilities in the Committee’s investigation.  Authorized Persons may make copies of Protected Materials, but such copies become Protected Materials.  Authorized Persons may make notes of Protected Materials, which shall be treated as Notes of Protected Materials if they disclose the substance of Protected Materials. </w:t>
      </w:r>
    </w:p>
    <w:p>
      <w:pPr>
        <w:pStyle w:val="Heading7"/>
        <w:ind w:hanging="0" w:start="0"/>
        <w:rPr/>
      </w:pPr>
      <w:r>
        <w:rPr>
          <w:i/>
        </w:rPr>
        <w:t xml:space="preserve">Authorized persons.  </w:t>
      </w:r>
    </w:p>
    <w:p>
      <w:pPr>
        <w:pStyle w:val="Heading8"/>
        <w:ind w:hanging="0" w:start="0"/>
        <w:rPr/>
      </w:pPr>
      <w:r>
        <w:rPr/>
        <w:t>An Authorized Person shall not be permitted to inspect, participate in discussions regarding, or otherwise be permitted access to Protected Materials pursuant to this Protective Order unless that Authorized Person has first executed a Non-Disclosure Certificate, provided that if an attorney qualified as an Authorized Person has executed such a certificate, the paralegals, secretarial and clerical personnel under the attorney’s instruction, supervision or control need not do so.  A copy of each Non-Disclosure Certificate shall be provided to counsel for the Respondent(s) asserting confidentiality prior to disclosure of any Protected Material to that Authorized Person.</w:t>
      </w:r>
    </w:p>
    <w:p>
      <w:pPr>
        <w:pStyle w:val="Heading8"/>
        <w:ind w:hanging="0" w:start="0"/>
        <w:rPr/>
      </w:pPr>
      <w:r>
        <w:rPr/>
        <w:t>Authorized Persons are responsible for ensuring that persons under their supervision or control comply with this Order.</w:t>
      </w:r>
    </w:p>
    <w:p>
      <w:pPr>
        <w:pStyle w:val="Heading8"/>
        <w:ind w:hanging="0" w:start="0"/>
        <w:rPr/>
      </w:pPr>
      <w:r>
        <w:rPr/>
        <w:t>Any Authorized Person may disclose Protected Materials to any other Authorized Person if both the disclosing and the receiving Authorized Persons have executed a Non-Disclosure Certificate.  If an Authorized Person to whom the Protected Materials are disclosed ceases to be engaged in the Committee’s investigation, or is employed or retained for a position whose occupant is not qualified to be an Authorized Person under Paragraphs 3, access to Protected Materials by that person shall be terminated.  Even if no longer engaged in the Committee’s investigation, every person who has executed a Non-Disclosure Certificate shall continue to be bound by the provisions of this Protective Order and the certification.</w:t>
      </w:r>
    </w:p>
    <w:p>
      <w:pPr>
        <w:pStyle w:val="Heading8"/>
        <w:ind w:hanging="0" w:start="0"/>
        <w:rPr/>
      </w:pPr>
      <w:r>
        <w:rPr/>
        <w:t>Any Authorized Person who ceases to meet the definition of “Authorized Person” in Paragraph 3(e) above immediately shall return to the Committee all Protected Materials and any notes or documents reflecting the contents of those Protected Materials.</w:t>
      </w:r>
    </w:p>
    <w:p>
      <w:pPr>
        <w:pStyle w:val="Heading7"/>
        <w:ind w:hanging="0" w:start="0"/>
        <w:rPr/>
      </w:pPr>
      <w:r>
        <w:rPr>
          <w:i/>
        </w:rPr>
        <w:t>Disputes.</w:t>
      </w:r>
      <w:r>
        <w:rPr/>
        <w:t xml:space="preserve">  This Court shall resolve any dispute arising under this Protective Order.  Prior to presenting any dispute under this Protective Order to this Court, the parties to the dispute shall use their best efforts to resolve it.  </w:t>
      </w:r>
    </w:p>
    <w:p>
      <w:pPr>
        <w:pStyle w:val="Heading8"/>
        <w:ind w:hanging="0" w:start="0"/>
        <w:rPr/>
      </w:pPr>
      <w:r>
        <w:rPr/>
        <w:t xml:space="preserve">If the Committee contests the designation of materials as protected, it shall notify the producing Respondent and any Respondent that owns or originated the materials, by specifying in writing the materials whose designation is contested.  </w:t>
      </w:r>
    </w:p>
    <w:p>
      <w:pPr>
        <w:pStyle w:val="Heading8"/>
        <w:ind w:hanging="0" w:start="0"/>
        <w:rPr/>
      </w:pPr>
      <w:r>
        <w:rPr/>
        <w:t xml:space="preserve">If the Committee desires to include, utilize or refer to any Protected Material or information derived therefrom in testimony or exhibits during any hearing in its investigation in such a manner that might require disclosure of such material to persons other than Authorized Persons, the Committee shall first notify counsel for the Respondent that designated the materials as Protected Materials of such desire, identifying with particularity each of the Protected Materials.  </w:t>
      </w:r>
    </w:p>
    <w:p>
      <w:pPr>
        <w:pStyle w:val="Heading8"/>
        <w:ind w:hanging="0" w:start="0"/>
        <w:rPr/>
      </w:pPr>
      <w:r>
        <w:rPr/>
        <w:t xml:space="preserve">This Protective Order shall automatically cease to apply to Protected Materials that are the subject of a notification made pursuant to subparagraph (a) or (b) above ten (10) business days after such notification, unless a Respondent receiving such notification, within said ten day period, files a motion with the Court seeking to continue the protected status of the materials.    </w:t>
      </w:r>
    </w:p>
    <w:p>
      <w:pPr>
        <w:pStyle w:val="Heading7"/>
        <w:ind w:hanging="0" w:start="0"/>
        <w:rPr/>
      </w:pPr>
      <w:r>
        <w:rPr>
          <w:i/>
        </w:rPr>
        <w:t>Procedures Governing Disputes.</w:t>
      </w:r>
      <w:r>
        <w:rPr/>
        <w:t xml:space="preserve">  In connection with any dispute arising under this Protective Order:</w:t>
      </w:r>
    </w:p>
    <w:p>
      <w:pPr>
        <w:pStyle w:val="Heading8"/>
        <w:ind w:hanging="0" w:start="0"/>
        <w:rPr/>
      </w:pPr>
      <w:r>
        <w:rPr/>
        <w:t xml:space="preserve">Any materials submitted to the Court that have been designated as Protected Materials, including any portions of any hearing testimony, exhibits, transcripts, briefs and other documents that refer to Protected Materials, shall be submitted in sealed envelopes or other appropriate containers endorsed to the effect that they are sealed pursuant to this Protective Order.  For anything filed under seal, redacted versions or, where an entire document is protected, a document reflecting that fact, also will be filed with the Court.  Counsel shall take all reasonable precautions necessary to assure that Protected Materials are not distributed to unauthorized persons. </w:t>
      </w:r>
    </w:p>
    <w:p>
      <w:pPr>
        <w:pStyle w:val="Heading8"/>
        <w:ind w:hanging="0" w:start="0"/>
        <w:rPr/>
      </w:pPr>
      <w:r>
        <w:rPr/>
        <w:t xml:space="preserve">All hearings on objections and arguments related to Protected Materials that are the subject of any dispute shall be conducted </w:t>
      </w:r>
      <w:r>
        <w:rPr>
          <w:i/>
        </w:rPr>
        <w:t>in camera</w:t>
      </w:r>
      <w:r>
        <w:rPr/>
        <w:t xml:space="preserve"> and closed to all parties except the Respondent that designated the materials as Protected Materials, the Committee, and their counsel.  That portion of any hearing transcript which refers to such Protected Materials shall be sealed and be subject to this Protective Order.  </w:t>
      </w:r>
    </w:p>
    <w:p>
      <w:pPr>
        <w:pStyle w:val="Heading7"/>
        <w:ind w:hanging="0" w:start="0"/>
        <w:rPr/>
      </w:pPr>
      <w:r>
        <w:rPr>
          <w:i/>
        </w:rPr>
        <w:t>Reservations.</w:t>
      </w:r>
      <w:r>
        <w:rPr/>
        <w:t xml:space="preserve">  </w:t>
      </w:r>
    </w:p>
    <w:p>
      <w:pPr>
        <w:pStyle w:val="Heading8"/>
        <w:ind w:hanging="0" w:start="0"/>
        <w:rPr/>
      </w:pPr>
      <w:r>
        <w:rPr/>
        <w:t>Nothing in this Protective Order shall be construed as precluding any Respondent from objecting to the use or disclosure of Protected Materials on any legal grounds.  Nor shall this Protective Order preclude the Committee or any Respondent from requesting the Court, the Committee, or any other agency or body having appropriate authority, to find that this Protective Order should not apply to all or any materials previously designated as Protected Materials pursuant to this Protective Order.  The Court may, after notice and an opportunity to be heard, alter or amend this Protective Order as circumstances warrant for good cause shown.</w:t>
      </w:r>
    </w:p>
    <w:p>
      <w:pPr>
        <w:pStyle w:val="Heading8"/>
        <w:ind w:hanging="0" w:start="0"/>
        <w:rPr/>
      </w:pPr>
      <w:r>
        <w:rPr/>
        <w:t>Each person whose information or documents are or could be treated as Protected Material under this Protective Order has the right to seek changes in it as appropriate from the Court, including the right to seek added or different protections for information and/or documents that are to be provided to the Committee, and also has the right to refuse to produce information and/or documents on the grounds that the protections provided herein are insufficient or inadequate.</w:t>
      </w:r>
    </w:p>
    <w:p>
      <w:pPr>
        <w:pStyle w:val="Heading8"/>
        <w:ind w:hanging="0" w:start="0"/>
        <w:rPr/>
      </w:pPr>
      <w:r>
        <w:rPr/>
        <w:t xml:space="preserve">If after the entry of this Protective Order it is decided that this Protective Order cannot be enforced so as to afford Respondents the entire protection for which it provides, the Committee and all Authorized Persons shall return to their respective Respondents and third parties the documents and information previously provided to the Committee as Protected Materials in reliance upon this Order.  Such return shall be without prejudice the Committee’s right to seek to compel production of the returned Protected Materials on any terms it believes appropriate.  </w:t>
      </w:r>
    </w:p>
    <w:p>
      <w:pPr>
        <w:pStyle w:val="Heading7"/>
        <w:ind w:hanging="0" w:start="0"/>
        <w:rPr/>
      </w:pPr>
      <w:r>
        <w:rPr>
          <w:i/>
        </w:rPr>
        <w:t>Court Orders.</w:t>
      </w:r>
      <w:r>
        <w:rPr/>
        <w:t xml:space="preserve">  If the Court finds at any time that some or all Protected Materials need not be protected, those materials shall nevertheless be afforded the protections of this Protective Order for five (5) business days from the date of issuance of such a Court order and, if the Respondent seeking protection seeks to appeal such order, until such order becomes final and no longer subject to further appeal.</w:t>
      </w:r>
    </w:p>
    <w:p>
      <w:pPr>
        <w:pStyle w:val="Heading7"/>
        <w:ind w:hanging="0" w:start="0"/>
        <w:rPr/>
      </w:pPr>
      <w:r>
        <w:rPr>
          <w:i/>
        </w:rPr>
        <w:t>Limits on Effect of This Order.</w:t>
      </w:r>
      <w:r>
        <w:rPr/>
        <w:t xml:space="preserve">  Respondents may pursue any other legal or equitable remedies that may be available in the event of actual or anticipated disclosure of Protected Materials.  Participation in this proceeding or provision of documents or information under this Order, is not intended to, and shall neither constitute nor be construed to be, a waiver of any objection that any party may have to the service of any request or subpoena upon it, or an acknowledgement that the Committee or the Court may lawfully exercise jurisdiction over the Respondent.  Nor shall a Respondent’s production of Protected Material, a designation of material produced by a third party as Protected Material, or submission of a dispute concerning Protected Material for resolution by the Court, constitute a consent to jurisdiction of the Court or the Committee for any other purpose.  Each Respondent continues to reserve the right to contest the scope and effect of any request made of it by the Committee or otherwise.  </w:t>
      </w:r>
    </w:p>
    <w:p>
      <w:pPr>
        <w:pStyle w:val="SignatureBlock"/>
        <w:rPr/>
      </w:pPr>
      <w:r>
        <w:rPr/>
      </w:r>
    </w:p>
    <w:p>
      <w:pPr>
        <w:pStyle w:val="SignatureBlock"/>
        <w:rPr/>
      </w:pPr>
      <w:r>
        <w:rPr/>
      </w:r>
    </w:p>
    <w:p>
      <w:pPr>
        <w:pStyle w:val="SignatureBlock"/>
        <w:rPr/>
      </w:pPr>
      <w:r>
        <w:rPr/>
      </w:r>
    </w:p>
    <w:p>
      <w:pPr>
        <w:pStyle w:val="SignatureBlock"/>
        <w:rPr/>
      </w:pPr>
      <w:r>
        <w:rPr/>
        <w:t>____________________________________</w:t>
        <w:br/>
        <w:t>United States District Court Judge</w:t>
      </w:r>
      <w:r>
        <w:br w:type="page"/>
      </w:r>
    </w:p>
    <w:p>
      <w:pPr>
        <w:pStyle w:val="Center"/>
        <w:rPr>
          <w:b/>
        </w:rPr>
      </w:pPr>
      <w:r>
        <w:rPr>
          <w:b/>
        </w:rPr>
        <w:t xml:space="preserve">IN THE UNITED STATES DISTRICT COURT </w:t>
      </w:r>
    </w:p>
    <w:p>
      <w:pPr>
        <w:pStyle w:val="Center"/>
        <w:rPr>
          <w:b/>
        </w:rPr>
      </w:pPr>
      <w:r>
        <w:rPr>
          <w:b/>
        </w:rPr>
        <w:t xml:space="preserve">FOR THE EASTERN DISTRICT OF CALIFORNIA </w:t>
        <w:br/>
      </w:r>
    </w:p>
    <w:p>
      <w:pPr>
        <w:pStyle w:val="Center"/>
        <w:rPr>
          <w:b/>
        </w:rPr>
      </w:pPr>
      <w:r>
        <w:rPr>
          <w:b/>
        </w:rPr>
      </w:r>
    </w:p>
    <w:tbl>
      <w:tblPr>
        <w:tblW w:w="9576" w:type="dxa"/>
        <w:jc w:val="start"/>
        <w:tblInd w:w="0" w:type="dxa"/>
        <w:tblLayout w:type="fixed"/>
        <w:tblCellMar>
          <w:top w:w="0" w:type="dxa"/>
          <w:start w:w="108" w:type="dxa"/>
          <w:bottom w:w="0" w:type="dxa"/>
          <w:end w:w="108" w:type="dxa"/>
        </w:tblCellMar>
      </w:tblPr>
      <w:tblGrid>
        <w:gridCol w:w="5508"/>
        <w:gridCol w:w="450"/>
        <w:gridCol w:w="3618"/>
      </w:tblGrid>
      <w:tr>
        <w:trPr>
          <w:trHeight w:val="252" w:hRule="atLeast"/>
        </w:trPr>
        <w:tc>
          <w:tcPr>
            <w:tcW w:w="5508" w:type="dxa"/>
            <w:tcBorders/>
          </w:tcPr>
          <w:p>
            <w:pPr>
              <w:pStyle w:val="Normal"/>
              <w:snapToGrid w:val="false"/>
              <w:rPr/>
            </w:pPr>
            <w:r>
              <w:rPr/>
            </w:r>
          </w:p>
        </w:tc>
        <w:tc>
          <w:tcPr>
            <w:tcW w:w="450" w:type="dxa"/>
            <w:tcBorders/>
          </w:tcPr>
          <w:p>
            <w:pPr>
              <w:pStyle w:val="Normal"/>
              <w:rPr/>
            </w:pPr>
            <w:r>
              <w:rPr/>
              <w:t>)</w:t>
            </w:r>
          </w:p>
        </w:tc>
        <w:tc>
          <w:tcPr>
            <w:tcW w:w="3618" w:type="dxa"/>
            <w:tcBorders/>
          </w:tcPr>
          <w:p>
            <w:pPr>
              <w:pStyle w:val="Normal"/>
              <w:snapToGrid w:val="false"/>
              <w:rPr/>
            </w:pPr>
            <w:r>
              <w:rPr/>
            </w:r>
          </w:p>
        </w:tc>
      </w:tr>
      <w:tr>
        <w:trPr/>
        <w:tc>
          <w:tcPr>
            <w:tcW w:w="5508" w:type="dxa"/>
            <w:tcBorders/>
          </w:tcPr>
          <w:p>
            <w:pPr>
              <w:pStyle w:val="Normal"/>
              <w:rPr/>
            </w:pPr>
            <w:r>
              <w:rPr/>
              <w:t>In re:</w:t>
            </w:r>
          </w:p>
        </w:tc>
        <w:tc>
          <w:tcPr>
            <w:tcW w:w="450" w:type="dxa"/>
            <w:tcBorders/>
          </w:tcPr>
          <w:p>
            <w:pPr>
              <w:pStyle w:val="Normal"/>
              <w:rPr/>
            </w:pPr>
            <w:r>
              <w:rPr/>
              <w:t>)</w:t>
            </w:r>
          </w:p>
        </w:tc>
        <w:tc>
          <w:tcPr>
            <w:tcW w:w="3618" w:type="dxa"/>
            <w:tcBorders/>
          </w:tcPr>
          <w:p>
            <w:pPr>
              <w:pStyle w:val="Normal"/>
              <w:snapToGrid w:val="false"/>
              <w:rPr/>
            </w:pPr>
            <w:r>
              <w:rPr/>
            </w:r>
          </w:p>
        </w:tc>
      </w:tr>
      <w:tr>
        <w:trPr/>
        <w:tc>
          <w:tcPr>
            <w:tcW w:w="5508" w:type="dxa"/>
            <w:tcBorders/>
          </w:tcPr>
          <w:p>
            <w:pPr>
              <w:pStyle w:val="Normal"/>
              <w:rPr>
                <w:rFonts w:eastAsia="Galliard"/>
              </w:rPr>
            </w:pPr>
            <w:r>
              <w:rPr>
                <w:rFonts w:eastAsia="Galliard"/>
              </w:rPr>
              <w:t xml:space="preserve">        </w:t>
            </w:r>
          </w:p>
        </w:tc>
        <w:tc>
          <w:tcPr>
            <w:tcW w:w="450" w:type="dxa"/>
            <w:tcBorders/>
          </w:tcPr>
          <w:p>
            <w:pPr>
              <w:pStyle w:val="Normal"/>
              <w:rPr/>
            </w:pPr>
            <w:r>
              <w:rPr/>
              <w:t>)</w:t>
            </w:r>
          </w:p>
        </w:tc>
        <w:tc>
          <w:tcPr>
            <w:tcW w:w="3618" w:type="dxa"/>
            <w:tcBorders/>
          </w:tcPr>
          <w:p>
            <w:pPr>
              <w:pStyle w:val="Normal"/>
              <w:rPr/>
            </w:pPr>
            <w:r>
              <w:rPr/>
              <w:t>No.</w:t>
            </w:r>
          </w:p>
        </w:tc>
      </w:tr>
      <w:tr>
        <w:trPr/>
        <w:tc>
          <w:tcPr>
            <w:tcW w:w="5508" w:type="dxa"/>
            <w:tcBorders/>
          </w:tcPr>
          <w:p>
            <w:pPr>
              <w:pStyle w:val="Normal"/>
              <w:snapToGrid w:val="false"/>
              <w:rPr/>
            </w:pPr>
            <w:r>
              <w:rPr/>
            </w:r>
          </w:p>
        </w:tc>
        <w:tc>
          <w:tcPr>
            <w:tcW w:w="450" w:type="dxa"/>
            <w:tcBorders/>
          </w:tcPr>
          <w:p>
            <w:pPr>
              <w:pStyle w:val="Normal"/>
              <w:rPr/>
            </w:pPr>
            <w:r>
              <w:rPr/>
              <w:t>)</w:t>
            </w:r>
          </w:p>
        </w:tc>
        <w:tc>
          <w:tcPr>
            <w:tcW w:w="3618" w:type="dxa"/>
            <w:tcBorders/>
          </w:tcPr>
          <w:p>
            <w:pPr>
              <w:pStyle w:val="Normal"/>
              <w:snapToGrid w:val="false"/>
              <w:rPr/>
            </w:pPr>
            <w:r>
              <w:rPr/>
            </w:r>
          </w:p>
        </w:tc>
      </w:tr>
      <w:tr>
        <w:trPr/>
        <w:tc>
          <w:tcPr>
            <w:tcW w:w="5508" w:type="dxa"/>
            <w:tcBorders/>
          </w:tcPr>
          <w:p>
            <w:pPr>
              <w:pStyle w:val="Normal"/>
              <w:rPr/>
            </w:pPr>
            <w:r>
              <w:rPr/>
              <w:t>Information Provided To The California Senate Select Committee To Investigate Price Manipulation of the Wholesale Energy Market</w:t>
            </w:r>
          </w:p>
        </w:tc>
        <w:tc>
          <w:tcPr>
            <w:tcW w:w="450" w:type="dxa"/>
            <w:tcBorders/>
          </w:tcPr>
          <w:p>
            <w:pPr>
              <w:pStyle w:val="Normal"/>
              <w:rPr/>
            </w:pPr>
            <w:r>
              <w:rPr/>
              <w:t>)</w:t>
            </w:r>
          </w:p>
          <w:p>
            <w:pPr>
              <w:pStyle w:val="Normal"/>
              <w:rPr/>
            </w:pPr>
            <w:r>
              <w:rPr/>
              <w:t>)</w:t>
            </w:r>
          </w:p>
          <w:p>
            <w:pPr>
              <w:pStyle w:val="Normal"/>
              <w:rPr/>
            </w:pPr>
            <w:r>
              <w:rPr/>
              <w:t>)</w:t>
            </w:r>
          </w:p>
        </w:tc>
        <w:tc>
          <w:tcPr>
            <w:tcW w:w="3618" w:type="dxa"/>
            <w:tcBorders/>
          </w:tcPr>
          <w:p>
            <w:pPr>
              <w:pStyle w:val="Normal"/>
              <w:snapToGrid w:val="false"/>
              <w:rPr/>
            </w:pPr>
            <w:r>
              <w:rPr/>
            </w:r>
          </w:p>
        </w:tc>
      </w:tr>
    </w:tbl>
    <w:p>
      <w:pPr>
        <w:pStyle w:val="Normal"/>
        <w:rPr/>
      </w:pPr>
      <w:r>
        <w:rPr/>
      </w:r>
    </w:p>
    <w:p>
      <w:pPr>
        <w:pStyle w:val="Center"/>
        <w:rPr>
          <w:b/>
          <w:u w:val="single"/>
        </w:rPr>
      </w:pPr>
      <w:r>
        <w:rPr>
          <w:b/>
          <w:u w:val="single"/>
        </w:rPr>
        <w:t>NON-DISCLOSURE CERTIFICATE</w:t>
      </w:r>
    </w:p>
    <w:p>
      <w:pPr>
        <w:pStyle w:val="BodyTextStyle"/>
        <w:rPr/>
      </w:pPr>
      <w:r>
        <w:rPr/>
        <w:t xml:space="preserve">I hereby certify my understanding and agreement that access to Protected Materials is provided to me pursuant to the terms and restrictions of the Protective Order in this proceeding, that I have been given a copy of and have read the Protective Order, and that I agree to be bound by it.  I understand that the contents of the Protected Materials, any notes or other  memoranda, or any other form of information that copies or discloses the substance of Protected Materials shall not be disclosed to anyone other than in accordance with that Protective Order.  I hereby represent that I am not now employed or retained by any person or entity that has or intends to assert a claim against a Respondent, or a governmental agency responsible for regulating the conduct of any Respondent.  I acknowledge that a violation of this certificate constitutes a violation of an order of the United States District Court for the Eastern District of California.  I hereby subject myself to the jurisdiction of this Court for any purpose arising from my actions in connection with Protected Materials.  I am willing to be held to account for such actions as though I was an employee of an executive agency of the State of California to whom information was provided confidentially, and be punished in the event I violate the Protective Order in the same fashion as though I had violated a statute, rule, regulation or agreement of an executive agency of the State of California regarding non-disclosure.  </w:t>
      </w:r>
    </w:p>
    <w:p>
      <w:pPr>
        <w:pStyle w:val="SignatureBlock"/>
        <w:rPr/>
      </w:pPr>
      <w:r>
        <w:rPr/>
      </w:r>
    </w:p>
    <w:p>
      <w:pPr>
        <w:pStyle w:val="SignatureBlock"/>
        <w:rPr/>
      </w:pPr>
      <w:r>
        <w:rPr/>
      </w:r>
    </w:p>
    <w:p>
      <w:pPr>
        <w:pStyle w:val="SignatureBlock"/>
        <w:rPr/>
      </w:pPr>
      <w:r>
        <w:rPr/>
      </w:r>
    </w:p>
    <w:p>
      <w:pPr>
        <w:pStyle w:val="SignatureBlock"/>
        <w:rPr/>
      </w:pPr>
      <w:r>
        <w:rPr/>
        <w:t>By:____________________________________</w:t>
      </w:r>
    </w:p>
    <w:p>
      <w:pPr>
        <w:pStyle w:val="SignatureBlock"/>
        <w:rPr/>
      </w:pPr>
      <w:r>
        <w:rPr/>
      </w:r>
    </w:p>
    <w:p>
      <w:pPr>
        <w:pStyle w:val="SignatureBlock"/>
        <w:rPr/>
      </w:pPr>
      <w:r>
        <w:rPr/>
        <w:t>Name:_________________________________</w:t>
      </w:r>
    </w:p>
    <w:p>
      <w:pPr>
        <w:pStyle w:val="SignatureBlock"/>
        <w:rPr/>
      </w:pPr>
      <w:r>
        <w:rPr/>
      </w:r>
    </w:p>
    <w:p>
      <w:pPr>
        <w:pStyle w:val="SignatureBlock"/>
        <w:rPr/>
      </w:pPr>
      <w:r>
        <w:rPr/>
        <w:t>Title:__________________________________</w:t>
      </w:r>
    </w:p>
    <w:p>
      <w:pPr>
        <w:pStyle w:val="SignatureBlock"/>
        <w:rPr/>
      </w:pPr>
      <w:r>
        <w:rPr/>
      </w:r>
    </w:p>
    <w:p>
      <w:pPr>
        <w:pStyle w:val="SignatureBlock"/>
        <w:rPr/>
      </w:pPr>
      <w:r>
        <w:rPr/>
        <w:t>Date:__________________________________</w:t>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432"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lliard">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53035" cy="165100"/>
              <wp:effectExtent l="0" t="0" r="0" b="0"/>
              <wp:wrapSquare wrapText="bothSides"/>
              <wp:docPr id="2" name="Frame1"/>
              <a:graphic xmlns:a="http://schemas.openxmlformats.org/drawingml/2006/main">
                <a:graphicData uri="http://schemas.microsoft.com/office/word/2010/wordprocessingShape">
                  <wps:wsp>
                    <wps:cNvSpPr txBox="1"/>
                    <wps:spPr>
                      <a:xfrm>
                        <a:off x="0" y="0"/>
                        <a:ext cx="153035" cy="16510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square"/>
            </v:rect>
          </w:pict>
        </mc:Fallback>
      </mc:AlternateContent>
    </w:r>
  </w:p>
  <w:p>
    <w:pPr>
      <w:pStyle w:val="Footer"/>
      <w:rPr/>
    </w:pPr>
    <w:r>
      <w:rPr>
        <w:rFonts w:cs="Arial" w:ascii="Arial" w:hAnsi="Arial"/>
        <w:sz w:val="12"/>
      </w:rPr>
      <w:fldChar w:fldCharType="begin"/>
    </w:r>
    <w:r>
      <w:rPr>
        <w:sz w:val="12"/>
        <w:rFonts w:cs="Arial" w:ascii="Arial" w:hAnsi="Arial"/>
      </w:rPr>
      <w:instrText xml:space="preserve"> DOCPROPERTY "DOCSNumber"</w:instrText>
    </w:r>
    <w:r>
      <w:rPr>
        <w:sz w:val="12"/>
        <w:rFonts w:cs="Arial" w:ascii="Arial" w:hAnsi="Arial"/>
      </w:rPr>
      <w:fldChar w:fldCharType="separate"/>
    </w:r>
    <w:r>
      <w:rPr>
        <w:sz w:val="12"/>
        <w:rFonts w:cs="Arial" w:ascii="Arial" w:hAnsi="Arial"/>
      </w:rPr>
      <w:t>1291067</w:t>
    </w:r>
    <w:r>
      <w:rPr>
        <w:sz w:val="12"/>
        <w:rFonts w:cs="Arial" w:ascii="Arial" w:hAnsi="Arial"/>
      </w:rPr>
      <w:fldChar w:fldCharType="end"/>
    </w:r>
    <w:r>
      <w:rPr>
        <w:rFonts w:eastAsia="Arial" w:cs="Arial" w:ascii="Arial" w:hAnsi="Arial"/>
        <w:sz w:val="12"/>
      </w:rPr>
      <w:t xml:space="preserve"> </w:t>
    </w:r>
    <w:r>
      <w:rPr>
        <w:rFonts w:cs="Arial" w:ascii="Arial" w:hAnsi="Arial"/>
        <w:sz w:val="12"/>
      </w:rPr>
      <w:t>v</w:t>
    </w:r>
    <w:r>
      <w:rPr>
        <w:rFonts w:cs="Arial" w:ascii="Arial" w:hAnsi="Arial"/>
        <w:sz w:val="12"/>
      </w:rPr>
      <w:fldChar w:fldCharType="begin"/>
    </w:r>
    <w:r>
      <w:rPr>
        <w:sz w:val="12"/>
        <w:rFonts w:cs="Arial" w:ascii="Arial" w:hAnsi="Arial"/>
      </w:rPr>
      <w:instrText xml:space="preserve"> DOCPROPERTY "DOCSDocVer"</w:instrText>
    </w:r>
    <w:r>
      <w:rPr>
        <w:sz w:val="12"/>
        <w:rFonts w:cs="Arial" w:ascii="Arial" w:hAnsi="Arial"/>
      </w:rPr>
      <w:fldChar w:fldCharType="separate"/>
    </w:r>
    <w:r>
      <w:rPr>
        <w:sz w:val="12"/>
        <w:rFonts w:cs="Arial" w:ascii="Arial" w:hAnsi="Arial"/>
      </w:rPr>
      <w:t>1</w:t>
    </w:r>
    <w:r>
      <w:rPr>
        <w:sz w:val="12"/>
        <w:rFonts w:cs="Arial" w:ascii="Arial" w:hAnsi="Arial"/>
      </w:rPr>
      <w:fldChar w:fldCharType="end"/>
    </w:r>
    <w:r>
      <w:rPr>
        <w:rFonts w:cs="Arial" w:ascii="Arial" w:hAnsi="Arial"/>
        <w:sz w:val="12"/>
      </w:rPr>
      <w:t xml:space="preserve">; </w:t>
    </w:r>
    <w:r>
      <w:rPr>
        <w:rFonts w:cs="Arial" w:ascii="Arial" w:hAnsi="Arial"/>
        <w:sz w:val="12"/>
      </w:rPr>
      <w:fldChar w:fldCharType="begin"/>
    </w:r>
    <w:r>
      <w:rPr>
        <w:sz w:val="12"/>
        <w:rFonts w:cs="Arial" w:ascii="Arial" w:hAnsi="Arial"/>
      </w:rPr>
      <w:instrText xml:space="preserve"> DOCPROPERTY "DOCS83File"</w:instrText>
    </w:r>
    <w:r>
      <w:rPr>
        <w:sz w:val="12"/>
        <w:rFonts w:cs="Arial" w:ascii="Arial" w:hAnsi="Arial"/>
      </w:rPr>
      <w:fldChar w:fldCharType="separate"/>
    </w:r>
    <w:r>
      <w:rPr>
        <w:sz w:val="12"/>
        <w:rFonts w:cs="Arial" w:ascii="Arial" w:hAnsi="Arial"/>
      </w:rPr>
      <w:t>R_6Z01!.DOC</w:t>
    </w:r>
    <w:r>
      <w:rPr>
        <w:sz w:val="12"/>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Fonts w:cs="Arial" w:ascii="Arial" w:hAnsi="Arial"/>
        <w:sz w:val="12"/>
      </w:rPr>
      <w:fldChar w:fldCharType="begin"/>
    </w:r>
    <w:r>
      <w:rPr>
        <w:sz w:val="12"/>
        <w:rFonts w:cs="Arial" w:ascii="Arial" w:hAnsi="Arial"/>
      </w:rPr>
      <w:instrText xml:space="preserve"> DOCPROPERTY "DOCSNumber"</w:instrText>
    </w:r>
    <w:r>
      <w:rPr>
        <w:sz w:val="12"/>
        <w:rFonts w:cs="Arial" w:ascii="Arial" w:hAnsi="Arial"/>
      </w:rPr>
      <w:fldChar w:fldCharType="separate"/>
    </w:r>
    <w:r>
      <w:rPr>
        <w:sz w:val="12"/>
        <w:rFonts w:cs="Arial" w:ascii="Arial" w:hAnsi="Arial"/>
      </w:rPr>
      <w:t>1291067</w:t>
    </w:r>
    <w:r>
      <w:rPr>
        <w:sz w:val="12"/>
        <w:rFonts w:cs="Arial" w:ascii="Arial" w:hAnsi="Arial"/>
      </w:rPr>
      <w:fldChar w:fldCharType="end"/>
    </w:r>
    <w:r>
      <w:rPr>
        <w:rFonts w:eastAsia="Arial" w:cs="Arial" w:ascii="Arial" w:hAnsi="Arial"/>
        <w:sz w:val="12"/>
      </w:rPr>
      <w:t xml:space="preserve"> </w:t>
    </w:r>
    <w:r>
      <w:rPr>
        <w:rFonts w:cs="Arial" w:ascii="Arial" w:hAnsi="Arial"/>
        <w:sz w:val="12"/>
      </w:rPr>
      <w:t>v</w:t>
    </w:r>
    <w:r>
      <w:rPr>
        <w:rFonts w:cs="Arial" w:ascii="Arial" w:hAnsi="Arial"/>
        <w:sz w:val="12"/>
      </w:rPr>
      <w:fldChar w:fldCharType="begin"/>
    </w:r>
    <w:r>
      <w:rPr>
        <w:sz w:val="12"/>
        <w:rFonts w:cs="Arial" w:ascii="Arial" w:hAnsi="Arial"/>
      </w:rPr>
      <w:instrText xml:space="preserve"> DOCPROPERTY "DOCSDocVer"</w:instrText>
    </w:r>
    <w:r>
      <w:rPr>
        <w:sz w:val="12"/>
        <w:rFonts w:cs="Arial" w:ascii="Arial" w:hAnsi="Arial"/>
      </w:rPr>
      <w:fldChar w:fldCharType="separate"/>
    </w:r>
    <w:r>
      <w:rPr>
        <w:sz w:val="12"/>
        <w:rFonts w:cs="Arial" w:ascii="Arial" w:hAnsi="Arial"/>
      </w:rPr>
      <w:t>1</w:t>
    </w:r>
    <w:r>
      <w:rPr>
        <w:sz w:val="12"/>
        <w:rFonts w:cs="Arial" w:ascii="Arial" w:hAnsi="Arial"/>
      </w:rPr>
      <w:fldChar w:fldCharType="end"/>
    </w:r>
    <w:r>
      <w:rPr>
        <w:rFonts w:cs="Arial" w:ascii="Arial" w:hAnsi="Arial"/>
        <w:sz w:val="12"/>
      </w:rPr>
      <w:t xml:space="preserve">; </w:t>
    </w:r>
    <w:r>
      <w:rPr>
        <w:rFonts w:cs="Arial" w:ascii="Arial" w:hAnsi="Arial"/>
        <w:sz w:val="12"/>
      </w:rPr>
      <w:fldChar w:fldCharType="begin"/>
    </w:r>
    <w:r>
      <w:rPr>
        <w:sz w:val="12"/>
        <w:rFonts w:cs="Arial" w:ascii="Arial" w:hAnsi="Arial"/>
      </w:rPr>
      <w:instrText xml:space="preserve"> DOCPROPERTY "DOCS83File"</w:instrText>
    </w:r>
    <w:r>
      <w:rPr>
        <w:sz w:val="12"/>
        <w:rFonts w:cs="Arial" w:ascii="Arial" w:hAnsi="Arial"/>
      </w:rPr>
      <w:fldChar w:fldCharType="separate"/>
    </w:r>
    <w:r>
      <w:rPr>
        <w:sz w:val="12"/>
        <w:rFonts w:cs="Arial" w:ascii="Arial" w:hAnsi="Arial"/>
      </w:rPr>
      <w:t>R_6Z01!.DOC</w:t>
    </w:r>
    <w:r>
      <w:rPr>
        <w:sz w:val="12"/>
        <w:rFonts w:cs="Arial" w:ascii="Arial" w:hAnsi="Arial"/>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rPr/>
      </w:pPr>
      <w:r>
        <w:rPr>
          <w:rStyle w:val="FootnoteCharacters"/>
        </w:rPr>
        <w:footnoteRef/>
      </w:r>
      <w:r>
        <w:rPr/>
        <w:t xml:space="preserve"> </w:t>
      </w:r>
      <w:r>
        <w:rPr/>
        <w:tab/>
        <w:t xml:space="preserve">Government Code Section 6250 </w:t>
      </w:r>
      <w:r>
        <w:rPr>
          <w:i/>
        </w:rPr>
        <w:t>et seq.</w:t>
      </w:r>
    </w:p>
  </w:footnote>
  <w:footnote w:id="3">
    <w:p>
      <w:pPr>
        <w:pStyle w:val="FootnoteText"/>
        <w:spacing w:before="0" w:after="120"/>
        <w:rPr/>
      </w:pPr>
      <w:r>
        <w:rPr>
          <w:rStyle w:val="FootnoteCharacters"/>
        </w:rPr>
        <w:footnoteRef/>
      </w:r>
      <w:r>
        <w:rPr/>
        <w:t xml:space="preserve"> </w:t>
      </w:r>
      <w:r>
        <w:rPr/>
        <w:tab/>
        <w:t xml:space="preserve">Government Code Section 9072 </w:t>
      </w:r>
      <w:r>
        <w:rPr>
          <w:i/>
        </w:rPr>
        <w:t>et seq.</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Arial" w:ascii="Arial" w:hAnsi="Arial"/>
        <w:b/>
        <w:sz w:val="20"/>
      </w:rPr>
      <w:t xml:space="preserve">DRAFT  </w:t>
    </w:r>
    <w:r>
      <w:rPr>
        <w:rFonts w:cs="Arial" w:ascii="Arial" w:hAnsi="Arial"/>
        <w:b/>
        <w:sz w:val="20"/>
      </w:rPr>
      <w:fldChar w:fldCharType="begin"/>
    </w:r>
    <w:r>
      <w:rPr>
        <w:sz w:val="20"/>
        <w:b/>
        <w:rFonts w:cs="Arial" w:ascii="Arial" w:hAnsi="Arial"/>
      </w:rPr>
      <w:instrText xml:space="preserve"> DATE \@"M\/d\/yy\ H:mm\ AM/PM" </w:instrText>
    </w:r>
    <w:r>
      <w:rPr>
        <w:sz w:val="20"/>
        <w:b/>
        <w:rFonts w:cs="Arial" w:ascii="Arial" w:hAnsi="Arial"/>
      </w:rPr>
      <w:fldChar w:fldCharType="separate"/>
    </w:r>
    <w:r>
      <w:rPr>
        <w:sz w:val="20"/>
        <w:b/>
        <w:rFonts w:cs="Arial" w:ascii="Arial" w:hAnsi="Arial"/>
      </w:rPr>
      <w:t>9/28/25 9:09 AM</w:t>
    </w:r>
    <w:r>
      <w:rPr>
        <w:sz w:val="20"/>
        <w:b/>
        <w:rFonts w:cs="Arial" w:ascii="Arial" w:hAnsi="Arial"/>
      </w:rPr>
      <w:fldChar w:fldCharType="end"/>
    </w:r>
    <w:r>
      <w:rPr>
        <w:rFonts w:cs="Arial" w:ascii="Arial" w:hAnsi="Arial"/>
        <w:b/>
        <w:sz w:val="20"/>
      </w:rPr>
      <w:tab/>
      <w:tab/>
      <w:t>PRIVILEGED &amp; CONFIDENTIAL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1080"/>
        </w:tabs>
        <w:ind w:start="1080" w:hanging="1080"/>
      </w:pPr>
      <w:rPr>
        <w:u w:val="none"/>
      </w:rPr>
    </w:lvl>
    <w:lvl w:ilvl="1">
      <w:start w:val="1"/>
      <w:pStyle w:val="Heading2"/>
      <w:numFmt w:val="upperLetter"/>
      <w:lvlText w:val="%2."/>
      <w:lvlJc w:val="end"/>
      <w:pPr>
        <w:tabs>
          <w:tab w:val="num" w:pos="1800"/>
        </w:tabs>
        <w:ind w:start="1800" w:hanging="432"/>
      </w:pPr>
      <w:rPr>
        <w:u w:val="none"/>
      </w:rPr>
    </w:lvl>
    <w:lvl w:ilvl="2">
      <w:start w:val="1"/>
      <w:pStyle w:val="Heading3"/>
      <w:numFmt w:val="lowerLetter"/>
      <w:lvlText w:val="(%3)"/>
      <w:lvlJc w:val="end"/>
      <w:pPr>
        <w:tabs>
          <w:tab w:val="num" w:pos="2520"/>
        </w:tabs>
        <w:ind w:start="2520" w:hanging="504"/>
      </w:pPr>
      <w:rPr>
        <w:u w:val="none"/>
      </w:rPr>
    </w:lvl>
    <w:lvl w:ilvl="3">
      <w:start w:val="1"/>
      <w:pStyle w:val="Heading4"/>
      <w:numFmt w:val="decimal"/>
      <w:lvlText w:val="(%4)"/>
      <w:lvlJc w:val="end"/>
      <w:pPr>
        <w:tabs>
          <w:tab w:val="num" w:pos="3240"/>
        </w:tabs>
        <w:ind w:start="3240" w:hanging="504"/>
      </w:pPr>
      <w:rPr>
        <w:u w:val="none"/>
      </w:rPr>
    </w:lvl>
    <w:lvl w:ilvl="4">
      <w:start w:val="1"/>
      <w:pStyle w:val="Heading5"/>
      <w:numFmt w:val="lowerRoman"/>
      <w:lvlText w:val="%5."/>
      <w:lvlJc w:val="end"/>
      <w:pPr>
        <w:tabs>
          <w:tab w:val="num" w:pos="3960"/>
        </w:tabs>
        <w:ind w:start="3960" w:hanging="576"/>
      </w:pPr>
      <w:rPr>
        <w:u w:val="none"/>
      </w:rPr>
    </w:lvl>
    <w:lvl w:ilvl="5">
      <w:start w:val="1"/>
      <w:pStyle w:val="Heading6"/>
      <w:numFmt w:val="decimal"/>
      <w:suff w:val="nothing"/>
      <w:lvlText w:val="%6.  "/>
      <w:lvlJc w:val="start"/>
      <w:pPr>
        <w:tabs>
          <w:tab w:val="num" w:pos="0"/>
        </w:tabs>
        <w:ind w:start="0" w:firstLine="1080"/>
      </w:pPr>
      <w:rPr>
        <w:u w:val="none"/>
      </w:rPr>
    </w:lvl>
    <w:lvl w:ilvl="6">
      <w:start w:val="1"/>
      <w:pStyle w:val="Heading7"/>
      <w:numFmt w:val="decimal"/>
      <w:suff w:val="nothing"/>
      <w:lvlText w:val="%7.  "/>
      <w:lvlJc w:val="start"/>
      <w:pPr>
        <w:tabs>
          <w:tab w:val="num" w:pos="0"/>
        </w:tabs>
        <w:ind w:start="0" w:firstLine="1080"/>
      </w:pPr>
      <w:rPr>
        <w:u w:val="none"/>
      </w:rPr>
    </w:lvl>
    <w:lvl w:ilvl="7">
      <w:start w:val="1"/>
      <w:pStyle w:val="Heading8"/>
      <w:numFmt w:val="lowerLetter"/>
      <w:suff w:val="nothing"/>
      <w:lvlText w:val="(%8)  "/>
      <w:lvlJc w:val="start"/>
      <w:pPr>
        <w:tabs>
          <w:tab w:val="num" w:pos="0"/>
        </w:tabs>
        <w:ind w:start="0" w:firstLine="1800"/>
      </w:pPr>
      <w:rPr>
        <w:u w:val="none"/>
      </w:rPr>
    </w:lvl>
    <w:lvl w:ilvl="8">
      <w:start w:val="1"/>
      <w:pStyle w:val="Heading9"/>
      <w:numFmt w:val="lowerLetter"/>
      <w:suff w:val="nothing"/>
      <w:lvlText w:val="%9.  "/>
      <w:lvlJc w:val="start"/>
      <w:pPr>
        <w:tabs>
          <w:tab w:val="num" w:pos="0"/>
        </w:tabs>
        <w:ind w:start="0" w:firstLine="1800"/>
      </w:pPr>
      <w:rPr>
        <w:u w:val="none"/>
      </w:rPr>
    </w:lvl>
  </w:abstractNum>
  <w:abstractNum w:abstractNumId="2">
    <w:lvl w:ilvl="0">
      <w:start w:val="1"/>
      <w:numFmt w:val="bullet"/>
      <w:lvlText w:val=""/>
      <w:lvlJc w:val="start"/>
      <w:pPr>
        <w:tabs>
          <w:tab w:val="num" w:pos="2160"/>
        </w:tabs>
        <w:ind w:start="2160" w:hanging="576"/>
      </w:pPr>
      <w:rPr>
        <w:rFonts w:ascii="Symbol" w:hAnsi="Symbol" w:cs="Symbol" w:hint="default"/>
      </w:rPr>
    </w:lvl>
  </w:abstractNum>
  <w:abstractNum w:abstractNumId="3">
    <w:lvl w:ilvl="0">
      <w:start w:val="1"/>
      <w:numFmt w:val="bullet"/>
      <w:lvlText w:val=""/>
      <w:lvlJc w:val="start"/>
      <w:pPr>
        <w:tabs>
          <w:tab w:val="num" w:pos="2736"/>
        </w:tabs>
        <w:ind w:start="2736" w:hanging="576"/>
      </w:pPr>
      <w:rPr>
        <w:rFonts w:ascii="Symbol" w:hAnsi="Symbol" w:cs="Symbol" w:hint="default"/>
        <w:color w:val="auto"/>
      </w:rPr>
    </w:lvl>
  </w:abstractNum>
  <w:abstractNum w:abstractNumId="4">
    <w:lvl w:ilvl="0">
      <w:start w:val="1"/>
      <w:numFmt w:val="upperRoman"/>
      <w:lvlText w:val="%1."/>
      <w:lvlJc w:val="start"/>
      <w:pPr>
        <w:tabs>
          <w:tab w:val="num" w:pos="1080"/>
        </w:tabs>
        <w:ind w:start="1080" w:hanging="1080"/>
      </w:pPr>
      <w:rPr>
        <w:u w:val="none"/>
      </w:rPr>
    </w:lvl>
    <w:lvl w:ilvl="1">
      <w:start w:val="1"/>
      <w:numFmt w:val="upperLetter"/>
      <w:lvlText w:val="%2."/>
      <w:lvlJc w:val="end"/>
      <w:pPr>
        <w:tabs>
          <w:tab w:val="num" w:pos="1800"/>
        </w:tabs>
        <w:ind w:start="1800" w:hanging="432"/>
      </w:pPr>
      <w:rPr>
        <w:u w:val="none"/>
      </w:rPr>
    </w:lvl>
    <w:lvl w:ilvl="2">
      <w:start w:val="4"/>
      <w:numFmt w:val="lowerLetter"/>
      <w:lvlText w:val="(%3)"/>
      <w:lvlJc w:val="end"/>
      <w:pPr>
        <w:tabs>
          <w:tab w:val="num" w:pos="2520"/>
        </w:tabs>
        <w:ind w:start="2520" w:hanging="504"/>
      </w:pPr>
      <w:rPr>
        <w:u w:val="none"/>
      </w:rPr>
    </w:lvl>
    <w:lvl w:ilvl="3">
      <w:start w:val="6"/>
      <w:numFmt w:val="decimal"/>
      <w:lvlText w:val="(%4)"/>
      <w:lvlJc w:val="end"/>
      <w:pPr>
        <w:tabs>
          <w:tab w:val="num" w:pos="3240"/>
        </w:tabs>
        <w:ind w:start="3240" w:hanging="504"/>
      </w:pPr>
      <w:rPr>
        <w:u w:val="none"/>
      </w:rPr>
    </w:lvl>
    <w:lvl w:ilvl="4">
      <w:start w:val="1"/>
      <w:numFmt w:val="lowerRoman"/>
      <w:lvlText w:val="%5."/>
      <w:lvlJc w:val="end"/>
      <w:pPr>
        <w:tabs>
          <w:tab w:val="num" w:pos="3960"/>
        </w:tabs>
        <w:ind w:start="3960" w:hanging="576"/>
      </w:pPr>
      <w:rPr>
        <w:u w:val="none"/>
      </w:rPr>
    </w:lvl>
    <w:lvl w:ilvl="5">
      <w:start w:val="1"/>
      <w:numFmt w:val="decimal"/>
      <w:suff w:val="nothing"/>
      <w:lvlText w:val="%6.  "/>
      <w:lvlJc w:val="start"/>
      <w:pPr>
        <w:tabs>
          <w:tab w:val="num" w:pos="0"/>
        </w:tabs>
        <w:ind w:start="0" w:firstLine="1080"/>
      </w:pPr>
      <w:rPr>
        <w:u w:val="none"/>
      </w:rPr>
    </w:lvl>
    <w:lvl w:ilvl="6">
      <w:start w:val="4"/>
      <w:numFmt w:val="decimal"/>
      <w:suff w:val="nothing"/>
      <w:lvlText w:val="%7.  "/>
      <w:lvlJc w:val="start"/>
      <w:pPr>
        <w:tabs>
          <w:tab w:val="num" w:pos="0"/>
        </w:tabs>
        <w:ind w:start="0" w:firstLine="1080"/>
      </w:pPr>
      <w:rPr>
        <w:u w:val="none"/>
      </w:rPr>
    </w:lvl>
    <w:lvl w:ilvl="7">
      <w:start w:val="1"/>
      <w:numFmt w:val="lowerLetter"/>
      <w:suff w:val="nothing"/>
      <w:lvlText w:val="(%8)  "/>
      <w:lvlJc w:val="start"/>
      <w:pPr>
        <w:tabs>
          <w:tab w:val="num" w:pos="0"/>
        </w:tabs>
        <w:ind w:start="0" w:firstLine="1800"/>
      </w:pPr>
      <w:rPr>
        <w:u w:val="none"/>
      </w:rPr>
    </w:lvl>
    <w:lvl w:ilvl="8">
      <w:start w:val="1"/>
      <w:numFmt w:val="lowerLetter"/>
      <w:suff w:val="nothing"/>
      <w:lvlText w:val="%9.  "/>
      <w:lvlJc w:val="start"/>
      <w:pPr>
        <w:tabs>
          <w:tab w:val="num" w:pos="0"/>
        </w:tabs>
        <w:ind w:start="0" w:firstLine="1800"/>
      </w:pPr>
      <w:rPr>
        <w:u w:val="none"/>
      </w:rPr>
    </w:lvl>
  </w:abstractNum>
  <w:num w:numId="1">
    <w:abstractNumId w:val="1"/>
  </w:num>
  <w:num w:numId="2">
    <w:abstractNumId w:val="2"/>
  </w:num>
  <w:num w:numId="3">
    <w:abstractNumId w:val="3"/>
  </w:num>
  <w:num w:numId="4">
    <w:abstractNumId w:val="4"/>
  </w:num>
  <w:num w:numId="5">
    <w:abstractNumId w:val="1"/>
    <w:lvlOverride w:ilvl="0">
      <w:startOverride w:val="1"/>
    </w:lvlOverride>
    <w:lvlOverride w:ilvl="1">
      <w:startOverride w:val="1"/>
    </w:lvlOverride>
    <w:lvlOverride w:ilvl="2">
      <w:startOverride w:val="1"/>
    </w:lvlOverride>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260"/>
    </w:pPr>
    <w:rPr>
      <w:rFonts w:ascii="Galliard" w:hAnsi="Galliard" w:eastAsia="Times New Roman" w:cs="Galliard"/>
      <w:color w:val="auto"/>
      <w:sz w:val="24"/>
      <w:szCs w:val="20"/>
      <w:lang w:val="en-US" w:eastAsia="zh-CN" w:bidi="hi-IN"/>
    </w:rPr>
  </w:style>
  <w:style w:type="paragraph" w:styleId="Heading1">
    <w:name w:val="heading 1"/>
    <w:basedOn w:val="Normal"/>
    <w:next w:val="BodyText"/>
    <w:qFormat/>
    <w:pPr>
      <w:numPr>
        <w:ilvl w:val="0"/>
        <w:numId w:val="1"/>
      </w:numPr>
      <w:spacing w:before="260" w:after="0"/>
      <w:outlineLvl w:val="0"/>
    </w:pPr>
    <w:rPr>
      <w:kern w:val="2"/>
    </w:rPr>
  </w:style>
  <w:style w:type="paragraph" w:styleId="Heading2">
    <w:name w:val="heading 2"/>
    <w:basedOn w:val="Normal"/>
    <w:next w:val="BodyText"/>
    <w:qFormat/>
    <w:pPr>
      <w:numPr>
        <w:ilvl w:val="1"/>
        <w:numId w:val="1"/>
      </w:numPr>
      <w:spacing w:before="260" w:after="0"/>
      <w:outlineLvl w:val="1"/>
    </w:pPr>
    <w:rPr/>
  </w:style>
  <w:style w:type="paragraph" w:styleId="Heading3">
    <w:name w:val="heading 3"/>
    <w:basedOn w:val="Normal"/>
    <w:next w:val="BodyText"/>
    <w:qFormat/>
    <w:pPr>
      <w:numPr>
        <w:ilvl w:val="2"/>
        <w:numId w:val="1"/>
      </w:numPr>
      <w:spacing w:before="260" w:after="0"/>
      <w:outlineLvl w:val="2"/>
    </w:pPr>
    <w:rPr/>
  </w:style>
  <w:style w:type="paragraph" w:styleId="Heading4">
    <w:name w:val="heading 4"/>
    <w:basedOn w:val="Normal"/>
    <w:next w:val="BodyText"/>
    <w:qFormat/>
    <w:pPr>
      <w:numPr>
        <w:ilvl w:val="3"/>
        <w:numId w:val="1"/>
      </w:numPr>
      <w:spacing w:before="260" w:after="0"/>
      <w:outlineLvl w:val="3"/>
    </w:pPr>
    <w:rPr/>
  </w:style>
  <w:style w:type="paragraph" w:styleId="Heading5">
    <w:name w:val="heading 5"/>
    <w:basedOn w:val="Normal"/>
    <w:next w:val="BodyText"/>
    <w:qFormat/>
    <w:pPr>
      <w:numPr>
        <w:ilvl w:val="4"/>
        <w:numId w:val="1"/>
      </w:numPr>
      <w:spacing w:before="260" w:after="0"/>
      <w:outlineLvl w:val="4"/>
    </w:pPr>
    <w:rPr/>
  </w:style>
  <w:style w:type="paragraph" w:styleId="Heading6">
    <w:name w:val="heading 6"/>
    <w:basedOn w:val="Normal"/>
    <w:next w:val="BodyText"/>
    <w:qFormat/>
    <w:pPr>
      <w:numPr>
        <w:ilvl w:val="5"/>
        <w:numId w:val="1"/>
      </w:numPr>
      <w:spacing w:before="260" w:after="0"/>
      <w:outlineLvl w:val="5"/>
    </w:pPr>
    <w:rPr/>
  </w:style>
  <w:style w:type="paragraph" w:styleId="Heading7">
    <w:name w:val="heading 7"/>
    <w:basedOn w:val="Normal"/>
    <w:next w:val="BodyText"/>
    <w:qFormat/>
    <w:pPr>
      <w:numPr>
        <w:ilvl w:val="6"/>
        <w:numId w:val="1"/>
      </w:numPr>
      <w:spacing w:lineRule="exact" w:line="520"/>
      <w:outlineLvl w:val="6"/>
    </w:pPr>
    <w:rPr/>
  </w:style>
  <w:style w:type="paragraph" w:styleId="Heading8">
    <w:name w:val="heading 8"/>
    <w:basedOn w:val="Normal"/>
    <w:next w:val="BodyText"/>
    <w:qFormat/>
    <w:pPr>
      <w:numPr>
        <w:ilvl w:val="7"/>
        <w:numId w:val="1"/>
      </w:numPr>
      <w:spacing w:lineRule="exact" w:line="520"/>
      <w:outlineLvl w:val="7"/>
    </w:pPr>
    <w:rPr/>
  </w:style>
  <w:style w:type="paragraph" w:styleId="Heading9">
    <w:name w:val="heading 9"/>
    <w:basedOn w:val="Normal"/>
    <w:next w:val="BodyText"/>
    <w:qFormat/>
    <w:pPr>
      <w:numPr>
        <w:ilvl w:val="8"/>
        <w:numId w:val="1"/>
      </w:numPr>
      <w:spacing w:lineRule="exact" w:line="520"/>
      <w:outlineLvl w:val="8"/>
    </w:pPr>
    <w:rPr/>
  </w:style>
  <w:style w:type="character" w:styleId="WW8Num3z0">
    <w:name w:val="WW8Num3z0"/>
    <w:qFormat/>
    <w:rPr>
      <w:rFonts w:ascii="Symbol" w:hAnsi="Symbol" w:cs="Symbol"/>
    </w:rPr>
  </w:style>
  <w:style w:type="character" w:styleId="WW8Num4z0">
    <w:name w:val="WW8Num4z0"/>
    <w:qFormat/>
    <w:rPr>
      <w:rFonts w:ascii="Symbol" w:hAnsi="Symbol" w:cs="Symbol"/>
      <w:color w:val="auto"/>
    </w:rPr>
  </w:style>
  <w:style w:type="character" w:styleId="WW8Num5z0">
    <w:name w:val="WW8Num5z0"/>
    <w:qFormat/>
    <w:rPr>
      <w:u w:val="non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pacing w:lineRule="exact" w:line="260"/>
    </w:pPr>
    <w:rPr/>
  </w:style>
  <w:style w:type="paragraph" w:styleId="BlockQuote">
    <w:name w:val="Block Quote"/>
    <w:basedOn w:val="Normal"/>
    <w:qFormat/>
    <w:pPr>
      <w:spacing w:before="260" w:after="0"/>
      <w:ind w:hanging="0" w:start="1080" w:end="1080"/>
    </w:pPr>
    <w:rPr/>
  </w:style>
  <w:style w:type="paragraph" w:styleId="BodySingle">
    <w:name w:val="Body Single"/>
    <w:basedOn w:val="Normal"/>
    <w:qFormat/>
    <w:pPr>
      <w:spacing w:before="260" w:after="0"/>
      <w:ind w:firstLine="1080" w:start="0" w:end="0"/>
    </w:pPr>
    <w:rPr/>
  </w:style>
  <w:style w:type="paragraph" w:styleId="BodyTextStyle">
    <w:name w:val="Body Text Style"/>
    <w:basedOn w:val="Normal"/>
    <w:qFormat/>
    <w:pPr>
      <w:spacing w:lineRule="exact" w:line="520"/>
      <w:ind w:firstLine="1080" w:start="0" w:end="0"/>
    </w:pPr>
    <w:rPr/>
  </w:style>
  <w:style w:type="paragraph" w:styleId="Bullet-Large">
    <w:name w:val="Bullet-Large"/>
    <w:basedOn w:val="Normal"/>
    <w:qFormat/>
    <w:pPr>
      <w:numPr>
        <w:ilvl w:val="0"/>
        <w:numId w:val="2"/>
      </w:numPr>
      <w:spacing w:before="260" w:after="0"/>
      <w:ind w:hanging="0" w:start="0" w:end="1080"/>
    </w:pPr>
    <w:rPr/>
  </w:style>
  <w:style w:type="paragraph" w:styleId="Bullet-Small">
    <w:name w:val="Bullet-Small"/>
    <w:basedOn w:val="Normal"/>
    <w:qFormat/>
    <w:pPr>
      <w:numPr>
        <w:ilvl w:val="0"/>
        <w:numId w:val="3"/>
      </w:numPr>
      <w:spacing w:before="260" w:after="0"/>
      <w:ind w:hanging="0" w:start="0" w:end="1080"/>
    </w:pPr>
    <w:rPr/>
  </w:style>
  <w:style w:type="paragraph" w:styleId="Center">
    <w:name w:val="Center"/>
    <w:basedOn w:val="Normal"/>
    <w:qFormat/>
    <w:pPr>
      <w:spacing w:before="260" w:after="0"/>
      <w:jc w:val="center"/>
    </w:pPr>
    <w:rPr/>
  </w:style>
  <w:style w:type="paragraph" w:styleId="LeftAlign1">
    <w:name w:val="Left Align 1"/>
    <w:basedOn w:val="Normal"/>
    <w:qFormat/>
    <w:pPr>
      <w:spacing w:before="260" w:after="0"/>
    </w:pPr>
    <w:rPr/>
  </w:style>
  <w:style w:type="paragraph" w:styleId="LeftAlign2">
    <w:name w:val="Left Align 2"/>
    <w:basedOn w:val="Normal"/>
    <w:qFormat/>
    <w:pPr>
      <w:spacing w:lineRule="exact" w:line="520"/>
    </w:pPr>
    <w:rPr/>
  </w:style>
  <w:style w:type="paragraph" w:styleId="SignatureBlock">
    <w:name w:val="Signature Block"/>
    <w:basedOn w:val="Normal"/>
    <w:qFormat/>
    <w:pPr>
      <w:ind w:hanging="0" w:start="4680" w:end="0"/>
    </w:pPr>
    <w:rPr/>
  </w:style>
  <w:style w:type="paragraph" w:styleId="Footer">
    <w:name w:val="footer"/>
    <w:basedOn w:val="Normal"/>
    <w:pPr>
      <w:tabs>
        <w:tab w:val="clear" w:pos="720"/>
        <w:tab w:val="center" w:pos="4320" w:leader="none"/>
        <w:tab w:val="right" w:pos="8640" w:leader="none"/>
      </w:tabs>
      <w:spacing w:lineRule="exact" w:line="260"/>
    </w:pPr>
    <w:rPr/>
  </w:style>
  <w:style w:type="paragraph" w:styleId="FootnoteText">
    <w:name w:val="footnote text"/>
    <w:basedOn w:val="Normal"/>
    <w:pPr>
      <w:spacing w:before="0" w:after="120"/>
    </w:pPr>
    <w:rPr/>
  </w:style>
  <w:style w:type="paragraph" w:styleId="EnvelopeReturn">
    <w:name w:val="envelope return"/>
    <w:basedOn w:val="Normal"/>
    <w:pPr>
      <w:spacing w:lineRule="exact" w:line="260"/>
    </w:pPr>
    <w:rPr>
      <w:sz w:val="20"/>
    </w:rPr>
  </w:style>
  <w:style w:type="paragraph" w:styleId="EnvelopeAddress">
    <w:name w:val="envelope address"/>
    <w:basedOn w:val="Normal"/>
    <w:pPr>
      <w:spacing w:lineRule="exact" w:line="260"/>
      <w:ind w:hanging="0" w:start="288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2001-05-10T12:21:00Z</dcterms:created>
  <dc:creator>DSMO</dc:creator>
  <dc:description/>
  <dc:language>en-CA</dc:language>
  <cp:lastModifiedBy>DSMO</cp:lastModifiedBy>
  <cp:lastPrinted>2001-05-10T16:29:00Z</cp:lastPrinted>
  <dcterms:modified xsi:type="dcterms:W3CDTF">2001-05-10T21:10:00Z</dcterms:modified>
  <cp:revision>13</cp:revision>
  <dc:subject/>
  <dc:title>Post Meet Protect Order 5/10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83File">
    <vt:lpwstr>R_6Z01!.DOC</vt:lpwstr>
  </property>
  <property fmtid="{D5CDD505-2E9C-101B-9397-08002B2CF9AE}" pid="3" name="DOCSDocVer">
    <vt:lpwstr>1</vt:lpwstr>
  </property>
  <property fmtid="{D5CDD505-2E9C-101B-9397-08002B2CF9AE}" pid="4" name="DOCSNumber">
    <vt:lpwstr>1291067</vt:lpwstr>
  </property>
</Properties>
</file>