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58"/>
        <w:rPr>
          <w:rFonts w:ascii="Arial" w:hAnsi="Arial" w:cs="Arial"/>
          <w:b/>
          <w:sz w:val="24"/>
        </w:rPr>
      </w:pPr>
      <w:r>
        <w:rPr>
          <w:rFonts w:cs="Arial" w:ascii="Arial" w:hAnsi="Arial"/>
          <w:b/>
          <w:sz w:val="24"/>
        </w:rPr>
      </w:r>
    </w:p>
    <w:p>
      <w:pPr>
        <w:pStyle w:val="Normal"/>
        <w:ind w:end="-58"/>
        <w:rPr>
          <w:rFonts w:ascii="Arial" w:hAnsi="Arial" w:cs="Arial"/>
          <w:b/>
          <w:sz w:val="24"/>
        </w:rPr>
      </w:pPr>
      <w:r>
        <w:rPr>
          <w:rFonts w:cs="Arial" w:ascii="Arial" w:hAnsi="Arial"/>
          <w:b/>
          <w:sz w:val="24"/>
        </w:rPr>
        <w:t>Background and Comments:</w:t>
      </w:r>
    </w:p>
    <w:p>
      <w:pPr>
        <w:pStyle w:val="Normal"/>
        <w:ind w:end="-58"/>
        <w:rPr>
          <w:rFonts w:ascii="Arial" w:hAnsi="Arial" w:cs="Arial"/>
          <w:b/>
          <w:sz w:val="24"/>
        </w:rPr>
      </w:pPr>
      <w:r>
        <w:rPr>
          <w:rFonts w:cs="Arial" w:ascii="Arial" w:hAnsi="Arial"/>
          <w:b/>
          <w:sz w:val="24"/>
        </w:rPr>
      </w:r>
    </w:p>
    <w:p>
      <w:pPr>
        <w:pStyle w:val="Normal"/>
        <w:ind w:end="-58"/>
        <w:rPr>
          <w:rFonts w:ascii="Arial" w:hAnsi="Arial" w:cs="Arial"/>
          <w:sz w:val="24"/>
        </w:rPr>
      </w:pPr>
      <w:r>
        <w:rPr>
          <w:rFonts w:cs="Arial" w:ascii="Arial" w:hAnsi="Arial"/>
          <w:sz w:val="24"/>
        </w:rPr>
        <w:t xml:space="preserve">On May 8, 2000, Baltimore Gas and Electric Company (“BGE” or “the Company”) filed with the Commission a revised Supplement 335 to P.S.C. Md. E-6. The filed document nominally designated as a Standby Services Schedule S, is a service schedule under the Company’s Retail Tariff.  BGE requests that the Supplement (Standby Services Schedule S) become effective July 1, 2000.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BGE originally filed the Supplement (Schedule S) on February 15, 2000.  The filing was made pursuant to BGE’s Settlement Agreement in Case Nos. 8794/8804.  Paragraph 21(b) of the Settlement, stipulates that:</w:t>
      </w:r>
    </w:p>
    <w:p>
      <w:pPr>
        <w:pStyle w:val="Normal"/>
        <w:ind w:end="-58"/>
        <w:rPr>
          <w:rFonts w:ascii="Arial" w:hAnsi="Arial" w:cs="Arial"/>
          <w:sz w:val="24"/>
        </w:rPr>
      </w:pPr>
      <w:r>
        <w:rPr>
          <w:rFonts w:cs="Arial" w:ascii="Arial" w:hAnsi="Arial"/>
          <w:sz w:val="24"/>
        </w:rPr>
      </w:r>
    </w:p>
    <w:p>
      <w:pPr>
        <w:pStyle w:val="Normal"/>
        <w:ind w:start="720" w:end="-58"/>
        <w:rPr>
          <w:rFonts w:ascii="Arial" w:hAnsi="Arial" w:cs="Arial"/>
          <w:sz w:val="24"/>
        </w:rPr>
      </w:pPr>
      <w:r>
        <w:rPr>
          <w:rFonts w:cs="Arial" w:ascii="Arial" w:hAnsi="Arial"/>
          <w:sz w:val="24"/>
        </w:rPr>
        <w:t xml:space="preserve">Effective July 1, 2000, BGE shall unbundle and clarify Schedule S (Standby Services) as follows: (1) customers may purchase the energy and capacity component (including the level) of standby service from third party suppliers; (2) BGE may not impose any requirement to purchase or have available a certain level of standby capacity or energy as long as the customer is purchasing capacity or energy from an alternative supplier; and (3) if the third party suppliers fail to deliver standby service, customers will pay the DS rate. </w:t>
      </w:r>
      <w:r>
        <w:rPr>
          <w:rStyle w:val="FootnoteCharacters"/>
          <w:rStyle w:val="FootnoteReference"/>
          <w:rFonts w:cs="Arial" w:ascii="Arial" w:hAnsi="Arial"/>
          <w:sz w:val="24"/>
        </w:rPr>
        <w:footnoteReference w:id="2"/>
      </w:r>
    </w:p>
    <w:p>
      <w:pPr>
        <w:pStyle w:val="FootnoteText"/>
        <w:ind w:end="-58"/>
        <w:rPr>
          <w:rFonts w:ascii="Arial" w:hAnsi="Arial" w:cs="Arial"/>
          <w:sz w:val="24"/>
        </w:rPr>
      </w:pPr>
      <w:r>
        <w:rPr>
          <w:rFonts w:cs="Arial" w:ascii="Arial" w:hAnsi="Arial"/>
          <w:sz w:val="24"/>
        </w:rPr>
      </w:r>
    </w:p>
    <w:p>
      <w:pPr>
        <w:pStyle w:val="FootnoteText"/>
        <w:ind w:end="-58"/>
        <w:rPr/>
      </w:pPr>
      <w:r>
        <w:rPr>
          <w:rFonts w:cs="Arial" w:ascii="Arial" w:hAnsi="Arial"/>
          <w:sz w:val="24"/>
        </w:rPr>
        <w:t>The present context for this filing is the restructuring of the electric power market in Maryland that resulted from the Electric Customer Choice and Competition Act of 1999 (the ”Act”).  Beginning July 1, 2000, all Maryland customers, currently served by the four investor owned utilities or IOUs (BGE, Delmarva Power and Light Company, Potomac Edison, and Potomac Electric Power Company) will be eligible to receive electric energy supply from competitive suppliers of electricity service.  Competitive electricity suppliers will also arrange for the transmission services associated with that supply for their customers.  Thus for example, if all of BGE’s retail customers chose a competitive electricity supplier, BGE will still provide the basic delivery (or distribution) service for that supply to the customers in its service area.  One option that will be available to BGE’s larger customers (Schedules GL and P) will be the ability to purchase Standby energy services from competitive electricity suppliers</w:t>
      </w:r>
      <w:r>
        <w:rPr/>
        <w:t>.</w:t>
      </w:r>
    </w:p>
    <w:p>
      <w:pPr>
        <w:pStyle w:val="FootnoteText"/>
        <w:ind w:end="-58"/>
        <w:rPr>
          <w:rFonts w:ascii="Arial" w:hAnsi="Arial" w:cs="Arial"/>
          <w:sz w:val="24"/>
        </w:rPr>
      </w:pPr>
      <w:r>
        <w:rPr>
          <w:rFonts w:cs="Arial" w:ascii="Arial" w:hAnsi="Arial"/>
          <w:sz w:val="24"/>
        </w:rPr>
      </w:r>
    </w:p>
    <w:p>
      <w:pPr>
        <w:pStyle w:val="FootnoteText"/>
        <w:ind w:end="-58"/>
        <w:rPr>
          <w:rFonts w:ascii="Arial" w:hAnsi="Arial" w:cs="Arial"/>
          <w:sz w:val="24"/>
        </w:rPr>
      </w:pPr>
      <w:r>
        <w:rPr>
          <w:rFonts w:cs="Arial" w:ascii="Arial" w:hAnsi="Arial"/>
          <w:sz w:val="24"/>
        </w:rPr>
      </w:r>
    </w:p>
    <w:p>
      <w:pPr>
        <w:pStyle w:val="FootnoteText"/>
        <w:ind w:end="-58"/>
        <w:rPr>
          <w:rFonts w:ascii="Arial" w:hAnsi="Arial" w:cs="Arial"/>
          <w:sz w:val="24"/>
        </w:rPr>
      </w:pPr>
      <w:r>
        <w:rPr>
          <w:rFonts w:cs="Arial" w:ascii="Arial" w:hAnsi="Arial"/>
          <w:sz w:val="24"/>
        </w:rPr>
        <w:t xml:space="preserve">The background for this filing is the provision of standby services in the context of the beginning of electricity supply service competition or Choice.  The issue is that as competition unfolds in electricity markets, customers will want to </w:t>
      </w:r>
    </w:p>
    <w:p>
      <w:pPr>
        <w:pStyle w:val="FootnoteText"/>
        <w:ind w:end="-58"/>
        <w:rPr>
          <w:rFonts w:ascii="Arial" w:hAnsi="Arial" w:cs="Arial"/>
          <w:sz w:val="24"/>
        </w:rPr>
      </w:pPr>
      <w:r>
        <w:rPr>
          <w:rFonts w:cs="Arial" w:ascii="Arial" w:hAnsi="Arial"/>
          <w:sz w:val="24"/>
        </w:rPr>
        <w:t xml:space="preserve">participate in the competitive market so as to recoup the benefits of this competition in supply of electricity (through lower prices, greater flexibility of </w:t>
      </w:r>
    </w:p>
    <w:p>
      <w:pPr>
        <w:pStyle w:val="FootnoteText"/>
        <w:ind w:end="-58"/>
        <w:rPr/>
      </w:pPr>
      <w:r>
        <w:rPr>
          <w:rFonts w:cs="Arial" w:ascii="Arial" w:hAnsi="Arial"/>
          <w:sz w:val="24"/>
        </w:rPr>
        <w:t xml:space="preserve">service, etc.).  The electric utility companies, which still have a monopoly in the delivery of electricity service (through transmission and distribution service), need to recover the investments made in the “wires” portion of their electricity service. This Commission has jurisdiction over distribution, hence; these comments will focus on distribution services. </w:t>
      </w:r>
      <w:r>
        <w:rPr>
          <w:rStyle w:val="FootnoteCharacters"/>
          <w:rStyle w:val="FootnoteReference"/>
          <w:rFonts w:cs="Arial" w:ascii="Arial" w:hAnsi="Arial"/>
          <w:sz w:val="24"/>
        </w:rPr>
        <w:footnoteReference w:id="3"/>
      </w:r>
      <w:r>
        <w:rPr>
          <w:rFonts w:cs="Arial" w:ascii="Arial" w:hAnsi="Arial"/>
          <w:sz w:val="24"/>
        </w:rPr>
        <w:t xml:space="preserve"> For BGE’s Customers, particularly the larger customers, there are incentives to maximize their participation in competitive supply of electricity (either by self-generation or after July 1, 2000 by purchases from competitive suppliers) and, thereby loosen their dependence on utility provided services.  However, in order to maintain a “safety-line” back up, these customers also seek to maintain access to utility provided services.  They want to be able to rely on utility provided services even as they seek to develop a certain independence from these services.  The electric companies are willing to ensure this “safety-line” back-up for customers, if they are able to recover their investment in the transmission and distribution facilities made for these services.  The consequent natural tension, between the “focus of concerns” of the parties necessitates that any agreement that serves as a “standby services” schedule will need to carefully balance these competing interests.     </w:t>
      </w:r>
    </w:p>
    <w:p>
      <w:pPr>
        <w:pStyle w:val="Normal"/>
        <w:ind w:end="-58"/>
        <w:rPr>
          <w:rFonts w:ascii="Arial" w:hAnsi="Arial" w:cs="Arial"/>
          <w:sz w:val="24"/>
        </w:rPr>
      </w:pPr>
      <w:r>
        <w:rPr>
          <w:rFonts w:cs="Arial" w:ascii="Arial" w:hAnsi="Arial"/>
          <w:sz w:val="24"/>
        </w:rPr>
      </w:r>
    </w:p>
    <w:p>
      <w:pPr>
        <w:pStyle w:val="Heading2"/>
        <w:ind w:hanging="0" w:start="0" w:end="-58"/>
        <w:rPr/>
      </w:pPr>
      <w:r>
        <w:rPr/>
        <w:t>Present Schedule S Services:</w:t>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BGE provides standby electric service and delivery of that service for those large commercial and industrial customers (Schedules GL and P) that currently use on-site or adjacent-site self-provided electric generation services under Standby Services Schedule S.  In circumstances where the customer’s self-generation fails or is less than the customer’s load, the customer (under Schedule S) can request additional electric energy and delivery from the Company.  Schedule S applies to Customers that have a power source other than the Company’s that is at least 100kW in size, or if the other source provides at least 20% of the customer’s total load.  The current standby services available on a bundled basis (</w:t>
      </w:r>
      <w:r>
        <w:rPr>
          <w:rFonts w:cs="Arial" w:ascii="Arial" w:hAnsi="Arial"/>
          <w:sz w:val="24"/>
          <w:u w:val="single"/>
        </w:rPr>
        <w:t>i</w:t>
      </w:r>
      <w:r>
        <w:rPr>
          <w:rFonts w:cs="Arial" w:ascii="Arial" w:hAnsi="Arial"/>
          <w:sz w:val="24"/>
        </w:rPr>
        <w:t>.</w:t>
      </w:r>
      <w:r>
        <w:rPr>
          <w:rFonts w:cs="Arial" w:ascii="Arial" w:hAnsi="Arial"/>
          <w:sz w:val="24"/>
          <w:u w:val="single"/>
        </w:rPr>
        <w:t>e</w:t>
      </w:r>
      <w:r>
        <w:rPr>
          <w:rFonts w:cs="Arial" w:ascii="Arial" w:hAnsi="Arial"/>
          <w:sz w:val="24"/>
        </w:rPr>
        <w:t>. generation, transmission, and distribution service) include:</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Supplementary Service - where the Company is the first resort of supply;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Market service - where the Company is not the first resort of supply;  </w:t>
      </w:r>
    </w:p>
    <w:p>
      <w:pPr>
        <w:pStyle w:val="Normal"/>
        <w:ind w:end="-58"/>
        <w:rPr>
          <w:rFonts w:ascii="Arial" w:hAnsi="Arial" w:cs="Arial"/>
          <w:sz w:val="24"/>
        </w:rPr>
      </w:pPr>
      <w:r>
        <w:rPr>
          <w:rFonts w:cs="Arial" w:ascii="Arial" w:hAnsi="Arial"/>
          <w:sz w:val="24"/>
        </w:rPr>
        <w:t xml:space="preserve">Backup Service - where the Company is not the first resort of supply; and,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Maintenance Service - for service during planned maintenance of the customer's facilities.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The present Schedule S also provides various levels of service using the following definitions: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Standard Electric Service – electric service provided by the Company through its standard generation, transmission, and distribution system;</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First Resort Supply Service – a supply source which is the customer’s sole source of electricity or one which is supplemented only during periods of involuntary unavailability (includes on-site and adjacent-site self-generation);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Contract Capability (“CC”) – the amount of load in kW for which the Company is not the Customer’s First Resort Supply Source.  The Load above the CC is eligible for Supplementary Service, and the Load below CC is eligible for Market Service.  The CC is the amount of Backup Service provided.  Separate specifications of the CC for summer and non-summer seasons is permitted; and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Market Days – defined as Type A (low energy cost days) where the company’s estimated marginal costs for On-Peak and Intermediate-Peak periods are less than the Fuel Rate plus 70% of the average Energy Rate; and Type B Days (high energy cost days) when the Company’s estimated marginal costs for the On-Peak and Intermediate-Peak periods are greater than the Fuel Rate plus 70% of the average Energy Rate.</w:t>
      </w:r>
    </w:p>
    <w:p>
      <w:pPr>
        <w:pStyle w:val="Heading2"/>
        <w:ind w:hanging="0" w:start="0" w:end="-58"/>
        <w:rPr>
          <w:rFonts w:ascii="Arial" w:hAnsi="Arial" w:cs="Arial"/>
          <w:sz w:val="24"/>
        </w:rPr>
      </w:pPr>
      <w:r>
        <w:rPr>
          <w:rFonts w:cs="Arial"/>
          <w:sz w:val="24"/>
        </w:rPr>
      </w:r>
    </w:p>
    <w:p>
      <w:pPr>
        <w:pStyle w:val="Heading2"/>
        <w:ind w:hanging="0" w:start="0" w:end="-58"/>
        <w:rPr/>
      </w:pPr>
      <w:r>
        <w:rPr/>
        <w:t xml:space="preserve">Issues Raised by BGE’s Schedule S Filing as Originally Proposed: </w:t>
      </w:r>
      <w:r>
        <w:rPr>
          <w:rStyle w:val="FootnoteCharacters"/>
          <w:rStyle w:val="FootnoteReference"/>
        </w:rPr>
        <w:footnoteReference w:id="4"/>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One generic issue is the possible disparate treatment under Schedule S for customers that self-generate electricity compared to those customers that utilize demand side management (“DSM”) services, through improved efficiency in their operations.  These efficiency improvements have the effect of lowering the customers’ demand for BGE electricity services.  Nonetheless, there could be a significant difference in rates for service above and below the CC between the two similarly situated customers depending upon whether they used self-generation or DSM services to lower their energy demand from BGE.  Those customers that self-generate electricity could end up paying proportionately higher (demand) charges for services below the customer’s CC as compared to those customers that lower their demand through DSM efforts.  While both of these activities could lower demand of the Company’s services on an equivalent basis, the rate impact would not be symmetric. </w:t>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Another issue is whether the structure of the Schedule S rates discourages investment in Distributed Resources (particularly Distributed Generation services).  Distributed Generation (“DG”) resources could reduce the need for large investments in generation plant and transmission and distribution (“T&amp;D”) system upgrades.  Some parties might also argue that DG systems could promote improved air quality through improved efficiency in generation and delivery of electricity services.  For example, central station generation plants typically have efficiencies of 35% to 40%, whereas on-site generation facilities can typically increase (generation) efficiencies at 50% or higher, particularly if co-generation methods are incorporated.</w:t>
      </w:r>
      <w:r>
        <w:rPr>
          <w:rStyle w:val="FootnoteCharacters"/>
          <w:rFonts w:cs="Arial" w:ascii="Arial" w:hAnsi="Arial"/>
          <w:sz w:val="24"/>
        </w:rPr>
        <w:t xml:space="preserve"> </w:t>
      </w:r>
      <w:r>
        <w:rPr>
          <w:rStyle w:val="FootnoteCharacters"/>
          <w:rStyle w:val="FootnoteReference"/>
          <w:rFonts w:cs="Arial" w:ascii="Arial" w:hAnsi="Arial"/>
          <w:sz w:val="24"/>
        </w:rPr>
        <w:footnoteReference w:id="5"/>
      </w:r>
      <w:r>
        <w:rPr>
          <w:rFonts w:cs="Arial" w:ascii="Arial" w:hAnsi="Arial"/>
          <w:sz w:val="24"/>
        </w:rPr>
        <w:t xml:space="preserve">  Moreover, transmission and distribution line losses (alone) can account for loss of efficiencies up to 10%; losses that would be saved if generation were provided on-site.</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A third issue that can impact the adoption of DG services is that of interconnection policies.  Interconnection policy differences between the IOUs (statewide) can significantly retard the development of a vibrant DG industry for services to customers.  As with other aspects of electric restructuring, Staff believes that common accepted rules that have statewide applicability will promote electric services competition.  Hence, the adoption of “one” set of interconnection standards could provide a good incentive for developing a DG services market in Maryland.  </w:t>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 xml:space="preserve">Staff believes that eventually, the State of Maryland may need to adopt “a proposed” set of interconnection standards that apply Statewide.  This issue has acquired salience in the industry and has been studied in two states (New York and Texas), which have developed their own interconnection standards. </w:t>
      </w:r>
      <w:r>
        <w:rPr>
          <w:rStyle w:val="FootnoteCharacters"/>
          <w:rFonts w:cs="Arial" w:ascii="Arial" w:hAnsi="Arial"/>
          <w:sz w:val="24"/>
        </w:rPr>
        <w:t xml:space="preserve"> </w:t>
      </w:r>
      <w:r>
        <w:rPr>
          <w:rFonts w:cs="Arial" w:ascii="Arial" w:hAnsi="Arial"/>
          <w:sz w:val="24"/>
        </w:rPr>
        <w:t xml:space="preserve">Staff has learned that the Distributed Power Coalition of America (an entity </w:t>
      </w:r>
    </w:p>
    <w:p>
      <w:pPr>
        <w:pStyle w:val="Normal"/>
        <w:ind w:end="-58"/>
        <w:rPr/>
      </w:pPr>
      <w:r>
        <w:rPr>
          <w:rFonts w:cs="Arial" w:ascii="Arial" w:hAnsi="Arial"/>
          <w:sz w:val="24"/>
        </w:rPr>
        <w:t xml:space="preserve">representing the DG industry interests) is planning to publish its own recommended set of interconnection standards by the end of this year.  And, the Institute of Electrical and Electronics Engineers (IEEE), which is also looking at this issue, will similarly issue its own proposed standards sometime next year (2001). </w:t>
      </w:r>
      <w:r>
        <w:rPr>
          <w:rStyle w:val="FootnoteCharacters"/>
          <w:rStyle w:val="FootnoteReference"/>
          <w:rFonts w:cs="Arial" w:ascii="Arial" w:hAnsi="Arial"/>
          <w:sz w:val="24"/>
        </w:rPr>
        <w:footnoteReference w:id="6"/>
      </w:r>
      <w:r>
        <w:rPr/>
        <w:t xml:space="preserve"> </w:t>
      </w:r>
      <w:r>
        <w:rPr>
          <w:rFonts w:cs="Arial" w:ascii="Arial" w:hAnsi="Arial"/>
          <w:sz w:val="24"/>
        </w:rPr>
        <w:t xml:space="preserve">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A fourth issue (related to the one above) is the minimum size specification requirements applicable to generators for service under Schedule S.  The </w:t>
      </w:r>
    </w:p>
    <w:p>
      <w:pPr>
        <w:pStyle w:val="Normal"/>
        <w:ind w:end="-58"/>
        <w:rPr>
          <w:rFonts w:ascii="Arial" w:hAnsi="Arial" w:cs="Arial"/>
          <w:sz w:val="24"/>
        </w:rPr>
      </w:pPr>
      <w:r>
        <w:rPr>
          <w:rFonts w:cs="Arial" w:ascii="Arial" w:hAnsi="Arial"/>
          <w:sz w:val="24"/>
        </w:rPr>
        <w:t xml:space="preserve">minimum size specification of 100 kW is not part of Schedule S per-se, but is in BGE’s Retail Tariff under Section 3.7 - Terms and Conditions.  The (relatively) </w:t>
      </w:r>
    </w:p>
    <w:p>
      <w:pPr>
        <w:pStyle w:val="Normal"/>
        <w:ind w:end="-58"/>
        <w:rPr>
          <w:rFonts w:ascii="Arial" w:hAnsi="Arial" w:cs="Arial"/>
          <w:sz w:val="24"/>
        </w:rPr>
      </w:pPr>
      <w:r>
        <w:rPr>
          <w:rFonts w:cs="Arial" w:ascii="Arial" w:hAnsi="Arial"/>
          <w:sz w:val="24"/>
        </w:rPr>
        <w:t xml:space="preserve">small size of such generators (100 kW), which invokes the application of Schedule S, combined with the application of the CTC, could serve as a disincentive for the adoption of DG services.  Increasing the use of DG services could help Customers by decreasing their costs and adding flexibility to their use of electricity services.  Some parties could argue that increasing use of DG would also help BGE and allow it to avoid unneeded investments in T&amp;D.  The net result would provide greater diversity of demand in the wire delivery system and improve overall electricity service efficiency.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Staff is of the opinion that a fuller adoption of DG services is a positive development, which can provide benefits to customers of BGE as well as the IOUs, in terms of avoided (and perhaps unnecessary) investments in T&amp;D, and also provide benefits to the State of Maryland in terms of a more efficient electric service industry, including environmental benefits.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u w:val="single"/>
        </w:rPr>
        <w:t>BGE’s May 8, 2000 Filing (ML 72056):</w:t>
      </w:r>
      <w:r>
        <w:rPr>
          <w:rFonts w:cs="Arial" w:ascii="Arial" w:hAnsi="Arial"/>
          <w:sz w:val="24"/>
        </w:rPr>
        <w:t xml:space="preserve"> </w:t>
      </w:r>
      <w:r>
        <w:rPr>
          <w:rStyle w:val="FootnoteCharacters"/>
          <w:rStyle w:val="FootnoteReference"/>
          <w:rFonts w:cs="Arial" w:ascii="Arial" w:hAnsi="Arial"/>
          <w:sz w:val="24"/>
        </w:rPr>
        <w:footnoteReference w:id="7"/>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BGE’s May 8, 2000 filing of Standby Service under Schedule S, modifies the methodology of the existing Schedule S and of its original proposal, is described below.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The term “Supplementary Service” still applies to that portion of supply of energy and capacity (provided by BGE) above the Customer’s CC.  Supplementary Service, for generation and transmission, will be priced at the Company’s Price Freeze Service (“PFS”) rates, which will depend upon the Customer’s CTC option.</w:t>
      </w:r>
      <w:r>
        <w:rPr>
          <w:rStyle w:val="FootnoteCharacters"/>
          <w:rStyle w:val="FootnoteReference"/>
          <w:rFonts w:cs="Arial" w:ascii="Arial" w:hAnsi="Arial"/>
          <w:sz w:val="24"/>
        </w:rPr>
        <w:footnoteReference w:id="8"/>
      </w:r>
      <w:r>
        <w:rPr>
          <w:rFonts w:cs="Arial" w:ascii="Arial" w:hAnsi="Arial"/>
          <w:sz w:val="24"/>
        </w:rPr>
        <w:t xml:space="preserve">  </w:t>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 xml:space="preserve">Market Service applies to the portion of supply of capacity and energy (provided by BGE) service below the Customer’s CC.  Market Service, for generation and transmission, will be priced at Schedule Default Service (DS) rates. </w:t>
      </w:r>
      <w:r>
        <w:rPr>
          <w:rStyle w:val="FootnoteCharacters"/>
          <w:rStyle w:val="FootnoteReference"/>
          <w:rFonts w:cs="Arial" w:ascii="Arial" w:hAnsi="Arial"/>
          <w:sz w:val="24"/>
        </w:rPr>
        <w:footnoteReference w:id="9"/>
      </w:r>
      <w:r>
        <w:rPr>
          <w:rFonts w:cs="Arial" w:ascii="Arial" w:hAnsi="Arial"/>
          <w:sz w:val="24"/>
        </w:rPr>
        <w:t xml:space="preserve">    </w:t>
      </w:r>
    </w:p>
    <w:p>
      <w:pPr>
        <w:pStyle w:val="Heading1"/>
        <w:ind w:hanging="0" w:start="0" w:end="-58"/>
        <w:rPr>
          <w:rFonts w:ascii="Arial" w:hAnsi="Arial" w:cs="Arial"/>
          <w:sz w:val="24"/>
        </w:rPr>
      </w:pPr>
      <w:r>
        <w:rPr>
          <w:rFonts w:cs="Arial"/>
          <w:sz w:val="24"/>
        </w:rPr>
      </w:r>
    </w:p>
    <w:p>
      <w:pPr>
        <w:pStyle w:val="Heading1"/>
        <w:ind w:hanging="0" w:start="0" w:end="-58"/>
        <w:rPr/>
      </w:pPr>
      <w:r>
        <w:rPr/>
        <w:t>The Market Days methodology as used under the existing Schedule S service (</w:t>
      </w:r>
      <w:r>
        <w:rPr>
          <w:u w:val="single"/>
        </w:rPr>
        <w:t>i</w:t>
      </w:r>
      <w:r>
        <w:rPr/>
        <w:t>.</w:t>
      </w:r>
      <w:r>
        <w:rPr>
          <w:u w:val="single"/>
        </w:rPr>
        <w:t>e</w:t>
      </w:r>
      <w:r>
        <w:rPr/>
        <w:t>. the distinction between Type A – low cost days, and Type B – high cost days) has been eliminated.  Rider 17 (Best Efforts Service) has also been eliminated in the instant filing, except for one customer that presently takes service under that rider.</w:t>
      </w:r>
    </w:p>
    <w:p>
      <w:pPr>
        <w:pStyle w:val="Normal"/>
        <w:ind w:end="-58"/>
        <w:rPr/>
      </w:pPr>
      <w:r>
        <w:rPr/>
        <w:t xml:space="preserve"> </w:t>
      </w:r>
    </w:p>
    <w:p>
      <w:pPr>
        <w:pStyle w:val="BodyText"/>
        <w:ind w:end="-58"/>
        <w:rPr/>
      </w:pPr>
      <w:r>
        <w:rPr/>
        <w:t xml:space="preserve">Standby generation and transmission services are offered under two options.  Option 1A is available for those customers that use self-generation for their entire baseload service.  Under Option 1A a customer may take either Supplementary or Market service, depending upon whether they are above or below their CC (as under the current Schedule S service).  Option 1B is available for those customers that use self-generation for Peak Shaving or Intermediate Peak service.  Under Option 1B, a customer may receive Supplementary Service for that portion of service above their CC, and on-peak energy service (Market Service) for that portion of their contract service below their CC, at the Company’s Schedule DS rates.  Furthermore, under Options 1A and 1B, the requirement of the Price Freeze floor for Market Service provided at Schedule DS rates does not apply. </w:t>
      </w:r>
      <w:r>
        <w:rPr>
          <w:rStyle w:val="FootnoteCharacters"/>
          <w:rStyle w:val="FootnoteReference"/>
        </w:rPr>
        <w:footnoteReference w:id="10"/>
      </w:r>
    </w:p>
    <w:p>
      <w:pPr>
        <w:pStyle w:val="BodyText"/>
        <w:ind w:end="-58"/>
        <w:rPr/>
      </w:pPr>
      <w:r>
        <w:rPr/>
      </w:r>
    </w:p>
    <w:p>
      <w:pPr>
        <w:pStyle w:val="BodyText"/>
        <w:ind w:end="-58"/>
        <w:rPr/>
      </w:pPr>
      <w:r>
        <w:rPr/>
      </w:r>
    </w:p>
    <w:p>
      <w:pPr>
        <w:pStyle w:val="BodyText"/>
        <w:ind w:end="-58"/>
        <w:rPr/>
      </w:pPr>
      <w:r>
        <w:rPr/>
        <w:t>Option 2A is available to customers that seek a firm Standby Delivery Service.  Under this option, Firm Delivery Service is provided by the Company for that portion of the customer’s total facility load at the tariff rates of the controlling Schedule (GL or P).  Delivery service usage below the CC is provided at the controlling schedule tariff kWh delivery service energy charge.  The minimum monthly charge for customers will be the minimum monthly delivery service demand charge equal to the CC for that customer (Schedule GL or P as applicable).</w:t>
      </w:r>
    </w:p>
    <w:p>
      <w:pPr>
        <w:pStyle w:val="BodyText"/>
        <w:ind w:end="-58"/>
        <w:rPr/>
      </w:pPr>
      <w:r>
        <w:rPr/>
      </w:r>
    </w:p>
    <w:p>
      <w:pPr>
        <w:pStyle w:val="BodyText"/>
        <w:ind w:end="-58"/>
        <w:rPr/>
      </w:pPr>
      <w:r>
        <w:rPr/>
        <w:t>Option 2B is Standby Interruptible Delivery Service.  Delivery service will be provided by the Company up to a maximum level specified by the customer (as a delivery service requirement).  The monthly delivery service demand charge is applied to the customer’s delivery service requirement.  Delivery service usage is assessed at the customer’s controlling schedule tariff kWh delivery rate.  The customer will pay for load monitoring and control equipment to be owned, operated and maintained by the Company.  The load limiting equipment will be designed such that if the Customer’s load exceeds the (pre-specified) delivery service requirement, the electric service to the Customer will be cut off, and service will not be restored until the Customer’s load falls below the delivery service requirement, and the load limiting equipment is reset (</w:t>
      </w:r>
      <w:r>
        <w:rPr>
          <w:u w:val="single"/>
        </w:rPr>
        <w:t>e</w:t>
      </w:r>
      <w:r>
        <w:rPr/>
        <w:t>.</w:t>
      </w:r>
      <w:r>
        <w:rPr>
          <w:u w:val="single"/>
        </w:rPr>
        <w:t>g</w:t>
      </w:r>
      <w:r>
        <w:rPr/>
        <w:t xml:space="preserve">. an automatic fuse or switch).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Other identified terms are defined below.</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Delivery Service – electric distribution services (wires, billing and metering) plus generation regulatory assets and nuclear decommissioning costs.</w:t>
      </w:r>
    </w:p>
    <w:p>
      <w:pPr>
        <w:pStyle w:val="Heading2"/>
        <w:ind w:hanging="0" w:start="0" w:end="-58"/>
        <w:rPr>
          <w:rFonts w:ascii="Arial" w:hAnsi="Arial" w:cs="Arial"/>
          <w:sz w:val="24"/>
          <w:u w:val="none"/>
        </w:rPr>
      </w:pPr>
      <w:r>
        <w:rPr>
          <w:rFonts w:cs="Arial"/>
          <w:sz w:val="24"/>
          <w:u w:val="none"/>
        </w:rPr>
      </w:r>
    </w:p>
    <w:p>
      <w:pPr>
        <w:pStyle w:val="Heading2"/>
        <w:ind w:hanging="0" w:start="0" w:end="-58"/>
        <w:rPr>
          <w:u w:val="none"/>
        </w:rPr>
      </w:pPr>
      <w:r>
        <w:rPr>
          <w:u w:val="none"/>
        </w:rPr>
        <w:t xml:space="preserve">CTC – the Competitive Transition Charge that is applicable to each customer under the service option chosen and the controlling schedule, whether the </w:t>
      </w:r>
    </w:p>
    <w:p>
      <w:pPr>
        <w:pStyle w:val="Heading2"/>
        <w:ind w:hanging="0" w:start="0" w:end="-58"/>
        <w:rPr/>
      </w:pPr>
      <w:r>
        <w:rPr>
          <w:u w:val="none"/>
        </w:rPr>
        <w:t xml:space="preserve">Customer purchases electricity from BGE, a third party, or the customer self-generates the electric energy. </w:t>
      </w:r>
      <w:r>
        <w:rPr>
          <w:rStyle w:val="FootnoteCharacters"/>
          <w:rStyle w:val="FootnoteReference"/>
          <w:u w:val="none"/>
        </w:rPr>
        <w:footnoteReference w:id="11"/>
      </w:r>
      <w:r>
        <w:rPr>
          <w:u w:val="none"/>
        </w:rPr>
        <w:t xml:space="preserve"> </w:t>
      </w:r>
    </w:p>
    <w:p>
      <w:pPr>
        <w:pStyle w:val="Normal"/>
        <w:ind w:end="-58"/>
        <w:rPr>
          <w:rFonts w:ascii="Arial" w:hAnsi="Arial" w:cs="Arial"/>
          <w:sz w:val="24"/>
          <w:u w:val="none"/>
        </w:rPr>
      </w:pPr>
      <w:r>
        <w:rPr>
          <w:rFonts w:cs="Arial" w:ascii="Arial" w:hAnsi="Arial"/>
          <w:sz w:val="24"/>
          <w:u w:val="none"/>
        </w:rPr>
      </w:r>
    </w:p>
    <w:p>
      <w:pPr>
        <w:pStyle w:val="Normal"/>
        <w:ind w:end="-58"/>
        <w:rPr>
          <w:rFonts w:ascii="Arial" w:hAnsi="Arial" w:cs="Arial"/>
          <w:sz w:val="24"/>
        </w:rPr>
      </w:pPr>
      <w:r>
        <w:rPr>
          <w:rFonts w:cs="Arial" w:ascii="Arial" w:hAnsi="Arial"/>
          <w:sz w:val="24"/>
        </w:rPr>
        <w:t>Certain special provisions also apply under Schedule S.  These are noted below.</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A Customer is required to furnish and maintain Company approved metering and communication equipment necessary to allow the Company to monitor and meter the output of the Customer’s self-provided generation, and to communicate rate and billing information on an interactive basis.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A Customer’s seasonal CC may be increased during a contract year if the Customer’s self-provided generation is found to be 15% or more above the existing level.  Likewise the Customer may request a reduction by up to 15% of the seasonal CC, if such a request is consistent with the maximum self-provided generation.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At the Company’s request, the Customer shall provide certain data or information concerning the unavailability of the alternative power source.</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Operation of the Customer’s generation facilities in parallel with the Company’s service also provides for certain requirements with respect to installation of protective devices, non-liability of the Company to losses by third parties as a result of the operation of the Customer’s generation facilities, and the ceasing of parallel operation if requested by the Company.</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The term of contract service for Options 1A, 1B and 2A will be one year.  The term of contract for Option 2B will be three (3) years. </w:t>
      </w:r>
    </w:p>
    <w:p>
      <w:pPr>
        <w:pStyle w:val="Normal"/>
        <w:ind w:end="-58"/>
        <w:rPr>
          <w:rFonts w:ascii="Arial" w:hAnsi="Arial" w:cs="Arial"/>
          <w:b/>
          <w:sz w:val="24"/>
        </w:rPr>
      </w:pPr>
      <w:r>
        <w:rPr>
          <w:rFonts w:cs="Arial" w:ascii="Arial" w:hAnsi="Arial"/>
          <w:b/>
          <w:sz w:val="24"/>
        </w:rPr>
      </w:r>
    </w:p>
    <w:p>
      <w:pPr>
        <w:pStyle w:val="Normal"/>
        <w:ind w:end="-58"/>
        <w:rPr>
          <w:rFonts w:ascii="Arial" w:hAnsi="Arial" w:cs="Arial"/>
          <w:b/>
          <w:sz w:val="24"/>
        </w:rPr>
      </w:pPr>
      <w:r>
        <w:rPr>
          <w:rFonts w:cs="Arial" w:ascii="Arial" w:hAnsi="Arial"/>
          <w:b/>
          <w:sz w:val="24"/>
        </w:rPr>
      </w:r>
    </w:p>
    <w:p>
      <w:pPr>
        <w:pStyle w:val="Normal"/>
        <w:ind w:end="-58"/>
        <w:rPr>
          <w:rFonts w:ascii="Arial" w:hAnsi="Arial" w:cs="Arial"/>
          <w:b/>
          <w:sz w:val="24"/>
        </w:rPr>
      </w:pPr>
      <w:r>
        <w:rPr>
          <w:rFonts w:cs="Arial" w:ascii="Arial" w:hAnsi="Arial"/>
          <w:b/>
          <w:sz w:val="24"/>
        </w:rPr>
        <w:t>Review and Analysis:</w:t>
      </w:r>
    </w:p>
    <w:p>
      <w:pPr>
        <w:pStyle w:val="Normal"/>
        <w:ind w:end="-58"/>
        <w:rPr>
          <w:rFonts w:ascii="Arial" w:hAnsi="Arial" w:cs="Arial"/>
          <w:b/>
          <w:sz w:val="24"/>
        </w:rPr>
      </w:pPr>
      <w:r>
        <w:rPr>
          <w:rFonts w:cs="Arial" w:ascii="Arial" w:hAnsi="Arial"/>
          <w:b/>
          <w:sz w:val="24"/>
        </w:rPr>
      </w:r>
    </w:p>
    <w:p>
      <w:pPr>
        <w:pStyle w:val="Normal"/>
        <w:ind w:end="-58"/>
        <w:rPr/>
      </w:pPr>
      <w:r>
        <w:rPr>
          <w:rFonts w:cs="Arial" w:ascii="Arial" w:hAnsi="Arial"/>
          <w:sz w:val="24"/>
        </w:rPr>
        <w:t>Staff observes at the outset that the proposed Schedule S (the May 8</w:t>
      </w:r>
      <w:r>
        <w:rPr>
          <w:rFonts w:cs="Arial" w:ascii="Arial" w:hAnsi="Arial"/>
          <w:sz w:val="24"/>
          <w:vertAlign w:val="superscript"/>
        </w:rPr>
        <w:t>th</w:t>
      </w:r>
      <w:r>
        <w:rPr>
          <w:rFonts w:cs="Arial" w:ascii="Arial" w:hAnsi="Arial"/>
          <w:sz w:val="24"/>
        </w:rPr>
        <w:t xml:space="preserve"> filing) resulted from a series of discussions among the parties.  The schedule as proposed is not a perfect solution to all the issues that were raised by the various parties.  However, the proposed filing is a practical solution to the problem of modifying Schedule S service so that it conforms the existing “standby services” to the new paradigm of supply choice and, is made pursuant to the requirements of Paragraph 21(b) of the Settlement.  Moreover, it is likely the best (solution) under the present time constraints and after careful weighing of the competing interests of the parties.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Staff notes that we believe that many of the issues raised by the various parties have been addressed by the instant filing.  However, other issues were unresolved and are discussed below.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With respect to the issue of the size specification for the applicability of Schedule S, Staff is sympathetic to the argument that the size specification requirement  under Schedule S (down to generators of size 100 kW) may slow the adoption of DG services.  We note that the Act as incorporated in the Public Utility Companies Article, Section 7-513, specifies a level down to 500 kW for the application of the exemptions to the CTC.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In discussions with the Company, BGE stated that the rules for service under Schedule S are spelled out in the Retail Tariff and in the Settlement, and these had not changed.  Moreover, BGE stated that other concerns impinged on its decision to not change the size specification for self-generation units under Schedule S.  </w:t>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One is the Company’s concerns is that its ability to collect the CTC revenues that it is entitled to collect under the Settlement should not be restricted.  A second concern was that if a significant number of larger DG units (</w:t>
      </w:r>
      <w:r>
        <w:rPr>
          <w:rFonts w:cs="Arial" w:ascii="Arial" w:hAnsi="Arial"/>
          <w:sz w:val="24"/>
          <w:u w:val="single"/>
        </w:rPr>
        <w:t>e</w:t>
      </w:r>
      <w:r>
        <w:rPr>
          <w:rFonts w:cs="Arial" w:ascii="Arial" w:hAnsi="Arial"/>
          <w:sz w:val="24"/>
        </w:rPr>
        <w:t>.</w:t>
      </w:r>
      <w:r>
        <w:rPr>
          <w:rFonts w:cs="Arial" w:ascii="Arial" w:hAnsi="Arial"/>
          <w:sz w:val="24"/>
          <w:u w:val="single"/>
        </w:rPr>
        <w:t>g</w:t>
      </w:r>
      <w:r>
        <w:rPr>
          <w:rFonts w:cs="Arial" w:ascii="Arial" w:hAnsi="Arial"/>
          <w:sz w:val="24"/>
        </w:rPr>
        <w:t>. units in the range of 5-10 MW) came on-line within the BGE service area; the presence of these larger units could alter the stability and reliability of the BGE delivery system (T&amp;D) within its service area.  Although, larger sized DG units (e.g. 5 MW –10MW size) could impact BGE’s distribution system if these units were cycling on and off (particularly if this occurred on an irregular basis), this would not necessarily be the case for smaller DG units of 500 kW or smaller.  Moreover, Staff opines that a larger number of small units (</w:t>
      </w:r>
      <w:r>
        <w:rPr>
          <w:rFonts w:cs="Arial" w:ascii="Arial" w:hAnsi="Arial"/>
          <w:sz w:val="24"/>
          <w:u w:val="single"/>
        </w:rPr>
        <w:t>i</w:t>
      </w:r>
      <w:r>
        <w:rPr>
          <w:rFonts w:cs="Arial" w:ascii="Arial" w:hAnsi="Arial"/>
          <w:sz w:val="24"/>
        </w:rPr>
        <w:t>.</w:t>
      </w:r>
      <w:r>
        <w:rPr>
          <w:rFonts w:cs="Arial" w:ascii="Arial" w:hAnsi="Arial"/>
          <w:sz w:val="24"/>
          <w:u w:val="single"/>
        </w:rPr>
        <w:t>e</w:t>
      </w:r>
      <w:r>
        <w:rPr>
          <w:rFonts w:cs="Arial" w:ascii="Arial" w:hAnsi="Arial"/>
          <w:sz w:val="24"/>
        </w:rPr>
        <w:t xml:space="preserve">. 500 kW or less) could actually improve reliability by increasing the diversity of the load on BGE’s system.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Nonetheless, Staff is in accord with the Company’s view that the rules for service under Schedule S are spelled out in the Retail Tariff and by the Settlement, and these have not changed.  Moreover, Staff is also cognizant of BGE’s strong opposition to changing this size specification, and BGE’s concern that it should be allowed to collect all the CTC revenues that it is entitled to pursuant to the Settlement. While Staff could agree with other stakeholders, that increasing the participation of DG services would have overall benefits for the electricity services market, Staff was a signatory to the Settlement.  Accordingly, we believe that this issue, which cannot be amicably settled at this time, should be set aside for now.  This “minimum size” of the exempt generators issue may be addressed in a future proceeding.</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BGE’s Schedule S filing does not address the concerns that customers that reduce their demand from BGE by adopting DSM measures are treated differently than customers who opt for investing in self-generating equipment.  Both measures would reduce the required investment by BGE for facilities, principally T&amp;D to serve these customers. </w:t>
      </w:r>
    </w:p>
    <w:p>
      <w:pPr>
        <w:pStyle w:val="Normal"/>
        <w:ind w:end="-58"/>
        <w:rPr>
          <w:rFonts w:ascii="Arial" w:hAnsi="Arial" w:cs="Arial"/>
          <w:sz w:val="24"/>
        </w:rPr>
      </w:pPr>
      <w:r>
        <w:rPr>
          <w:rFonts w:cs="Arial" w:ascii="Arial" w:hAnsi="Arial"/>
          <w:sz w:val="24"/>
        </w:rPr>
      </w:r>
    </w:p>
    <w:p>
      <w:pPr>
        <w:pStyle w:val="Normal"/>
        <w:ind w:end="-58"/>
        <w:rPr/>
      </w:pPr>
      <w:r>
        <w:rPr>
          <w:rFonts w:cs="Arial" w:ascii="Arial" w:hAnsi="Arial"/>
          <w:sz w:val="24"/>
        </w:rPr>
        <w:t>It is generally understood that DSM measures may have a more permanent nature so that there are no daily requirements to get the required benefit.  The energy savings from adopting DSM measures have an automatic nature to them.  On the other hand, operating self-generation equipment may have more day-to-day vagaries, such that a generator (</w:t>
      </w:r>
      <w:r>
        <w:rPr>
          <w:rFonts w:cs="Arial" w:ascii="Arial" w:hAnsi="Arial"/>
          <w:sz w:val="24"/>
          <w:u w:val="single"/>
        </w:rPr>
        <w:t>e</w:t>
      </w:r>
      <w:r>
        <w:rPr>
          <w:rFonts w:cs="Arial" w:ascii="Arial" w:hAnsi="Arial"/>
          <w:sz w:val="24"/>
        </w:rPr>
        <w:t>.</w:t>
      </w:r>
      <w:r>
        <w:rPr>
          <w:rFonts w:cs="Arial" w:ascii="Arial" w:hAnsi="Arial"/>
          <w:sz w:val="24"/>
          <w:u w:val="single"/>
        </w:rPr>
        <w:t>g</w:t>
      </w:r>
      <w:r>
        <w:rPr>
          <w:rFonts w:cs="Arial" w:ascii="Arial" w:hAnsi="Arial"/>
          <w:sz w:val="24"/>
        </w:rPr>
        <w:t>. a stand-alone diesel generator or a microturbine unit) requires more careful monitoring on a daily basis to get the required effect (</w:t>
      </w:r>
      <w:r>
        <w:rPr>
          <w:rFonts w:cs="Arial" w:ascii="Arial" w:hAnsi="Arial"/>
          <w:sz w:val="24"/>
          <w:u w:val="single"/>
        </w:rPr>
        <w:t>i</w:t>
      </w:r>
      <w:r>
        <w:rPr>
          <w:rFonts w:cs="Arial" w:ascii="Arial" w:hAnsi="Arial"/>
          <w:sz w:val="24"/>
        </w:rPr>
        <w:t>.</w:t>
      </w:r>
      <w:r>
        <w:rPr>
          <w:rFonts w:cs="Arial" w:ascii="Arial" w:hAnsi="Arial"/>
          <w:sz w:val="24"/>
          <w:u w:val="single"/>
        </w:rPr>
        <w:t>e</w:t>
      </w:r>
      <w:r>
        <w:rPr>
          <w:rFonts w:cs="Arial" w:ascii="Arial" w:hAnsi="Arial"/>
          <w:sz w:val="24"/>
        </w:rPr>
        <w:t xml:space="preserve">. cutback of utility services). We note that this issue is more of a long-term problem, however, and can be more properly addressed in a future proceeding dealing with standby services, as discussed below.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Staff is also concerned that the three-year requirement for Option 2B may result in few customers choosing this option.  Such a result would significantly reduce the flexibility for delivery service under Schedule S.  In its cover letter to the instant filing, the Company stated that it is open to studying other pricing options (to Option 2B) with Customer and Staff input, as long as any eventual pricing option would allow BGE to recover the costs of their delivery service investments.  Staff would consider the exploration of other pricing alternatives as useful, if these alternatives serve to expand the electric service opportunities for customers.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 xml:space="preserve">In order to monitor the use of this service schedule, Staff recommends that the Company be directed to report to the Commission how service under this Schedule S is proceeding, and what the level of use or non-use of service under Schedule S is.  We are particularly interested in how many customers will be served under Option 2B.  We note that under the Settlement, the Company may file for rate design changes after July 1, 2001 (Paragraph 34).  Since the modification of these (distribution) rates might impact service under Schedule S, Staff would recommend that the Company be directed to report to the Commission, by July 31, 2001, concerning the service being provided under Schedule S (as detailed above).  Staff would also recommend that the Company be directed to report again to the Commission by July 1, 2002, with respect to Schedule S (as in the recommended July 31, 2001 report).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b/>
          <w:sz w:val="24"/>
        </w:rPr>
      </w:pPr>
      <w:r>
        <w:rPr>
          <w:rFonts w:cs="Arial" w:ascii="Arial" w:hAnsi="Arial"/>
          <w:b/>
          <w:sz w:val="24"/>
        </w:rPr>
        <w:t xml:space="preserve">Final Comments: </w:t>
      </w:r>
    </w:p>
    <w:p>
      <w:pPr>
        <w:pStyle w:val="Normal"/>
        <w:ind w:end="-58"/>
        <w:rPr>
          <w:rFonts w:ascii="Arial" w:hAnsi="Arial" w:cs="Arial"/>
          <w:b/>
          <w:sz w:val="24"/>
        </w:rPr>
      </w:pPr>
      <w:r>
        <w:rPr>
          <w:rFonts w:cs="Arial" w:ascii="Arial" w:hAnsi="Arial"/>
          <w:b/>
          <w:sz w:val="24"/>
        </w:rPr>
      </w:r>
    </w:p>
    <w:p>
      <w:pPr>
        <w:pStyle w:val="Normal"/>
        <w:ind w:end="-58"/>
        <w:rPr>
          <w:rFonts w:ascii="Arial" w:hAnsi="Arial" w:cs="Arial"/>
          <w:sz w:val="24"/>
        </w:rPr>
      </w:pPr>
      <w:r>
        <w:rPr>
          <w:rFonts w:cs="Arial" w:ascii="Arial" w:hAnsi="Arial"/>
          <w:sz w:val="24"/>
        </w:rPr>
        <w:t>The proposed filing clearly complies with the Settlement requirement that Customers may purchase the energy and capacity (notably the level) of standby service from third suppliers.  Customers with self-generation have a choice of standby energy and transmission provider.  From the perspective of the Customer, BGE’s standby generation service may not be optimal.  However, in the environment of Choice, the public interest does not require that regulated utilities provide ideal services in competition with non-regulated services.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The filing also complies with point (2) of Paragraph 21(b) by giving the Customer the flexibility of choosing the level of standby capacity and energy they require from an alternative supplier.  Point (3) of Paragraph 21(b) requires that Customers who return to BGE provided standby generation and transmission because of a failure on the part of the electricity supplier to pay the DS rate.  The filing implicitly contains this requirement because Schedule S Customers are subject to the requirements of their controlling rate schedules.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Staff notes that it is possible that the various issues raised in this filing (including that of interconnection standards discussed previously in the “Issues Raised Section”) may be better addressed by instituting a generic proceeding for standby electric services.  Accordingly, Staff will monitor the effect of this Schedule S in the BGE service area, and will recommend to the Commission in a future filing, if a generic proceeding is the appropriate venue for handling standby services issues in the State of Maryland.  Staff will advise the Commission of the necessity for such a generic proceeding in a report to be filed with the Commission, no later than December 31, 2001.</w:t>
      </w:r>
    </w:p>
    <w:p>
      <w:pPr>
        <w:pStyle w:val="Normal"/>
        <w:ind w:end="-58"/>
        <w:rPr>
          <w:rFonts w:ascii="Arial" w:hAnsi="Arial" w:cs="Arial"/>
          <w:b/>
          <w:sz w:val="24"/>
        </w:rPr>
      </w:pPr>
      <w:r>
        <w:rPr>
          <w:rFonts w:cs="Arial" w:ascii="Arial" w:hAnsi="Arial"/>
          <w:b/>
          <w:sz w:val="24"/>
        </w:rPr>
      </w:r>
    </w:p>
    <w:p>
      <w:pPr>
        <w:pStyle w:val="Normal"/>
        <w:ind w:end="-58"/>
        <w:rPr/>
      </w:pPr>
      <w:r>
        <w:rPr>
          <w:rFonts w:cs="Arial" w:ascii="Arial" w:hAnsi="Arial"/>
          <w:b/>
          <w:sz w:val="24"/>
        </w:rPr>
        <w:t>Recommendation:</w:t>
      </w:r>
      <w:r>
        <w:rPr>
          <w:rFonts w:cs="Arial" w:ascii="Arial" w:hAnsi="Arial"/>
          <w:sz w:val="24"/>
        </w:rPr>
        <w:t xml:space="preserve">  </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The proposed Supplement for Standby Services (Schedule S) should be accepted for filing.  The Company is to report to this Commission by July 31, 2001 and July 1, 2002, on the full effect of the services being provided under Schedule S.</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ab/>
        <w:tab/>
        <w:tab/>
        <w:tab/>
        <w:tab/>
        <w:tab/>
        <w:t>_________________</w:t>
      </w:r>
    </w:p>
    <w:p>
      <w:pPr>
        <w:pStyle w:val="Normal"/>
        <w:ind w:end="-58"/>
        <w:rPr>
          <w:rFonts w:ascii="Arial" w:hAnsi="Arial" w:cs="Arial"/>
          <w:sz w:val="24"/>
        </w:rPr>
      </w:pPr>
      <w:r>
        <w:rPr>
          <w:rFonts w:cs="Arial" w:ascii="Arial" w:hAnsi="Arial"/>
          <w:sz w:val="24"/>
        </w:rPr>
        <w:tab/>
        <w:tab/>
        <w:tab/>
        <w:tab/>
        <w:tab/>
        <w:tab/>
        <w:t>Gunter J. Elert</w:t>
      </w:r>
    </w:p>
    <w:p>
      <w:pPr>
        <w:pStyle w:val="Normal"/>
        <w:ind w:end="-58"/>
        <w:rPr>
          <w:rFonts w:ascii="Arial" w:hAnsi="Arial" w:cs="Arial"/>
          <w:sz w:val="24"/>
        </w:rPr>
      </w:pPr>
      <w:r>
        <w:rPr>
          <w:rFonts w:cs="Arial" w:ascii="Arial" w:hAnsi="Arial"/>
          <w:sz w:val="24"/>
        </w:rPr>
        <w:tab/>
        <w:tab/>
        <w:tab/>
        <w:tab/>
        <w:tab/>
        <w:tab/>
        <w:t>Regulatory Economist</w:t>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r>
    </w:p>
    <w:p>
      <w:pPr>
        <w:pStyle w:val="Normal"/>
        <w:ind w:end="-58"/>
        <w:rPr>
          <w:rFonts w:ascii="Arial" w:hAnsi="Arial" w:cs="Arial"/>
          <w:sz w:val="24"/>
        </w:rPr>
      </w:pPr>
      <w:r>
        <w:rPr>
          <w:rFonts w:cs="Arial" w:ascii="Arial" w:hAnsi="Arial"/>
          <w:sz w:val="24"/>
        </w:rPr>
        <w:t>cc:</w:t>
        <w:tab/>
        <w:t>Susan Steven Miller, General Counsel</w:t>
      </w:r>
    </w:p>
    <w:p>
      <w:pPr>
        <w:pStyle w:val="Normal"/>
        <w:ind w:end="-58"/>
        <w:rPr>
          <w:rFonts w:ascii="Arial" w:hAnsi="Arial" w:cs="Arial"/>
          <w:sz w:val="24"/>
        </w:rPr>
      </w:pPr>
      <w:r>
        <w:rPr>
          <w:rFonts w:cs="Arial" w:ascii="Arial" w:hAnsi="Arial"/>
          <w:sz w:val="24"/>
        </w:rPr>
        <w:tab/>
        <w:t>Felecia L. Greer, Executive Secretary</w:t>
      </w:r>
    </w:p>
    <w:p>
      <w:pPr>
        <w:pStyle w:val="Normal"/>
        <w:ind w:end="-58"/>
        <w:rPr>
          <w:rFonts w:ascii="Arial" w:hAnsi="Arial" w:cs="Arial"/>
          <w:sz w:val="24"/>
        </w:rPr>
      </w:pPr>
      <w:r>
        <w:rPr>
          <w:rFonts w:cs="Arial" w:ascii="Arial" w:hAnsi="Arial"/>
          <w:sz w:val="24"/>
        </w:rPr>
        <w:tab/>
        <w:t>Joel Bright, Acting Chief Hearing Examiner</w:t>
      </w:r>
    </w:p>
    <w:p>
      <w:pPr>
        <w:pStyle w:val="Heading3"/>
        <w:rPr/>
      </w:pPr>
      <w:r>
        <w:rPr/>
        <w:tab/>
        <w:t xml:space="preserve">Chrys Wilson, Manager, External Affairs  </w:t>
      </w:r>
    </w:p>
    <w:sectPr>
      <w:headerReference w:type="default" r:id="rId2"/>
      <w:footnotePr>
        <w:numFmt w:val="decimal"/>
      </w:footnotePr>
      <w:type w:val="nextPage"/>
      <w:pgSz w:w="12240" w:h="15840"/>
      <w:pgMar w:left="1829" w:right="1829"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“DS” rate refers to “default service” that is to be provided by BGE for a certain class of non-residential customers.  This is discussed further below.  </w:t>
      </w:r>
    </w:p>
  </w:footnote>
  <w:footnote w:id="3">
    <w:p>
      <w:pPr>
        <w:pStyle w:val="FootnoteText"/>
        <w:rPr/>
      </w:pPr>
      <w:r>
        <w:rPr>
          <w:rStyle w:val="FootnoteCharacters"/>
        </w:rPr>
        <w:footnoteRef/>
      </w:r>
      <w:r>
        <w:rPr/>
        <w:t xml:space="preserve"> </w:t>
      </w:r>
      <w:r>
        <w:rPr/>
        <w:t>The Federal Energy Regulatory Commission (“FERC”) has jurisdiction over transmission rates and service provisions.</w:t>
      </w:r>
    </w:p>
  </w:footnote>
  <w:footnote w:id="4">
    <w:p>
      <w:pPr>
        <w:pStyle w:val="FootnoteText"/>
        <w:rPr/>
      </w:pPr>
      <w:r>
        <w:rPr>
          <w:rStyle w:val="FootnoteCharacters"/>
        </w:rPr>
        <w:footnoteRef/>
      </w:r>
      <w:r>
        <w:rPr/>
        <w:t xml:space="preserve"> </w:t>
      </w:r>
      <w:r>
        <w:rPr/>
        <w:t>BGE’s February 15</w:t>
      </w:r>
      <w:r>
        <w:rPr>
          <w:vertAlign w:val="superscript"/>
        </w:rPr>
        <w:t>th</w:t>
      </w:r>
      <w:r>
        <w:rPr/>
        <w:t xml:space="preserve"> filing of Schedule S.</w:t>
      </w:r>
    </w:p>
  </w:footnote>
  <w:footnote w:id="5">
    <w:p>
      <w:pPr>
        <w:pStyle w:val="FootnoteText"/>
        <w:rPr/>
      </w:pPr>
      <w:r>
        <w:rPr>
          <w:rStyle w:val="FootnoteCharacters"/>
        </w:rPr>
        <w:footnoteRef/>
      </w:r>
      <w:r>
        <w:rPr/>
        <w:t xml:space="preserve"> </w:t>
      </w:r>
      <w:r>
        <w:rPr/>
        <w:t xml:space="preserve">Comments made by Thomas Casten at a Distributed Generation Conference held at Philadelphia International Airport on April 18, 2000.  Mr. Casten was until recently the CEO of Trigen Energy Corporation. </w:t>
      </w:r>
    </w:p>
  </w:footnote>
  <w:footnote w:id="6">
    <w:p>
      <w:pPr>
        <w:pStyle w:val="Normal"/>
        <w:rPr/>
      </w:pPr>
      <w:r>
        <w:rPr>
          <w:rStyle w:val="FootnoteCharacters"/>
        </w:rPr>
        <w:footnoteRef/>
      </w:r>
      <w:r>
        <w:rPr>
          <w:rFonts w:cs="Arial" w:ascii="Arial" w:hAnsi="Arial"/>
          <w:sz w:val="24"/>
        </w:rPr>
        <w:t xml:space="preserve"> </w:t>
      </w:r>
      <w:r>
        <w:rPr/>
        <w:t>Comments made at a DG conference held by the Department of Energy on April 28, 2000.</w:t>
      </w:r>
    </w:p>
  </w:footnote>
  <w:footnote w:id="7">
    <w:p>
      <w:pPr>
        <w:pStyle w:val="Normal"/>
        <w:rPr/>
      </w:pPr>
      <w:r>
        <w:rPr>
          <w:rStyle w:val="FootnoteCharacters"/>
        </w:rPr>
        <w:footnoteRef/>
      </w:r>
      <w:r>
        <w:rPr/>
        <w:t xml:space="preserve"> </w:t>
      </w:r>
      <w:r>
        <w:rPr/>
        <w:t>As a result of all stakeholder queries on BGE’s February 15th Schedule S filing, the Company decided to hold a series of discussion meetings with customers, competitive suppliers and Staff that would address the perceived deficiencies of the proposed BGE filing (three separate meetings were held).  In addition, Staff held separate discussions with BGE, and with individual parties.  The result of these stakeholder meetings was that closure was brought onto most (but not all) of the issues raised.  BGE’s revised filing of May 8, 2000, is the product of these various consultative discussions.</w:t>
      </w:r>
      <w:r>
        <w:rPr>
          <w:rFonts w:cs="Arial" w:ascii="Arial" w:hAnsi="Arial"/>
          <w:sz w:val="24"/>
        </w:rPr>
        <w:t xml:space="preserve"> </w:t>
      </w:r>
    </w:p>
  </w:footnote>
  <w:footnote w:id="8">
    <w:p>
      <w:pPr>
        <w:pStyle w:val="FootnoteText"/>
        <w:rPr/>
      </w:pPr>
      <w:r>
        <w:rPr>
          <w:rStyle w:val="FootnoteCharacters"/>
        </w:rPr>
        <w:footnoteRef/>
      </w:r>
      <w:r>
        <w:rPr/>
        <w:t xml:space="preserve"> </w:t>
      </w:r>
      <w:r>
        <w:rPr/>
        <w:t>PFS – electric generation supply and transmission services provided by the Company under the Customer’s controlling rate schedule using the Company’s transmission and distribution network. For purposes of this filing, the applicable Schedules are GL and P.</w:t>
      </w:r>
    </w:p>
  </w:footnote>
  <w:footnote w:id="9">
    <w:p>
      <w:pPr>
        <w:pStyle w:val="FootnoteText"/>
        <w:rPr/>
      </w:pPr>
      <w:r>
        <w:rPr>
          <w:rStyle w:val="FootnoteCharacters"/>
        </w:rPr>
        <w:footnoteRef/>
      </w:r>
      <w:r>
        <w:rPr/>
        <w:t xml:space="preserve"> </w:t>
      </w:r>
      <w:r>
        <w:rPr/>
        <w:t>Schedule DS service will be the “default” service available to non-residential customers that do not chose a competitive supplier, pick a competitive supplier who defaults (causing the customer to return to BGE’s Standard Offer Service), or are not able to arrange for service from a competitive supplier, as specified in the Settlement (¶ 16).  These DS rates will generally be the PJM Locational Marginal Price for energy (LMP), the PJM market capacity price, transmission, ancillary services, line losses plus a 7 mills per kWh of service adder (including all appropriate taxes).</w:t>
      </w:r>
    </w:p>
  </w:footnote>
  <w:footnote w:id="10">
    <w:p>
      <w:pPr>
        <w:pStyle w:val="FootnoteText"/>
        <w:rPr/>
      </w:pPr>
      <w:r>
        <w:rPr>
          <w:rStyle w:val="FootnoteCharacters"/>
        </w:rPr>
        <w:footnoteRef/>
      </w:r>
      <w:r>
        <w:rPr/>
        <w:t xml:space="preserve"> </w:t>
      </w:r>
      <w:r>
        <w:rPr/>
        <w:t xml:space="preserve">The Settlement (¶ 17) stipulates that Schedule DS rates will have a price floor set at the applicable PFS level.  The proposed Schedule S offers a particular type of service not available to all BGE customers.  To the extent that any one party objects to this provision of the proposed Schedule S, Staff would have to agree that this provision could be interpreted as a violation of the Settlement under Case Nos. 8794/8804. </w:t>
      </w:r>
      <w:r>
        <w:rPr>
          <w:b/>
        </w:rPr>
        <w:t xml:space="preserve"> </w:t>
      </w:r>
    </w:p>
  </w:footnote>
  <w:footnote w:id="11">
    <w:p>
      <w:pPr>
        <w:pStyle w:val="FootnoteText"/>
        <w:rPr/>
      </w:pPr>
      <w:r>
        <w:rPr>
          <w:rStyle w:val="FootnoteCharacters"/>
        </w:rPr>
        <w:footnoteRef/>
      </w:r>
      <w:r>
        <w:rPr/>
        <w:t xml:space="preserve"> </w:t>
      </w:r>
      <w:r>
        <w:rPr/>
        <w:t>Staff notes that the Act (§ 7-513) exempts only certain customers that qualify and self-generate electric energy from paying the CTC.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p>
    <w:pPr>
      <w:pStyle w:val="Header"/>
      <w:rPr>
        <w:b/>
      </w:rPr>
    </w:pPr>
    <w:r>
      <w:rPr>
        <w:b/>
      </w:rPr>
    </w:r>
  </w:p>
  <w:p>
    <w:pPr>
      <w:pStyle w:val="Header"/>
      <w:rPr>
        <w:b/>
      </w:rPr>
    </w:pPr>
    <w:r>
      <w:rPr>
        <w:b/>
      </w:rPr>
      <w:t>Comments of the Rate Research And Economics Division (RR-1544)</w:t>
    </w:r>
  </w:p>
  <w:p>
    <w:pPr>
      <w:pStyle w:val="Header"/>
      <w:rPr>
        <w:b/>
      </w:rPr>
    </w:pPr>
    <w:r>
      <w:rPr>
        <w:b/>
      </w:rPr>
      <w:t>RE: BGE Standby Services (Schedule S) Supplement to Retail Tariff</w:t>
    </w:r>
  </w:p>
  <w:p>
    <w:pPr>
      <w:pStyle w:val="Header"/>
      <w:rPr>
        <w:b/>
      </w:rPr>
    </w:pPr>
    <w:r>
      <w:rPr>
        <w:b/>
      </w:rPr>
      <w:t>May 17, 2000</w:t>
    </w:r>
  </w:p>
  <w:p>
    <w:pPr>
      <w:pStyle w:val="Header"/>
      <w:rPr>
        <w:b/>
      </w:rPr>
    </w:pPr>
    <w:r>
      <w:rPr>
        <w:b/>
      </w:rPr>
      <w:t>Mail Log Nos. 70734/72056/71332/71336/ 71580/71399 and 71253</w:t>
    </w:r>
  </w:p>
  <w:p>
    <w:pPr>
      <w:pStyle w:val="Header"/>
      <w:rPr>
        <w:rStyle w:val="PageNumber"/>
        <w:b/>
      </w:rPr>
    </w:pPr>
    <w:r>
      <w:rPr>
        <w:b/>
      </w:rPr>
      <w:t xml:space="preserve">Page No. </w:t>
    </w:r>
    <w:r>
      <w:rPr>
        <w:rStyle w:val="PageNumber"/>
        <w:b/>
      </w:rPr>
      <w:fldChar w:fldCharType="begin"/>
    </w:r>
    <w:r>
      <w:rPr>
        <w:rStyle w:val="PageNumber"/>
        <w:b/>
      </w:rPr>
      <w:instrText xml:space="preserve"> PAGE </w:instrText>
    </w:r>
    <w:r>
      <w:rPr>
        <w:rStyle w:val="PageNumber"/>
        <w:b/>
      </w:rPr>
      <w:fldChar w:fldCharType="separate"/>
    </w:r>
    <w:r>
      <w:rPr>
        <w:rStyle w:val="PageNumber"/>
        <w:b/>
      </w:rPr>
      <w:t>11</w:t>
    </w:r>
    <w:r>
      <w:rPr>
        <w:rStyle w:val="PageNumber"/>
        <w:b/>
      </w:rPr>
      <w:fldChar w:fldCharType="end"/>
    </w:r>
  </w:p>
  <w:p>
    <w:pPr>
      <w:pStyle w:val="Header"/>
      <w:rPr>
        <w:rStyle w:val="PageNumber"/>
        <w:b/>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ind w:hanging="0" w:start="0" w:end="-58"/>
      <w:outlineLvl w:val="2"/>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2000-05-19T10:59:00Z</dcterms:created>
  <dc:creator>Gunter Elert</dc:creator>
  <dc:description/>
  <dc:language>en-CA</dc:language>
  <cp:lastModifiedBy>Gunter Elert</cp:lastModifiedBy>
  <cp:lastPrinted>2000-05-17T14:51:00Z</cp:lastPrinted>
  <dcterms:modified xsi:type="dcterms:W3CDTF">2000-05-19T10:59:00Z</dcterms:modified>
  <cp:revision>2</cp:revision>
  <dc:subject/>
  <dc:title>Background:</dc:title>
</cp:coreProperties>
</file>