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spacing w:before="120" w:after="0"/>
        <w:jc w:val="center"/>
        <w:rPr>
          <w:b/>
          <w:sz w:val="28"/>
          <w:lang w:val="en-GB"/>
        </w:rPr>
      </w:pPr>
      <w:r>
        <w:rPr>
          <w:b/>
          <w:sz w:val="28"/>
          <w:lang w:val="en-GB"/>
        </w:rPr>
        <w:t>Date ______________________</w:t>
      </w:r>
    </w:p>
    <w:p>
      <w:pPr>
        <w:pStyle w:val="Normal"/>
        <w:widowControl/>
        <w:suppressAutoHyphens w:val="true"/>
        <w:spacing w:before="120" w:after="0"/>
        <w:rPr>
          <w:b/>
          <w:sz w:val="28"/>
          <w:lang w:val="en-GB"/>
        </w:rPr>
      </w:pPr>
      <w:r>
        <w:rPr>
          <w:b/>
          <w:sz w:val="28"/>
          <w:lang w:val="en-GB"/>
        </w:rPr>
      </w:r>
    </w:p>
    <w:p>
      <w:pPr>
        <w:pStyle w:val="Normal"/>
        <w:widowControl/>
        <w:suppressAutoHyphens w:val="true"/>
        <w:spacing w:before="120" w:after="0"/>
        <w:rPr>
          <w:b/>
          <w:sz w:val="28"/>
          <w:lang w:val="en-GB"/>
        </w:rPr>
      </w:pPr>
      <w:r>
        <w:rPr>
          <w:b/>
          <w:sz w:val="28"/>
          <w:lang w:val="en-GB"/>
        </w:rPr>
      </w:r>
    </w:p>
    <w:p>
      <w:pPr>
        <w:pStyle w:val="Normal"/>
        <w:widowControl/>
        <w:suppressAutoHyphens w:val="true"/>
        <w:spacing w:before="120" w:after="0"/>
        <w:rPr>
          <w:b/>
          <w:sz w:val="28"/>
          <w:lang w:val="en-GB"/>
        </w:rPr>
      </w:pPr>
      <w:r>
        <w:rPr>
          <w:b/>
          <w:sz w:val="28"/>
          <w:lang w:val="en-GB"/>
        </w:rPr>
      </w:r>
    </w:p>
    <w:p>
      <w:pPr>
        <w:pStyle w:val="Normal"/>
        <w:widowControl/>
        <w:suppressAutoHyphens w:val="true"/>
        <w:spacing w:before="120" w:after="0"/>
        <w:jc w:val="center"/>
        <w:rPr>
          <w:b/>
          <w:sz w:val="28"/>
          <w:u w:val="single"/>
          <w:lang w:val="en-GB"/>
        </w:rPr>
      </w:pPr>
      <w:r>
        <w:rPr>
          <w:b/>
          <w:sz w:val="28"/>
          <w:u w:val="single"/>
          <w:lang w:val="en-GB"/>
        </w:rPr>
        <w:t>Cross-Affiliate Netting and Mark – to – market</w:t>
      </w:r>
    </w:p>
    <w:p>
      <w:pPr>
        <w:pStyle w:val="Normal"/>
        <w:widowControl/>
        <w:suppressAutoHyphens w:val="true"/>
        <w:spacing w:before="120" w:after="0"/>
        <w:jc w:val="center"/>
        <w:rPr>
          <w:b/>
          <w:sz w:val="28"/>
          <w:lang w:val="en-GB"/>
        </w:rPr>
      </w:pPr>
      <w:r>
        <w:rPr>
          <w:b/>
          <w:sz w:val="28"/>
          <w:u w:val="single"/>
          <w:lang w:val="en-GB"/>
        </w:rPr>
        <w:t>Margining Agreement</w:t>
      </w:r>
    </w:p>
    <w:p>
      <w:pPr>
        <w:pStyle w:val="Normal"/>
        <w:widowControl/>
        <w:suppressAutoHyphens w:val="true"/>
        <w:rPr>
          <w:b/>
          <w:sz w:val="28"/>
          <w:lang w:val="en-GB"/>
        </w:rPr>
      </w:pPr>
      <w:r>
        <w:rPr>
          <w:b/>
          <w:sz w:val="28"/>
          <w:lang w:val="en-GB"/>
        </w:rPr>
      </w:r>
    </w:p>
    <w:p>
      <w:pPr>
        <w:pStyle w:val="Header"/>
        <w:widowControl/>
        <w:tabs>
          <w:tab w:val="clear" w:pos="4536"/>
          <w:tab w:val="clear" w:pos="9072"/>
        </w:tabs>
        <w:suppressAutoHyphens w:val="true"/>
        <w:rPr>
          <w:sz w:val="28"/>
          <w:lang w:val="en-GB"/>
        </w:rPr>
      </w:pPr>
      <w:r>
        <w:rPr>
          <w:sz w:val="28"/>
          <w:lang w:val="en-GB"/>
        </w:rPr>
      </w:r>
    </w:p>
    <w:p>
      <w:pPr>
        <w:pStyle w:val="Header"/>
        <w:widowControl/>
        <w:tabs>
          <w:tab w:val="clear" w:pos="4536"/>
          <w:tab w:val="clear" w:pos="9072"/>
        </w:tabs>
        <w:suppressAutoHyphens w:val="true"/>
        <w:rPr>
          <w:sz w:val="28"/>
          <w:lang w:val="en-GB"/>
        </w:rPr>
      </w:pPr>
      <w:r>
        <w:rPr>
          <w:sz w:val="28"/>
          <w:lang w:val="en-GB"/>
        </w:rPr>
      </w:r>
    </w:p>
    <w:p>
      <w:pPr>
        <w:pStyle w:val="Header"/>
        <w:widowControl/>
        <w:tabs>
          <w:tab w:val="clear" w:pos="4536"/>
          <w:tab w:val="clear" w:pos="9072"/>
        </w:tabs>
        <w:suppressAutoHyphens w:val="true"/>
        <w:rPr>
          <w:sz w:val="28"/>
          <w:lang w:val="en-GB"/>
        </w:rPr>
      </w:pPr>
      <w:r>
        <w:rPr>
          <w:sz w:val="28"/>
          <w:lang w:val="en-GB"/>
        </w:rPr>
        <w:t>between</w:t>
      </w:r>
    </w:p>
    <w:p>
      <w:pPr>
        <w:pStyle w:val="Normal"/>
        <w:widowControl/>
        <w:suppressAutoHyphens w:val="true"/>
        <w:rPr>
          <w:b/>
          <w:sz w:val="28"/>
          <w:lang w:val="en-GB"/>
        </w:rPr>
      </w:pPr>
      <w:r>
        <w:rPr>
          <w:b/>
          <w:sz w:val="28"/>
          <w:lang w:val="en-GB"/>
        </w:rPr>
        <w:t>RWE Trading GmbH</w:t>
      </w:r>
    </w:p>
    <w:p>
      <w:pPr>
        <w:pStyle w:val="Normal"/>
        <w:widowControl/>
        <w:suppressAutoHyphens w:val="true"/>
        <w:rPr>
          <w:sz w:val="28"/>
          <w:lang w:val="en-GB"/>
        </w:rPr>
      </w:pPr>
      <w:r>
        <w:rPr>
          <w:sz w:val="28"/>
          <w:lang w:val="en-GB"/>
        </w:rPr>
        <w:t>(RWE)</w:t>
      </w:r>
    </w:p>
    <w:p>
      <w:pPr>
        <w:pStyle w:val="Normal"/>
        <w:widowControl/>
        <w:suppressAutoHyphens w:val="true"/>
        <w:rPr>
          <w:sz w:val="28"/>
          <w:lang w:val="en-GB"/>
        </w:rPr>
      </w:pPr>
      <w:r>
        <w:rPr>
          <w:sz w:val="28"/>
          <w:lang w:val="en-GB"/>
        </w:rPr>
      </w:r>
    </w:p>
    <w:p>
      <w:pPr>
        <w:pStyle w:val="Normal"/>
        <w:widowControl/>
        <w:suppressAutoHyphens w:val="true"/>
        <w:rPr>
          <w:sz w:val="28"/>
          <w:lang w:val="en-GB"/>
        </w:rPr>
      </w:pPr>
      <w:r>
        <w:rPr>
          <w:b/>
          <w:sz w:val="28"/>
          <w:lang w:val="en-GB"/>
        </w:rPr>
        <w:t>Enron Capital &amp; Trade Resources Limited</w:t>
      </w:r>
    </w:p>
    <w:p>
      <w:pPr>
        <w:pStyle w:val="Normal"/>
        <w:widowControl/>
        <w:suppressAutoHyphens w:val="true"/>
        <w:rPr>
          <w:sz w:val="28"/>
          <w:lang w:val="en-GB"/>
        </w:rPr>
      </w:pPr>
      <w:r>
        <w:rPr>
          <w:sz w:val="28"/>
          <w:lang w:val="en-GB"/>
        </w:rPr>
        <w:t>(ECTRL)</w:t>
      </w:r>
    </w:p>
    <w:p>
      <w:pPr>
        <w:pStyle w:val="Normal"/>
        <w:widowControl/>
        <w:suppressAutoHyphens w:val="true"/>
        <w:rPr>
          <w:sz w:val="28"/>
          <w:lang w:val="en-GB"/>
        </w:rPr>
      </w:pPr>
      <w:r>
        <w:rPr>
          <w:sz w:val="28"/>
          <w:lang w:val="en-GB"/>
        </w:rPr>
      </w:r>
    </w:p>
    <w:p>
      <w:pPr>
        <w:pStyle w:val="Normal"/>
        <w:widowControl/>
        <w:suppressAutoHyphens w:val="true"/>
        <w:rPr>
          <w:b/>
          <w:sz w:val="28"/>
          <w:lang w:val="en-GB"/>
        </w:rPr>
      </w:pPr>
      <w:r>
        <w:rPr>
          <w:b/>
          <w:sz w:val="28"/>
          <w:lang w:val="en-GB"/>
        </w:rPr>
        <w:t>Enron Capital &amp; Trade Resources International Corp.</w:t>
      </w:r>
    </w:p>
    <w:p>
      <w:pPr>
        <w:pStyle w:val="Normal"/>
        <w:widowControl/>
        <w:suppressAutoHyphens w:val="true"/>
        <w:rPr>
          <w:sz w:val="28"/>
          <w:lang w:val="en-GB"/>
        </w:rPr>
      </w:pPr>
      <w:r>
        <w:rPr>
          <w:sz w:val="28"/>
          <w:lang w:val="en-GB"/>
        </w:rPr>
        <w:t>(ECTRIC)</w:t>
      </w:r>
    </w:p>
    <w:p>
      <w:pPr>
        <w:pStyle w:val="Normal"/>
        <w:widowControl/>
        <w:suppressAutoHyphens w:val="true"/>
        <w:rPr>
          <w:sz w:val="28"/>
          <w:lang w:val="en-GB"/>
        </w:rPr>
      </w:pPr>
      <w:r>
        <w:rPr>
          <w:sz w:val="28"/>
          <w:lang w:val="en-GB"/>
        </w:rPr>
      </w:r>
    </w:p>
    <w:p>
      <w:pPr>
        <w:pStyle w:val="Normal"/>
        <w:widowControl/>
        <w:suppressAutoHyphens w:val="true"/>
        <w:rPr>
          <w:sz w:val="28"/>
          <w:lang w:val="en-GB"/>
        </w:rPr>
      </w:pPr>
      <w:r>
        <w:rPr>
          <w:sz w:val="28"/>
          <w:lang w:val="en-GB"/>
        </w:rPr>
        <w:t>and</w:t>
      </w:r>
    </w:p>
    <w:p>
      <w:pPr>
        <w:pStyle w:val="Normal"/>
        <w:widowControl/>
        <w:suppressAutoHyphens w:val="true"/>
        <w:rPr>
          <w:sz w:val="28"/>
          <w:lang w:val="en-GB"/>
        </w:rPr>
      </w:pPr>
      <w:r>
        <w:rPr>
          <w:sz w:val="28"/>
          <w:lang w:val="en-GB"/>
        </w:rPr>
      </w:r>
    </w:p>
    <w:p>
      <w:pPr>
        <w:pStyle w:val="Normal"/>
        <w:widowControl/>
        <w:suppressAutoHyphens w:val="true"/>
        <w:rPr>
          <w:b/>
          <w:sz w:val="28"/>
          <w:lang w:val="en-GB"/>
        </w:rPr>
      </w:pPr>
      <w:r>
        <w:rPr>
          <w:b/>
          <w:sz w:val="28"/>
          <w:lang w:val="en-GB"/>
        </w:rPr>
        <w:t>Enron Financial Energy Trading L.L.C.</w:t>
      </w:r>
    </w:p>
    <w:p>
      <w:pPr>
        <w:pStyle w:val="Normal"/>
        <w:widowControl/>
        <w:suppressAutoHyphens w:val="true"/>
        <w:rPr>
          <w:sz w:val="28"/>
          <w:lang w:val="en-GB"/>
        </w:rPr>
      </w:pPr>
      <w:r>
        <w:rPr>
          <w:sz w:val="28"/>
          <w:lang w:val="en-GB"/>
        </w:rPr>
        <w:t>(EFET)</w:t>
      </w:r>
      <w:r>
        <w:br w:type="page"/>
      </w:r>
    </w:p>
    <w:p>
      <w:pPr>
        <w:pStyle w:val="Heading7"/>
        <w:rPr/>
      </w:pPr>
      <w:r>
        <w:rPr/>
        <w:t>Cross-Affiliate Netting and Mark-to-market Margining Agreement</w:t>
      </w:r>
    </w:p>
    <w:p>
      <w:pPr>
        <w:pStyle w:val="Leader"/>
        <w:rPr>
          <w:rFonts w:ascii="Arial" w:hAnsi="Arial" w:cs="Arial"/>
          <w:b w:val="false"/>
          <w:sz w:val="22"/>
        </w:rPr>
      </w:pPr>
      <w:r>
        <w:rPr>
          <w:rFonts w:cs="Arial" w:ascii="Arial" w:hAnsi="Arial"/>
          <w:sz w:val="22"/>
        </w:rPr>
        <w:t xml:space="preserve">Dated                       </w:t>
      </w:r>
    </w:p>
    <w:p>
      <w:pPr>
        <w:pStyle w:val="Leader"/>
        <w:rPr>
          <w:rFonts w:ascii="Arial" w:hAnsi="Arial" w:cs="Arial"/>
          <w:sz w:val="22"/>
        </w:rPr>
      </w:pPr>
      <w:r>
        <w:rPr>
          <w:rFonts w:cs="Arial" w:ascii="Arial" w:hAnsi="Arial"/>
          <w:sz w:val="22"/>
        </w:rPr>
        <w:t>Between</w:t>
      </w:r>
    </w:p>
    <w:p>
      <w:pPr>
        <w:pStyle w:val="Parties"/>
        <w:numPr>
          <w:ilvl w:val="0"/>
          <w:numId w:val="3"/>
        </w:numPr>
        <w:tabs>
          <w:tab w:val="left" w:pos="709" w:leader="none"/>
        </w:tabs>
        <w:ind w:hanging="709" w:start="709"/>
        <w:rPr>
          <w:rFonts w:ascii="Arial" w:hAnsi="Arial" w:cs="Arial"/>
        </w:rPr>
      </w:pPr>
      <w:r>
        <w:rPr>
          <w:rFonts w:cs="Arial" w:ascii="Arial" w:hAnsi="Arial"/>
          <w:b/>
        </w:rPr>
        <w:t>RWE Trading GMBH</w:t>
      </w:r>
      <w:r>
        <w:rPr>
          <w:rFonts w:cs="Arial" w:ascii="Arial" w:hAnsi="Arial"/>
        </w:rPr>
        <w:t xml:space="preserve"> (</w:t>
      </w:r>
      <w:r>
        <w:rPr>
          <w:rFonts w:cs="Arial" w:ascii="Arial" w:hAnsi="Arial"/>
          <w:b/>
        </w:rPr>
        <w:t>RWE</w:t>
      </w:r>
      <w:r>
        <w:rPr>
          <w:rFonts w:cs="Arial" w:ascii="Arial" w:hAnsi="Arial"/>
        </w:rPr>
        <w:t>) whose office is at TR-Back Office, Huyssenallee 2, 45128, Essen, Germany.</w:t>
      </w:r>
    </w:p>
    <w:p>
      <w:pPr>
        <w:pStyle w:val="Parties"/>
        <w:numPr>
          <w:ilvl w:val="0"/>
          <w:numId w:val="3"/>
        </w:numPr>
        <w:tabs>
          <w:tab w:val="left" w:pos="709" w:leader="none"/>
        </w:tabs>
        <w:ind w:hanging="709" w:start="709"/>
        <w:rPr>
          <w:rFonts w:ascii="Arial" w:hAnsi="Arial" w:cs="Arial"/>
        </w:rPr>
      </w:pPr>
      <w:bookmarkStart w:id="0" w:name="bmkNotParty2_002"/>
      <w:bookmarkEnd w:id="0"/>
      <w:r>
        <w:rPr>
          <w:rFonts w:cs="Arial" w:ascii="Arial" w:hAnsi="Arial"/>
          <w:b/>
        </w:rPr>
        <w:t>Enron Capital &amp; Trade Resources Limited</w:t>
      </w:r>
      <w:r>
        <w:rPr>
          <w:rFonts w:cs="Arial" w:ascii="Arial" w:hAnsi="Arial"/>
        </w:rPr>
        <w:t xml:space="preserve"> (</w:t>
      </w:r>
      <w:r>
        <w:rPr>
          <w:rFonts w:cs="Arial" w:ascii="Arial" w:hAnsi="Arial"/>
          <w:b/>
        </w:rPr>
        <w:t>ECTRL</w:t>
      </w:r>
      <w:r>
        <w:rPr>
          <w:rFonts w:cs="Arial" w:ascii="Arial" w:hAnsi="Arial"/>
        </w:rPr>
        <w:t>) a company incorporated under the laws of England and Wales, whose office is at 40 Grosvenor Place, London, SW1X 7EN</w:t>
      </w:r>
    </w:p>
    <w:p>
      <w:pPr>
        <w:pStyle w:val="Parties"/>
        <w:numPr>
          <w:ilvl w:val="0"/>
          <w:numId w:val="3"/>
        </w:numPr>
        <w:tabs>
          <w:tab w:val="left" w:pos="709" w:leader="none"/>
        </w:tabs>
        <w:ind w:hanging="709" w:start="709"/>
        <w:rPr>
          <w:rFonts w:ascii="Arial" w:hAnsi="Arial" w:cs="Arial"/>
          <w:b/>
        </w:rPr>
      </w:pPr>
      <w:r>
        <w:rPr>
          <w:rFonts w:cs="Arial" w:ascii="Arial" w:hAnsi="Arial"/>
          <w:b/>
        </w:rPr>
        <w:t xml:space="preserve">Enron Capital &amp; Trade Resources International Corp. (ECTRIC) </w:t>
      </w:r>
      <w:r>
        <w:rPr>
          <w:rFonts w:cs="Arial" w:ascii="Arial" w:hAnsi="Arial"/>
        </w:rPr>
        <w:t>a company incorporated under the laws of the state of Delaware [address details]</w:t>
      </w:r>
    </w:p>
    <w:p>
      <w:pPr>
        <w:pStyle w:val="Parties"/>
        <w:numPr>
          <w:ilvl w:val="0"/>
          <w:numId w:val="3"/>
        </w:numPr>
        <w:tabs>
          <w:tab w:val="left" w:pos="709" w:leader="none"/>
        </w:tabs>
        <w:ind w:hanging="709" w:start="709"/>
        <w:rPr>
          <w:rFonts w:ascii="Arial" w:hAnsi="Arial" w:cs="Arial"/>
          <w:b/>
        </w:rPr>
      </w:pPr>
      <w:r>
        <w:rPr>
          <w:rFonts w:cs="Arial" w:ascii="Arial" w:hAnsi="Arial"/>
          <w:b/>
        </w:rPr>
        <w:t>Enron Financial Energy Trading L.L.C.</w:t>
      </w:r>
      <w:r>
        <w:rPr>
          <w:rFonts w:cs="Arial" w:ascii="Arial" w:hAnsi="Arial"/>
        </w:rPr>
        <w:t xml:space="preserve"> </w:t>
      </w:r>
      <w:r>
        <w:rPr>
          <w:rFonts w:cs="Arial" w:ascii="Arial" w:hAnsi="Arial"/>
          <w:b/>
        </w:rPr>
        <w:t>(EFET)</w:t>
      </w:r>
      <w:r>
        <w:rPr>
          <w:rFonts w:cs="Arial" w:ascii="Arial" w:hAnsi="Arial"/>
        </w:rPr>
        <w:t xml:space="preserve"> a company incorporated under the laws of the state of Delaware, whose office is at 1400 Smith Street, Houston, Texas 77002</w:t>
      </w:r>
    </w:p>
    <w:p>
      <w:pPr>
        <w:pStyle w:val="Leader"/>
        <w:rPr>
          <w:rFonts w:ascii="Arial" w:hAnsi="Arial" w:cs="Arial"/>
          <w:sz w:val="22"/>
        </w:rPr>
      </w:pPr>
      <w:bookmarkStart w:id="1" w:name="bmkNotParty2_002"/>
      <w:bookmarkEnd w:id="1"/>
      <w:r>
        <w:rPr>
          <w:rFonts w:cs="Arial" w:ascii="Arial" w:hAnsi="Arial"/>
          <w:sz w:val="22"/>
        </w:rPr>
        <w:t>Recitals</w:t>
      </w:r>
    </w:p>
    <w:p>
      <w:pPr>
        <w:pStyle w:val="Recital"/>
        <w:numPr>
          <w:ilvl w:val="0"/>
          <w:numId w:val="5"/>
        </w:numPr>
        <w:tabs>
          <w:tab w:val="left" w:pos="709" w:leader="none"/>
        </w:tabs>
        <w:ind w:hanging="0" w:start="0"/>
        <w:rPr>
          <w:rFonts w:ascii="Arial" w:hAnsi="Arial" w:cs="Arial"/>
        </w:rPr>
      </w:pPr>
      <w:r>
        <w:rPr>
          <w:rFonts w:cs="Arial" w:ascii="Arial" w:hAnsi="Arial"/>
        </w:rPr>
        <w:t>Each of ECTRIL, ECTRIC and EFET have entered into and anticipate entering into transactions with RWE which are spot and forward transactions for the sale and purchase of coal, natural gas, electricity and other energy products, capable of performance by delivery, notification, nomination, or any other method whatsoever and transactions which are futures, options, swaps, swaptions, caps, collars, floors and any combination thereof relating to energy or energy-related derivatives.</w:t>
      </w:r>
    </w:p>
    <w:p>
      <w:pPr>
        <w:pStyle w:val="Recital"/>
        <w:numPr>
          <w:ilvl w:val="0"/>
          <w:numId w:val="5"/>
        </w:numPr>
        <w:tabs>
          <w:tab w:val="left" w:pos="709" w:leader="none"/>
        </w:tabs>
        <w:ind w:hanging="0" w:start="0"/>
        <w:rPr>
          <w:rFonts w:ascii="Arial" w:hAnsi="Arial" w:cs="Arial"/>
        </w:rPr>
      </w:pPr>
      <w:bookmarkStart w:id="2" w:name="bmkNotParty2_004"/>
      <w:bookmarkEnd w:id="2"/>
      <w:r>
        <w:rPr>
          <w:rFonts w:cs="Arial" w:ascii="Arial" w:hAnsi="Arial"/>
        </w:rPr>
        <w:t>Each of ECTRIL, ECTRIC and EFET have also entered into agreements with RWE providing, upon the occurrence of certain events, for the netting of amounts due under transactions between the respective parties to those agreements.</w:t>
      </w:r>
    </w:p>
    <w:p>
      <w:pPr>
        <w:pStyle w:val="Recital"/>
        <w:numPr>
          <w:ilvl w:val="0"/>
          <w:numId w:val="5"/>
        </w:numPr>
        <w:tabs>
          <w:tab w:val="left" w:pos="709" w:leader="none"/>
        </w:tabs>
        <w:ind w:hanging="0" w:start="0"/>
        <w:rPr>
          <w:rFonts w:ascii="Arial" w:hAnsi="Arial" w:cs="Arial"/>
        </w:rPr>
      </w:pPr>
      <w:r>
        <w:rPr>
          <w:rFonts w:cs="Arial" w:ascii="Arial" w:hAnsi="Arial"/>
        </w:rPr>
        <w:t>The agreements referred to at B above between ECTRIL and RWE and ECTRIC and RWE also provide for the making of mark-to-market margining payments between the respective parties.</w:t>
      </w:r>
    </w:p>
    <w:p>
      <w:pPr>
        <w:pStyle w:val="Recital"/>
        <w:numPr>
          <w:ilvl w:val="0"/>
          <w:numId w:val="5"/>
        </w:numPr>
        <w:tabs>
          <w:tab w:val="left" w:pos="709" w:leader="none"/>
        </w:tabs>
        <w:ind w:hanging="0" w:start="0"/>
        <w:rPr>
          <w:rFonts w:ascii="Arial" w:hAnsi="Arial" w:cs="Arial"/>
        </w:rPr>
      </w:pPr>
      <w:r>
        <w:rPr>
          <w:rFonts w:cs="Arial" w:ascii="Arial" w:hAnsi="Arial"/>
        </w:rPr>
        <w:t xml:space="preserve">The parties have agreed that they shall enter into a further agreement to make provision for the netting of the net amounts arising under the agreements referred to at B above and for the parties to make mark-to-market margining payments on the bases of the net exposure of RWE to ECTRIL, ECTRIC and EFET and the net exposure of ECTRIL, ECTRIC and EFET to RWE.  </w:t>
      </w:r>
    </w:p>
    <w:p>
      <w:pPr>
        <w:pStyle w:val="Recital"/>
        <w:numPr>
          <w:ilvl w:val="0"/>
          <w:numId w:val="5"/>
        </w:numPr>
        <w:tabs>
          <w:tab w:val="left" w:pos="709" w:leader="none"/>
        </w:tabs>
        <w:ind w:hanging="0" w:start="0"/>
        <w:rPr>
          <w:rFonts w:ascii="Arial" w:hAnsi="Arial" w:cs="Arial"/>
          <w:b/>
        </w:rPr>
      </w:pPr>
      <w:r>
        <w:rPr>
          <w:rFonts w:cs="Arial" w:ascii="Arial" w:hAnsi="Arial"/>
        </w:rPr>
        <w:t xml:space="preserve">Each of ECTRIL and ECTRIC recognises the significant corporate benefit it will obtain through the ability to take advantage for the purpose of making mark-to-market margining payments of the in-the-money position of its affiliates </w:t>
      </w:r>
      <w:r>
        <w:rPr>
          <w:rFonts w:cs="Arial" w:ascii="Arial" w:hAnsi="Arial"/>
          <w:b/>
        </w:rPr>
        <w:t>[corporate benefit for EFET to be resolved]</w:t>
      </w:r>
    </w:p>
    <w:p>
      <w:pPr>
        <w:pStyle w:val="Leader"/>
        <w:rPr>
          <w:rFonts w:ascii="Arial" w:hAnsi="Arial" w:cs="Arial"/>
          <w:sz w:val="22"/>
        </w:rPr>
      </w:pPr>
      <w:bookmarkStart w:id="3" w:name="bmkNotParty2_004"/>
      <w:bookmarkEnd w:id="3"/>
      <w:r>
        <w:rPr>
          <w:rFonts w:cs="Arial" w:ascii="Arial" w:hAnsi="Arial"/>
          <w:sz w:val="22"/>
        </w:rPr>
        <w:t>It is agreed:</w:t>
      </w:r>
    </w:p>
    <w:p>
      <w:pPr>
        <w:pStyle w:val="Normal"/>
        <w:keepNext w:val="true"/>
        <w:widowControl/>
        <w:suppressAutoHyphens w:val="true"/>
        <w:jc w:val="center"/>
        <w:rPr>
          <w:b/>
          <w:lang w:val="en-GB"/>
        </w:rPr>
      </w:pPr>
      <w:r>
        <w:rPr>
          <w:b/>
          <w:lang w:val="en-GB"/>
        </w:rPr>
        <w:t>§ 1</w:t>
      </w:r>
    </w:p>
    <w:p>
      <w:pPr>
        <w:pStyle w:val="Normal"/>
        <w:keepNext w:val="true"/>
        <w:widowControl/>
        <w:suppressAutoHyphens w:val="true"/>
        <w:jc w:val="center"/>
        <w:rPr>
          <w:b/>
          <w:lang w:val="en-GB"/>
        </w:rPr>
      </w:pPr>
      <w:r>
        <w:rPr>
          <w:b/>
          <w:lang w:val="en-GB"/>
        </w:rPr>
      </w:r>
    </w:p>
    <w:p>
      <w:pPr>
        <w:pStyle w:val="Heading1"/>
        <w:widowControl/>
        <w:suppressAutoHyphens w:val="true"/>
        <w:ind w:hanging="0" w:start="0"/>
        <w:rPr>
          <w:lang w:val="en-GB"/>
        </w:rPr>
      </w:pPr>
      <w:r>
        <w:rPr>
          <w:lang w:val="en-GB"/>
        </w:rPr>
        <w:t>Definitions</w:t>
      </w:r>
    </w:p>
    <w:p>
      <w:pPr>
        <w:pStyle w:val="Normal"/>
        <w:widowControl/>
        <w:suppressAutoHyphens w:val="true"/>
        <w:ind w:start="330" w:end="0"/>
        <w:jc w:val="both"/>
        <w:rPr>
          <w:lang w:val="en-GB"/>
        </w:rPr>
      </w:pPr>
      <w:r>
        <w:rPr>
          <w:lang w:val="en-GB"/>
        </w:rPr>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0" w:end="0"/>
        <w:jc w:val="both"/>
        <w:rPr/>
      </w:pPr>
      <w:r>
        <w:rPr/>
        <w:t>For the purposes of this Agreement the following expressions shall have the meanings given below:</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Actual Exposure</w:t>
      </w:r>
      <w:r>
        <w:rPr/>
        <w:t>" means with respect to a party on a Valuation Day and subject to Clause 7 in the case of a dispute, the net of the amounts, if any, expressed in Euros, that would be payable to that party by the other parties (expressed as a positive number) or by that party to the other parties (expressed as a negative number) pursuant to Clauses 3.2 and Clause 4 if all Underlying Netting Agreements were closed out as of the time the valuation takes place and all Settlement Amounts become owed at the same time, provided that no account shall be taken of any interest payable under Clause 4.</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Banking Day</w:t>
      </w:r>
      <w:r>
        <w:rPr/>
        <w:t>" means a day on which commercial banks are open for business (including dealings in foreign exchange and currency deposits) in London, New York and Frankfurt.</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Clause 2 Notice</w:t>
      </w:r>
      <w:r>
        <w:rPr/>
        <w:t>" means a notice provided under either Clause 2.3 or Clause 2.4.</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Close Out</w:t>
      </w:r>
      <w:r>
        <w:rPr/>
        <w:t>" means, when used as a verb, to accelerate, terminate, liquidate or cancel (including by way of automatic early termination) transactions under an Underlying Netting Agreement; and "</w:t>
      </w:r>
      <w:r>
        <w:rPr>
          <w:b/>
        </w:rPr>
        <w:t>Close-Out</w:t>
      </w:r>
      <w:r>
        <w:rPr/>
        <w:t>" means the act of Closing Out.</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Close-Out Notice</w:t>
      </w:r>
      <w:r>
        <w:rPr/>
        <w:t>" has the meaning given to it in Clause 2.3.</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Closed-Out Agreement</w:t>
      </w:r>
      <w:r>
        <w:rPr/>
        <w:t>" means an Underlying Netting Agreement under which all transactions which legally may be Closed Out have been Closed Out.</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Closing-Out Party</w:t>
      </w:r>
      <w:r>
        <w:rPr/>
        <w:t>" means, if 2.2(a) is applicable and RWE provides a Clause 2 Notice, RWE, and if 2.2(b) is applicable, and an Enron Entity provides a Clause 2 Notice, that Enron Entity.</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 xml:space="preserve">Confirmation" </w:t>
      </w:r>
      <w:r>
        <w:rPr/>
        <w:t>means, in relation to one or more Transactions, the documents and other confirming evidence exchanged between the parties confirming those transactions.</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Control and Profit Transfer Agreement</w:t>
      </w:r>
      <w:r>
        <w:rPr/>
        <w:t>" means a control and/or profit transfer agreement (</w:t>
      </w:r>
      <w:r>
        <w:rPr>
          <w:i/>
        </w:rPr>
        <w:t>Beherrschungs-Gewinnabfuhrungsvertrag</w:t>
      </w:r>
      <w:r>
        <w:rPr/>
        <w:t>) within the meaning of the German Stock Corporation Act (</w:t>
      </w:r>
      <w:r>
        <w:rPr>
          <w:i/>
        </w:rPr>
        <w:t>Aktiengesetz: AkrG</w:t>
      </w:r>
      <w:r>
        <w:rPr/>
        <w:t>).</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Controlling Party</w:t>
      </w:r>
      <w:r>
        <w:rPr/>
        <w:t>" means with respect to RWE, RWE AG.</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Defaulting Party</w:t>
      </w:r>
      <w:r>
        <w:rPr/>
        <w:t>" has the meaning given to in Clause 2.2.</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Delivery Date</w:t>
      </w:r>
      <w:r>
        <w:rPr/>
        <w:t>" in respect of each Valuation Day, means the second Banking Day following the Valuation Day.</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b/>
        </w:rPr>
        <w:t>“</w:t>
      </w:r>
      <w:r>
        <w:rPr>
          <w:b/>
        </w:rPr>
        <w:t xml:space="preserve">Closing-Out Party” </w:t>
      </w:r>
      <w:r>
        <w:rPr/>
        <w:t>means, if 2.2(a) is applicable and RWE provides a Clause 2 Notice, RWE, and if 2.2(b) is applicable and an Enron Entity provides a Clause 2 Notice, that Enron Entity.</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29" w:end="0"/>
        <w:jc w:val="both"/>
        <w:rPr/>
      </w:pPr>
      <w:r>
        <w:rPr/>
        <w:t>"</w:t>
      </w:r>
      <w:r>
        <w:rPr>
          <w:b/>
        </w:rPr>
        <w:t>Credit Rating</w:t>
      </w:r>
      <w:r>
        <w:rPr/>
        <w:t>" means in respect of an entity any of the following: (i) the long-term unsecured, unsubordinated (unsupported by third party credit enhancement) public debt rating; (ii) the debt issuer's credit rating; or (iii) the corporate credit rating given to that person, in each of cases (i) to (iii) by Standard &amp; Poor's Rating Group (a division of McGraw-Hill Inc.) or Moody's Investor Services Inc.</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Credit Support Balance</w:t>
      </w:r>
      <w:r>
        <w:rPr/>
        <w:t>" means, with respect to a Transferor on a Valuation Day, the aggregate of all Eligible Credit Support that has been transferred to or received by the Transferee under this Netting Agreement.</w:t>
      </w:r>
    </w:p>
    <w:p>
      <w:pPr>
        <w:pStyle w:val="BodyText"/>
        <w:ind w:hanging="0" w:start="330" w:end="0"/>
        <w:jc w:val="both"/>
        <w:rPr/>
      </w:pPr>
      <w:r>
        <w:rPr>
          <w:b/>
        </w:rPr>
        <w:t xml:space="preserve">Credit Support Document” </w:t>
      </w:r>
      <w:r>
        <w:rPr/>
        <w:t>means in relation to a party such parent company guarantee(s) or other performance assurance or credit support document(s) as may be provided from time to time to and approved by the other party in respect of the obligations of the party under this Agreement or a Transaction.</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Credit Support Provider</w:t>
      </w:r>
      <w:r>
        <w:rPr/>
        <w:t>" means, with respect to ECTRL, Enron Corporation.</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Cross Default Threshold</w:t>
      </w:r>
      <w:r>
        <w:rPr/>
        <w:t>" means, with respect to RWE U.S. $50,000,000, and, with respect to ECTRL and ECTRL’s Credit Support Provider jointly, U.S. $50,000,000</w:t>
      </w:r>
      <w:r>
        <w:rPr>
          <w:rFonts w:cs="Times New Roman" w:ascii="Times New Roman" w:hAnsi="Times New Roman"/>
        </w:rPr>
        <w:t>.</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Early Termination Date</w:t>
      </w:r>
      <w:r>
        <w:rPr/>
        <w:t>" means the date determined in accordance with Clause 2.2.</w:t>
      </w:r>
    </w:p>
    <w:p>
      <w:pPr>
        <w:pStyle w:val="BodyText"/>
        <w:widowControl/>
        <w:ind w:hanging="0" w:start="330" w:end="0"/>
        <w:jc w:val="both"/>
        <w:rPr/>
      </w:pPr>
      <w:r>
        <w:rPr/>
        <w:t>"</w:t>
      </w:r>
      <w:r>
        <w:rPr>
          <w:b/>
        </w:rPr>
        <w:t>Eligible Credit Support</w:t>
      </w:r>
      <w:r>
        <w:rPr/>
        <w:t>" means, with respect to a party, a Letter of Credit, and such other Eligible Credit Support as agreed by the parties in writing from time to time.</w:t>
      </w:r>
    </w:p>
    <w:p>
      <w:pPr>
        <w:pStyle w:val="BodyText"/>
        <w:widowControl/>
        <w:ind w:hanging="0" w:start="330" w:end="0"/>
        <w:jc w:val="both"/>
        <w:rPr/>
      </w:pPr>
      <w:r>
        <w:rPr/>
        <w:t>"</w:t>
      </w:r>
      <w:r>
        <w:rPr>
          <w:b/>
        </w:rPr>
        <w:t>Enron Entities</w:t>
      </w:r>
      <w:r>
        <w:rPr/>
        <w:t>" means each of ECTRL, ECTRIC and [Another Enron Company].</w:t>
      </w:r>
    </w:p>
    <w:p>
      <w:pPr>
        <w:pStyle w:val="BodyText"/>
        <w:widowControl/>
        <w:ind w:hanging="0" w:start="330" w:end="0"/>
        <w:jc w:val="both"/>
        <w:rPr/>
      </w:pPr>
      <w:r>
        <w:rPr/>
        <w:t>"</w:t>
      </w:r>
      <w:r>
        <w:rPr>
          <w:b/>
        </w:rPr>
        <w:t>Euro Equivalent</w:t>
      </w:r>
      <w:r>
        <w:rPr/>
        <w:t>" means, in respect of any amount denominated in Euros, such Euro amount and, in respect of any amount denominated in a currency other than Euro (the "Other Currency"), the amount in Euro determined by the Non-defaulting Party in a commercially reasonable manner as being required to purchase such amount of such Other Currency as at the date the relevant Loss is determined.</w:t>
      </w:r>
    </w:p>
    <w:p>
      <w:pPr>
        <w:pStyle w:val="Normal"/>
        <w:widowControl/>
        <w:suppressAutoHyphens w:val="true"/>
        <w:ind w:hanging="720" w:start="1040" w:end="0"/>
        <w:jc w:val="both"/>
        <w:rPr/>
      </w:pPr>
      <w:r>
        <w:rPr>
          <w:lang w:val="en-GB"/>
        </w:rPr>
        <w:t>"</w:t>
      </w:r>
      <w:r>
        <w:rPr>
          <w:b/>
          <w:lang w:val="en-GB"/>
        </w:rPr>
        <w:t>Event of Default</w:t>
      </w:r>
      <w:r>
        <w:rPr>
          <w:lang w:val="en-GB"/>
        </w:rPr>
        <w:t>" shall have the meaning given to it in Clause 2.1.</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0"/>
        <w:ind w:hanging="0" w:start="331" w:end="0"/>
        <w:jc w:val="both"/>
        <w:rPr>
          <w:lang w:val="en-GB"/>
        </w:rPr>
      </w:pPr>
      <w:r>
        <w:rPr>
          <w:lang w:val="en-GB"/>
        </w:rPr>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Exposure</w:t>
      </w:r>
      <w:r>
        <w:rPr/>
        <w:t>" means an amount, expressed in Euros determined as follows:</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567" w:start="990" w:end="0"/>
        <w:jc w:val="both"/>
        <w:rPr/>
      </w:pPr>
      <w:r>
        <w:rPr/>
        <w:t>(i)</w:t>
        <w:tab/>
        <w:t>if the Actual Exposure of a party is less than or equal to the other party's Margin Threshold, then the Exposure of such first party shall be zero; or</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567" w:start="990" w:end="0"/>
        <w:jc w:val="both"/>
        <w:rPr/>
      </w:pPr>
      <w:r>
        <w:rPr/>
        <w:t>(ii)</w:t>
        <w:tab/>
        <w:t>otherwise, the Exposure of such first party (the "Exposed party") shall be an amount equal to the Actual Exposure less the other party's Margin Threshold.</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567" w:start="990" w:end="0"/>
        <w:jc w:val="both"/>
        <w:rPr/>
      </w:pPr>
      <w:r>
        <w:rPr/>
        <w:t>"</w:t>
      </w:r>
      <w:r>
        <w:rPr>
          <w:b/>
        </w:rPr>
        <w:t>Final Net Settlement Amount</w:t>
      </w:r>
      <w:r>
        <w:rPr/>
        <w:t>" has the meaning given to it in Clause 4.4(a).</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567" w:start="990" w:end="0"/>
        <w:jc w:val="both"/>
        <w:rPr/>
      </w:pPr>
      <w:r>
        <w:rPr/>
        <w:t>"</w:t>
      </w:r>
      <w:r>
        <w:rPr>
          <w:b/>
        </w:rPr>
        <w:t>Final Settlement Date</w:t>
      </w:r>
      <w:r>
        <w:rPr/>
        <w:t>" has the meaning given to it in Clause 4.4(b).</w:t>
      </w:r>
    </w:p>
    <w:p>
      <w:pPr>
        <w:pStyle w:val="Normal"/>
        <w:widowControl/>
        <w:suppressAutoHyphens w:val="true"/>
        <w:autoSpaceDE w:val="false"/>
        <w:ind w:start="423" w:end="0"/>
        <w:jc w:val="both"/>
        <w:rPr/>
      </w:pPr>
      <w:r>
        <w:rPr>
          <w:lang w:val="en-GB"/>
        </w:rPr>
        <w:t>"</w:t>
      </w:r>
      <w:r>
        <w:rPr>
          <w:b/>
          <w:lang w:val="en-GB"/>
        </w:rPr>
        <w:t>Issuer</w:t>
      </w:r>
      <w:r>
        <w:rPr>
          <w:lang w:val="en-GB"/>
        </w:rPr>
        <w:t>" means a major commercial bank in Germany or the United Kingdom or a major foreign bank with a branch office in Germany or the United Kingdom.</w:t>
      </w:r>
    </w:p>
    <w:p>
      <w:pPr>
        <w:pStyle w:val="Normal"/>
        <w:widowControl/>
        <w:suppressAutoHyphens w:val="true"/>
        <w:autoSpaceDE w:val="false"/>
        <w:ind w:start="330" w:end="0"/>
        <w:jc w:val="both"/>
        <w:rPr>
          <w:lang w:val="en-GB"/>
        </w:rPr>
      </w:pPr>
      <w:r>
        <w:rPr>
          <w:lang w:val="en-GB"/>
        </w:rPr>
      </w:r>
    </w:p>
    <w:p>
      <w:pPr>
        <w:pStyle w:val="Normal"/>
        <w:widowControl/>
        <w:suppressAutoHyphens w:val="true"/>
        <w:autoSpaceDE w:val="false"/>
        <w:ind w:start="423" w:end="0"/>
        <w:jc w:val="both"/>
        <w:rPr/>
      </w:pPr>
      <w:r>
        <w:rPr>
          <w:lang w:val="en-GB"/>
        </w:rPr>
        <w:t>"</w:t>
      </w:r>
      <w:r>
        <w:rPr>
          <w:b/>
          <w:lang w:val="en-GB"/>
        </w:rPr>
        <w:t>Letter of Credit</w:t>
      </w:r>
      <w:r>
        <w:rPr>
          <w:lang w:val="en-GB"/>
        </w:rPr>
        <w:t>" means an irrevocable standby letter of credit payable on demand in a form and substance satisfactory to the Requesting Party or (as the case may be) the Transferee and issued by a financial institution whose credit rating is at least Standard &amp; Poor's Rating Group "A" or Moody's Investor's Service Inc equivalent.</w:t>
      </w:r>
    </w:p>
    <w:p>
      <w:pPr>
        <w:pStyle w:val="Normal"/>
        <w:widowControl/>
        <w:suppressAutoHyphens w:val="true"/>
        <w:ind w:hanging="720" w:start="330" w:end="0"/>
        <w:jc w:val="both"/>
        <w:rPr>
          <w:lang w:val="en-GB"/>
        </w:rPr>
      </w:pPr>
      <w:r>
        <w:rPr>
          <w:lang w:val="en-GB"/>
        </w:rPr>
      </w:r>
    </w:p>
    <w:p>
      <w:pPr>
        <w:pStyle w:val="Normal"/>
        <w:widowControl/>
        <w:suppressAutoHyphens w:val="true"/>
        <w:ind w:hanging="720" w:start="330" w:end="0"/>
        <w:jc w:val="both"/>
        <w:rPr/>
      </w:pPr>
      <w:r>
        <w:rPr>
          <w:lang w:val="en-GB"/>
        </w:rPr>
        <w:tab/>
        <w:t>"</w:t>
      </w:r>
      <w:r>
        <w:rPr>
          <w:b/>
          <w:lang w:val="en-GB"/>
        </w:rPr>
        <w:t>Margin Threshold</w:t>
      </w:r>
      <w:r>
        <w:rPr>
          <w:lang w:val="en-GB"/>
        </w:rPr>
        <w:t>" means, with respect to either party the sum of Euros 10,000,000.</w:t>
      </w:r>
    </w:p>
    <w:p>
      <w:pPr>
        <w:pStyle w:val="Normal"/>
        <w:widowControl/>
        <w:suppressAutoHyphens w:val="true"/>
        <w:ind w:hanging="720" w:start="330" w:end="0"/>
        <w:jc w:val="both"/>
        <w:rPr>
          <w:lang w:val="en-GB"/>
        </w:rPr>
      </w:pPr>
      <w:r>
        <w:rPr>
          <w:lang w:val="en-GB"/>
        </w:rPr>
      </w:r>
    </w:p>
    <w:p>
      <w:pPr>
        <w:pStyle w:val="Normal"/>
        <w:widowControl/>
        <w:suppressAutoHyphens w:val="true"/>
        <w:ind w:start="330" w:end="0"/>
        <w:jc w:val="both"/>
        <w:rPr/>
      </w:pPr>
      <w:r>
        <w:rPr>
          <w:lang w:val="en-GB"/>
        </w:rPr>
        <w:t>"</w:t>
      </w:r>
      <w:r>
        <w:rPr>
          <w:b/>
          <w:lang w:val="en-GB"/>
        </w:rPr>
        <w:t>Market Quotation</w:t>
      </w:r>
      <w:r>
        <w:rPr>
          <w:lang w:val="en-GB"/>
        </w:rPr>
        <w:t>" means, with respect to one or more Transactions and a party making the determination, an amount determined on the basis of quotations from Reference Market-makers.  Each quotation will be for an amount, if any, that would be paid to such party (expressed as a negative number) or by such party (expressed as a positive number) in consideration of an agreement between such party and the quoting Reference Market-maker to enter into a transaction (the "</w:t>
      </w:r>
      <w:r>
        <w:rPr>
          <w:b/>
          <w:lang w:val="en-GB"/>
        </w:rPr>
        <w:t>Replacement Transaction</w:t>
      </w:r>
      <w:r>
        <w:rPr>
          <w:lang w:val="en-GB"/>
        </w:rPr>
        <w:t>") that would have the effect of preserving for such party the economic equivalent of any payment or delivery (whether the underlying obligation was absolute or contingent and assuming the satisfaction of each applicable condition precedent) by the parties in respect of such Transaction or group of Transactions.</w:t>
      </w:r>
    </w:p>
    <w:p>
      <w:pPr>
        <w:pStyle w:val="Normal"/>
        <w:widowControl/>
        <w:suppressAutoHyphens w:val="true"/>
        <w:ind w:start="330" w:end="0"/>
        <w:jc w:val="both"/>
        <w:rPr>
          <w:lang w:val="en-GB"/>
        </w:rPr>
      </w:pPr>
      <w:r>
        <w:rPr>
          <w:lang w:val="en-GB"/>
        </w:rPr>
      </w:r>
    </w:p>
    <w:p>
      <w:pPr>
        <w:pStyle w:val="Normal"/>
        <w:widowControl/>
        <w:suppressAutoHyphens w:val="true"/>
        <w:ind w:start="330" w:end="0"/>
        <w:jc w:val="both"/>
        <w:rPr/>
      </w:pPr>
      <w:r>
        <w:rPr>
          <w:lang w:val="en-GB"/>
        </w:rPr>
        <w:t>"</w:t>
      </w:r>
      <w:r>
        <w:rPr>
          <w:b/>
          <w:lang w:val="en-GB"/>
        </w:rPr>
        <w:t>Net Set-Off Amount</w:t>
      </w:r>
      <w:r>
        <w:rPr>
          <w:lang w:val="en-GB"/>
        </w:rPr>
        <w:t>" has the meaning given to in Clause 4.1.</w:t>
      </w:r>
    </w:p>
    <w:p>
      <w:pPr>
        <w:pStyle w:val="Normal"/>
        <w:widowControl/>
        <w:suppressAutoHyphens w:val="true"/>
        <w:ind w:start="330" w:end="0"/>
        <w:jc w:val="both"/>
        <w:rPr>
          <w:lang w:val="en-GB"/>
        </w:rPr>
      </w:pPr>
      <w:r>
        <w:rPr>
          <w:lang w:val="en-GB"/>
        </w:rPr>
      </w:r>
    </w:p>
    <w:p>
      <w:pPr>
        <w:pStyle w:val="Normal"/>
        <w:widowControl/>
        <w:suppressAutoHyphens w:val="true"/>
        <w:ind w:start="330" w:end="0"/>
        <w:jc w:val="both"/>
        <w:rPr/>
      </w:pPr>
      <w:r>
        <w:rPr>
          <w:b/>
          <w:lang w:val="en-GB"/>
        </w:rPr>
        <w:t>“</w:t>
      </w:r>
      <w:r>
        <w:rPr>
          <w:b/>
          <w:lang w:val="en-GB"/>
        </w:rPr>
        <w:t xml:space="preserve">Performance Assurance” </w:t>
      </w:r>
      <w:r>
        <w:rPr>
          <w:lang w:val="en-GB"/>
        </w:rPr>
        <w:t>has the meaning set out in Clause 2.1.10.</w:t>
      </w:r>
    </w:p>
    <w:p>
      <w:pPr>
        <w:pStyle w:val="Normal"/>
        <w:widowControl/>
        <w:suppressAutoHyphens w:val="true"/>
        <w:ind w:start="330" w:end="0"/>
        <w:jc w:val="both"/>
        <w:rPr>
          <w:lang w:val="en-GB"/>
        </w:rPr>
      </w:pPr>
      <w:r>
        <w:rPr>
          <w:lang w:val="en-GB"/>
        </w:rPr>
      </w:r>
    </w:p>
    <w:p>
      <w:pPr>
        <w:pStyle w:val="Normal"/>
        <w:widowControl/>
        <w:suppressAutoHyphens w:val="true"/>
        <w:ind w:start="330" w:end="0"/>
        <w:jc w:val="both"/>
        <w:rPr/>
      </w:pPr>
      <w:r>
        <w:rPr>
          <w:lang w:val="en-GB"/>
        </w:rPr>
        <w:t>"</w:t>
      </w:r>
      <w:r>
        <w:rPr>
          <w:b/>
          <w:lang w:val="en-GB"/>
        </w:rPr>
        <w:t>Reference Market-makers</w:t>
      </w:r>
      <w:r>
        <w:rPr>
          <w:lang w:val="en-GB"/>
        </w:rPr>
        <w:t>" means four leading dealers in the relevant market selected by the party determining a Market Quotation in good faith (a) from among dealers of the highest credit standing which satisfy all the criteria that such party applies generally at the time in deciding whether to offer or to make an extension of credit and (b) to the extent practicable, from among such dealers having an office in the same place;</w:t>
      </w:r>
    </w:p>
    <w:p>
      <w:pPr>
        <w:pStyle w:val="Normal"/>
        <w:widowControl/>
        <w:suppressAutoHyphens w:val="true"/>
        <w:ind w:start="330" w:end="0"/>
        <w:jc w:val="both"/>
        <w:rPr>
          <w:lang w:val="en-GB"/>
        </w:rPr>
      </w:pPr>
      <w:r>
        <w:rPr>
          <w:lang w:val="en-GB"/>
        </w:rPr>
      </w:r>
    </w:p>
    <w:p>
      <w:pPr>
        <w:pStyle w:val="Normal"/>
        <w:widowControl/>
        <w:suppressAutoHyphens w:val="true"/>
        <w:ind w:start="330" w:end="0"/>
        <w:jc w:val="both"/>
        <w:rPr/>
      </w:pPr>
      <w:r>
        <w:rPr>
          <w:lang w:val="en-GB"/>
        </w:rPr>
        <w:t>"</w:t>
      </w:r>
      <w:r>
        <w:rPr>
          <w:b/>
          <w:lang w:val="en-GB"/>
        </w:rPr>
        <w:t>Set-Off Date</w:t>
      </w:r>
      <w:r>
        <w:rPr>
          <w:lang w:val="en-GB"/>
        </w:rPr>
        <w:t>" has the meaning given to it in Clause 4.1.</w:t>
      </w:r>
    </w:p>
    <w:p>
      <w:pPr>
        <w:pStyle w:val="Normal"/>
        <w:widowControl/>
        <w:suppressAutoHyphens w:val="true"/>
        <w:ind w:start="330" w:end="0"/>
        <w:jc w:val="both"/>
        <w:rPr>
          <w:lang w:val="en-GB"/>
        </w:rPr>
      </w:pPr>
      <w:r>
        <w:rPr>
          <w:lang w:val="en-GB"/>
        </w:rPr>
      </w:r>
    </w:p>
    <w:p>
      <w:pPr>
        <w:pStyle w:val="Normal"/>
        <w:widowControl/>
        <w:suppressAutoHyphens w:val="true"/>
        <w:ind w:start="330" w:end="0"/>
        <w:jc w:val="both"/>
        <w:rPr/>
      </w:pPr>
      <w:r>
        <w:rPr>
          <w:lang w:val="en-GB"/>
        </w:rPr>
        <w:t>"</w:t>
      </w:r>
      <w:r>
        <w:rPr>
          <w:b/>
          <w:lang w:val="en-GB"/>
        </w:rPr>
        <w:t>Settlement Amount</w:t>
      </w:r>
      <w:r>
        <w:rPr>
          <w:lang w:val="en-GB"/>
        </w:rPr>
        <w:t>" means, in respect of any Closed-Out Agreement, the net amount which is due and payable by one party to that Closed-Out Agreement the other upon (i) such agreement having been Closed Out, (ii) the resulting obligations of the parties to that Closed-Out Agreement having been determined, [and (iii) in accordance with the applicable Closed-Out Agreement, those obligations having been set off, and/or having been otherwise reduced, by the exercise of rights to apply any margin, collateral or other credit support delivered under or held in connection with such Closed-Out Agreement.]  [</w:t>
      </w:r>
      <w:r>
        <w:rPr>
          <w:b/>
          <w:lang w:val="en-GB"/>
        </w:rPr>
        <w:t>TO DISCUSS</w:t>
      </w:r>
      <w:r>
        <w:rPr>
          <w:lang w:val="en-GB"/>
        </w:rPr>
        <w:t>]</w:t>
      </w:r>
    </w:p>
    <w:p>
      <w:pPr>
        <w:pStyle w:val="Normal"/>
        <w:widowControl/>
        <w:suppressAutoHyphens w:val="true"/>
        <w:jc w:val="both"/>
        <w:rPr>
          <w:lang w:val="en-GB"/>
        </w:rPr>
      </w:pPr>
      <w:r>
        <w:rPr>
          <w:lang w:val="en-GB"/>
        </w:rPr>
      </w:r>
    </w:p>
    <w:p>
      <w:pPr>
        <w:pStyle w:val="Normal"/>
        <w:widowControl/>
        <w:suppressAutoHyphens w:val="true"/>
        <w:ind w:start="330" w:end="0"/>
        <w:jc w:val="both"/>
        <w:rPr>
          <w:rFonts w:ascii="Times New Roman" w:hAnsi="Times New Roman" w:cs="Times New Roman"/>
          <w:lang w:val="en-GB"/>
        </w:rPr>
      </w:pPr>
      <w:r>
        <w:rPr>
          <w:lang w:val="en-GB"/>
        </w:rPr>
        <w:t>"</w:t>
      </w:r>
      <w:r>
        <w:rPr>
          <w:b/>
          <w:lang w:val="en-GB"/>
        </w:rPr>
        <w:t>Transaction</w:t>
      </w:r>
      <w:r>
        <w:rPr>
          <w:lang w:val="en-GB"/>
        </w:rPr>
        <w:t>" means a transaction which would on a Close-Out be subject to netting under an Underlying Netting Agreement.</w:t>
      </w:r>
    </w:p>
    <w:p>
      <w:pPr>
        <w:pStyle w:val="Normal"/>
        <w:widowControl/>
        <w:suppressAutoHyphens w:val="true"/>
        <w:ind w:hanging="720" w:start="329" w:end="0"/>
        <w:jc w:val="both"/>
        <w:rPr>
          <w:rFonts w:ascii="Times New Roman" w:hAnsi="Times New Roman" w:cs="Times New Roman"/>
          <w:lang w:val="en-GB"/>
        </w:rPr>
      </w:pPr>
      <w:r>
        <w:rPr>
          <w:rFonts w:cs="Times New Roman" w:ascii="Times New Roman" w:hAnsi="Times New Roman"/>
          <w:lang w:val="en-GB"/>
        </w:rPr>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0"/>
        <w:ind w:hanging="0" w:start="329" w:end="0"/>
        <w:jc w:val="both"/>
        <w:rPr/>
      </w:pPr>
      <w:r>
        <w:rPr/>
        <w:t>"</w:t>
      </w:r>
      <w:r>
        <w:rPr>
          <w:b/>
        </w:rPr>
        <w:t>Transferee</w:t>
      </w:r>
      <w:r>
        <w:rPr/>
        <w:t>" means, in relation to each Valuation Day, the party in respect of which Exposure is greater than zero provided that where in relation to any Valuation Day there is more than one Enron Entity in respect of which Exposure is greater than zero, for the purposes of the provisions of this Agreement other than Clause 5.1, only the first Enron Entity to make a demand under Clause 5.1 shall be regarded as the Transferee.</w:t>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before="0" w:after="0"/>
        <w:ind w:hanging="0" w:start="329" w:end="0"/>
        <w:jc w:val="both"/>
        <w:rPr/>
      </w:pPr>
      <w:r>
        <w:rPr/>
      </w:r>
    </w:p>
    <w:p>
      <w:pPr>
        <w:pStyle w:val="BodyText"/>
        <w:widowControl/>
        <w:tabs>
          <w:tab w:val="clear" w:pos="709"/>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ind w:hanging="0" w:start="330" w:end="0"/>
        <w:jc w:val="both"/>
        <w:rPr/>
      </w:pPr>
      <w:r>
        <w:rPr/>
        <w:t>"</w:t>
      </w:r>
      <w:r>
        <w:rPr>
          <w:b/>
        </w:rPr>
        <w:t>Transferor</w:t>
      </w:r>
      <w:r>
        <w:rPr/>
        <w:t>" means, in relation to a Transferee, the other party.</w:t>
      </w:r>
    </w:p>
    <w:p>
      <w:pPr>
        <w:pStyle w:val="Normal"/>
        <w:widowControl/>
        <w:suppressAutoHyphens w:val="true"/>
        <w:ind w:start="320" w:end="0"/>
        <w:jc w:val="both"/>
        <w:rPr/>
      </w:pPr>
      <w:r>
        <w:rPr>
          <w:lang w:val="en-GB"/>
        </w:rPr>
        <w:t>"</w:t>
      </w:r>
      <w:r>
        <w:rPr>
          <w:b/>
          <w:lang w:val="en-GB"/>
        </w:rPr>
        <w:t>Underlying Netting Agreements</w:t>
      </w:r>
      <w:r>
        <w:rPr>
          <w:lang w:val="en-GB"/>
        </w:rPr>
        <w:t xml:space="preserve">" means each of (1) the Netting Agreement between RWE and ECTRL dated </w:t>
      </w:r>
      <w:r>
        <w:fldChar w:fldCharType="begin">
          <w:ffData>
            <w:name w:val="Text1"/>
            <w:enabled/>
            <w:calcOnExit w:val="0"/>
            <w:textInput/>
          </w:ffData>
        </w:fldChar>
      </w:r>
      <w:r>
        <w:rPr>
          <w:lang w:val="en-CA" w:eastAsia="en-CA"/>
        </w:rPr>
        <w:instrText xml:space="preserve"> FORMTEXT </w:instrText>
      </w:r>
      <w:r>
        <w:rPr>
          <w:lang w:val="en-CA" w:eastAsia="en-CA"/>
        </w:rPr>
      </w:r>
      <w:r>
        <w:rPr>
          <w:lang w:val="en-CA" w:eastAsia="en-CA"/>
        </w:rPr>
        <w:fldChar w:fldCharType="separate"/>
      </w:r>
      <w:r>
        <w:rPr>
          <w:lang w:val="en-CA" w:eastAsia="en-CA"/>
        </w:rPr>
        <w:t xml:space="preserve">**                    </w:t>
      </w:r>
      <w:r>
        <w:rPr>
          <w:lang w:val="en-CA" w:eastAsia="en-CA"/>
        </w:rPr>
      </w:r>
      <w:r>
        <w:rPr>
          <w:lang w:val="en-CA" w:eastAsia="en-CA"/>
        </w:rPr>
        <w:fldChar w:fldCharType="end"/>
      </w:r>
      <w:r>
        <w:rPr>
          <w:lang w:val="en-GB"/>
        </w:rPr>
        <w:t>, (2) the ISDA Master Agreement between RWE Energie AG and ECTRIC and dated 4 November 1999 and subsequently novated to RWE and ECTRIC and (3) [</w:t>
      </w:r>
      <w:r>
        <w:rPr>
          <w:b/>
          <w:lang w:val="en-GB"/>
        </w:rPr>
        <w:t>details of agreement between RWE and EFET</w:t>
      </w:r>
      <w:r>
        <w:rPr>
          <w:lang w:val="en-GB"/>
        </w:rPr>
        <w:t>] each as amended and supplemented from time to time.</w:t>
      </w:r>
    </w:p>
    <w:p>
      <w:pPr>
        <w:pStyle w:val="Normal"/>
        <w:widowControl/>
        <w:suppressAutoHyphens w:val="true"/>
        <w:ind w:hanging="720" w:start="330" w:end="0"/>
        <w:jc w:val="both"/>
        <w:rPr>
          <w:lang w:val="en-GB"/>
        </w:rPr>
      </w:pPr>
      <w:r>
        <w:rPr>
          <w:lang w:val="en-GB"/>
        </w:rPr>
      </w:r>
    </w:p>
    <w:p>
      <w:pPr>
        <w:pStyle w:val="Normal"/>
        <w:widowControl/>
        <w:suppressAutoHyphens w:val="true"/>
        <w:ind w:hanging="720" w:start="330" w:end="0"/>
        <w:jc w:val="both"/>
        <w:rPr/>
      </w:pPr>
      <w:r>
        <w:rPr>
          <w:lang w:val="en-GB"/>
        </w:rPr>
        <w:tab/>
        <w:t>"</w:t>
      </w:r>
      <w:r>
        <w:rPr>
          <w:b/>
          <w:lang w:val="en-GB"/>
        </w:rPr>
        <w:t>Valuation Day</w:t>
      </w:r>
      <w:r>
        <w:rPr>
          <w:lang w:val="en-GB"/>
        </w:rPr>
        <w:t>" means any Banking Day.</w:t>
      </w:r>
    </w:p>
    <w:p>
      <w:pPr>
        <w:pStyle w:val="Normal"/>
        <w:widowControl/>
        <w:suppressAutoHyphens w:val="true"/>
        <w:ind w:start="330" w:end="0"/>
        <w:jc w:val="both"/>
        <w:rPr>
          <w:lang w:val="en-GB"/>
        </w:rPr>
      </w:pPr>
      <w:r>
        <w:rPr>
          <w:lang w:val="en-GB"/>
        </w:rPr>
      </w:r>
    </w:p>
    <w:p>
      <w:pPr>
        <w:pStyle w:val="Normal"/>
        <w:keepNext w:val="true"/>
        <w:widowControl/>
        <w:suppressAutoHyphens w:val="true"/>
        <w:ind w:hanging="1418" w:start="1418" w:end="0"/>
        <w:jc w:val="center"/>
        <w:rPr>
          <w:b/>
          <w:lang w:val="en-GB"/>
        </w:rPr>
      </w:pPr>
      <w:r>
        <w:rPr>
          <w:b/>
          <w:lang w:val="en-GB"/>
        </w:rPr>
        <w:t>§ 2</w:t>
      </w:r>
    </w:p>
    <w:p>
      <w:pPr>
        <w:pStyle w:val="Normal"/>
        <w:keepNext w:val="true"/>
        <w:widowControl/>
        <w:suppressAutoHyphens w:val="true"/>
        <w:jc w:val="center"/>
        <w:rPr>
          <w:b/>
          <w:lang w:val="en-GB"/>
        </w:rPr>
      </w:pPr>
      <w:r>
        <w:rPr>
          <w:b/>
          <w:lang w:val="en-GB"/>
        </w:rPr>
      </w:r>
    </w:p>
    <w:p>
      <w:pPr>
        <w:pStyle w:val="Heading1"/>
        <w:widowControl/>
        <w:suppressAutoHyphens w:val="true"/>
        <w:ind w:hanging="0" w:start="0"/>
        <w:rPr>
          <w:lang w:val="en-GB"/>
        </w:rPr>
      </w:pPr>
      <w:r>
        <w:rPr>
          <w:lang w:val="en-GB"/>
        </w:rPr>
        <w:t>Early Termination of Underlying Netting Agreements</w:t>
      </w:r>
    </w:p>
    <w:p>
      <w:pPr>
        <w:pStyle w:val="Normal"/>
        <w:keepNext w:val="true"/>
        <w:widowControl/>
        <w:suppressAutoHyphens w:val="true"/>
        <w:jc w:val="both"/>
        <w:rPr>
          <w:b/>
          <w:lang w:val="en-GB"/>
        </w:rPr>
      </w:pPr>
      <w:r>
        <w:rPr>
          <w:b/>
          <w:lang w:val="en-GB"/>
        </w:rPr>
      </w:r>
    </w:p>
    <w:p>
      <w:pPr>
        <w:pStyle w:val="Normal"/>
        <w:widowControl/>
        <w:numPr>
          <w:ilvl w:val="1"/>
          <w:numId w:val="13"/>
        </w:numPr>
        <w:spacing w:before="0" w:after="240"/>
        <w:jc w:val="both"/>
        <w:rPr>
          <w:lang w:val="en-GB"/>
        </w:rPr>
      </w:pPr>
      <w:r>
        <w:rPr>
          <w:lang w:val="en-GB"/>
        </w:rPr>
        <w:t>The occurrence at any time with respect to a party or, if applicable, any Credit Support Provider of a party, of any of the following events constitutes an event of default (an "</w:t>
      </w:r>
      <w:r>
        <w:rPr>
          <w:b/>
          <w:lang w:val="en-GB"/>
        </w:rPr>
        <w:t>Event of Default</w:t>
      </w:r>
      <w:r>
        <w:rPr>
          <w:lang w:val="en-GB"/>
        </w:rPr>
        <w:t>") with respect to the party:</w:t>
      </w:r>
    </w:p>
    <w:p>
      <w:pPr>
        <w:pStyle w:val="Normal"/>
        <w:widowControl/>
        <w:ind w:hanging="720" w:start="1440" w:end="0"/>
        <w:jc w:val="both"/>
        <w:rPr>
          <w:lang w:val="en-GB"/>
        </w:rPr>
      </w:pPr>
      <w:r>
        <w:rPr>
          <w:lang w:val="en-GB"/>
        </w:rPr>
        <w:t>2.1.1</w:t>
        <w:tab/>
        <w:t>the party or any Credit Support Provider of the party:</w:t>
      </w:r>
    </w:p>
    <w:p>
      <w:pPr>
        <w:pStyle w:val="Normal"/>
        <w:widowControl/>
        <w:ind w:hanging="720" w:start="1440" w:end="0"/>
        <w:jc w:val="both"/>
        <w:rPr>
          <w:lang w:val="en-GB"/>
        </w:rPr>
      </w:pPr>
      <w:r>
        <w:rPr>
          <w:lang w:val="en-GB"/>
        </w:rPr>
      </w:r>
    </w:p>
    <w:p>
      <w:pPr>
        <w:pStyle w:val="Normal"/>
        <w:widowControl/>
        <w:ind w:hanging="742" w:start="2160" w:end="0"/>
        <w:jc w:val="both"/>
        <w:rPr>
          <w:lang w:val="en-GB"/>
        </w:rPr>
      </w:pPr>
      <w:r>
        <w:rPr>
          <w:lang w:val="en-GB"/>
        </w:rPr>
        <w:t>(a)</w:t>
        <w:tab/>
        <w:t>is dissolved (other than pursuant to a consolidation, amalgamation or merger);</w:t>
      </w:r>
    </w:p>
    <w:p>
      <w:pPr>
        <w:pStyle w:val="Normal"/>
        <w:widowControl/>
        <w:ind w:hanging="1134" w:start="1418" w:end="0"/>
        <w:jc w:val="both"/>
        <w:rPr>
          <w:lang w:val="en-GB"/>
        </w:rPr>
      </w:pPr>
      <w:r>
        <w:rPr>
          <w:lang w:val="en-GB"/>
        </w:rPr>
      </w:r>
    </w:p>
    <w:p>
      <w:pPr>
        <w:pStyle w:val="Normal"/>
        <w:widowControl/>
        <w:ind w:hanging="742" w:start="2160" w:end="0"/>
        <w:jc w:val="both"/>
        <w:rPr>
          <w:lang w:val="en-GB"/>
        </w:rPr>
      </w:pPr>
      <w:r>
        <w:rPr>
          <w:lang w:val="en-GB"/>
        </w:rPr>
        <w:t>(b)</w:t>
        <w:tab/>
        <w:t>becomes insolvent or is unable to pay its debts as they become due or fails or admits in writing its inability generally to pay its debts as they become due;</w:t>
      </w:r>
    </w:p>
    <w:p>
      <w:pPr>
        <w:pStyle w:val="Normal"/>
        <w:widowControl/>
        <w:ind w:hanging="1134" w:start="2552" w:end="0"/>
        <w:jc w:val="both"/>
        <w:rPr>
          <w:lang w:val="en-GB"/>
        </w:rPr>
      </w:pPr>
      <w:r>
        <w:rPr>
          <w:lang w:val="en-GB"/>
        </w:rPr>
      </w:r>
    </w:p>
    <w:p>
      <w:pPr>
        <w:pStyle w:val="Normal"/>
        <w:widowControl/>
        <w:ind w:hanging="742" w:start="2160" w:end="0"/>
        <w:jc w:val="both"/>
        <w:rPr>
          <w:lang w:val="en-GB"/>
        </w:rPr>
      </w:pPr>
      <w:r>
        <w:rPr>
          <w:lang w:val="en-GB"/>
        </w:rPr>
        <w:t>(c)</w:t>
        <w:tab/>
        <w:t>makes a general assignment, arrangement or composition with or for the benefit of its creditors;</w:t>
      </w:r>
    </w:p>
    <w:p>
      <w:pPr>
        <w:pStyle w:val="Normal"/>
        <w:widowControl/>
        <w:ind w:hanging="1134" w:start="2552" w:end="0"/>
        <w:jc w:val="both"/>
        <w:rPr>
          <w:lang w:val="en-GB"/>
        </w:rPr>
      </w:pPr>
      <w:r>
        <w:rPr>
          <w:lang w:val="en-GB"/>
        </w:rPr>
      </w:r>
    </w:p>
    <w:p>
      <w:pPr>
        <w:pStyle w:val="Normal"/>
        <w:widowControl/>
        <w:ind w:hanging="742" w:start="2160" w:end="0"/>
        <w:jc w:val="both"/>
        <w:rPr/>
      </w:pPr>
      <w:r>
        <w:rPr>
          <w:lang w:val="en-GB"/>
        </w:rPr>
        <w:t>(d)</w:t>
        <w:tab/>
        <w:t>institutes or has instituted against it a proceeding seeking a judgment of insolvency or bankruptcy or any other relief under any bankruptcy or insolvency law or other similar law affecting creditors' rights (including but not limited to a suspension of payments), or a petition is presented for its winding-up or liquidation, and, in the case of any such proceeding or petition instituted or presented against it, that proceeding or petition (i) results in a judgment of insolvency or bankruptcy or the entry of an order for relief or the making of an order for its winding-up or liquidation or (ii) is not withdrawn, dismissed, discharged, stayed or restrained in each case within 5 days of the institution or presentation of that proceeding or petition;</w:t>
      </w:r>
    </w:p>
    <w:p>
      <w:pPr>
        <w:pStyle w:val="Normal"/>
        <w:widowControl/>
        <w:ind w:hanging="1134" w:start="2552" w:end="0"/>
        <w:jc w:val="both"/>
        <w:rPr>
          <w:lang w:val="en-GB"/>
        </w:rPr>
      </w:pPr>
      <w:r>
        <w:rPr>
          <w:lang w:val="en-GB"/>
        </w:rPr>
      </w:r>
    </w:p>
    <w:p>
      <w:pPr>
        <w:pStyle w:val="Normal"/>
        <w:keepNext w:val="true"/>
        <w:keepLines/>
        <w:widowControl/>
        <w:ind w:hanging="743" w:start="2161" w:end="0"/>
        <w:jc w:val="both"/>
        <w:rPr/>
      </w:pPr>
      <w:r>
        <w:rPr>
          <w:lang w:val="en-GB"/>
        </w:rPr>
        <w:t>(e)</w:t>
        <w:tab/>
        <w:t>has a resolution passed for its winding-up, administration, official management, liquidation (other than pursuant to a consolidation, amalgamation or merger) or to commence any of the proceedings referred to in 2.1.1(d);</w:t>
      </w:r>
    </w:p>
    <w:p>
      <w:pPr>
        <w:pStyle w:val="Normal"/>
        <w:widowControl/>
        <w:ind w:hanging="1134" w:start="2552" w:end="0"/>
        <w:jc w:val="both"/>
        <w:rPr>
          <w:lang w:val="en-GB"/>
        </w:rPr>
      </w:pPr>
      <w:r>
        <w:rPr>
          <w:lang w:val="en-GB"/>
        </w:rPr>
      </w:r>
    </w:p>
    <w:p>
      <w:pPr>
        <w:pStyle w:val="Normal"/>
        <w:widowControl/>
        <w:ind w:hanging="742" w:start="2160" w:end="0"/>
        <w:jc w:val="both"/>
        <w:rPr/>
      </w:pPr>
      <w:r>
        <w:rPr>
          <w:lang w:val="en-GB"/>
        </w:rPr>
        <w:t>(f)</w:t>
        <w:tab/>
        <w:t>seeks or becomes subject to the appointment of an administrator, provisional liquidator, conservator, receiver, trustee, custodian or other similar official for it or for all or substantially all its assets;</w:t>
      </w:r>
    </w:p>
    <w:p>
      <w:pPr>
        <w:pStyle w:val="Normal"/>
        <w:widowControl/>
        <w:ind w:hanging="1134" w:start="2552" w:end="0"/>
        <w:jc w:val="both"/>
        <w:rPr>
          <w:lang w:val="en-GB"/>
        </w:rPr>
      </w:pPr>
      <w:r>
        <w:rPr>
          <w:lang w:val="en-GB"/>
        </w:rPr>
      </w:r>
    </w:p>
    <w:p>
      <w:pPr>
        <w:pStyle w:val="Normal"/>
        <w:widowControl/>
        <w:ind w:hanging="742" w:start="2160" w:end="0"/>
        <w:jc w:val="both"/>
        <w:rPr/>
      </w:pPr>
      <w:r>
        <w:rPr>
          <w:lang w:val="en-GB"/>
        </w:rPr>
        <w:t>(g)</w:t>
        <w:tab/>
        <w:t>has a secured party take possession of all or substantially all its assets or has a distress, execution, attachment, sequestration or other legal process levied, enforced or sued on or against all or substantially all its assets and that secured party maintains possession, or that process is not withdrawn, dismissed, discharged, stayed or restrained, in each case within 5 days of that event;</w:t>
      </w:r>
    </w:p>
    <w:p>
      <w:pPr>
        <w:pStyle w:val="Normal"/>
        <w:widowControl/>
        <w:ind w:hanging="1134" w:start="2552" w:end="0"/>
        <w:jc w:val="both"/>
        <w:rPr>
          <w:lang w:val="en-GB"/>
        </w:rPr>
      </w:pPr>
      <w:r>
        <w:rPr>
          <w:lang w:val="en-GB"/>
        </w:rPr>
      </w:r>
    </w:p>
    <w:p>
      <w:pPr>
        <w:pStyle w:val="Normal"/>
        <w:widowControl/>
        <w:ind w:hanging="742" w:start="2160" w:end="0"/>
        <w:jc w:val="both"/>
        <w:rPr>
          <w:lang w:val="en-GB"/>
        </w:rPr>
      </w:pPr>
      <w:r>
        <w:rPr>
          <w:lang w:val="en-GB"/>
        </w:rPr>
        <w:t>(h)</w:t>
        <w:tab/>
        <w:t>causes or is subject to any event with respect to it which, under the applicable laws of any jurisdiction, has an analogous effect to any of the events specified in clauses (a) to (g) (inclusive); or</w:t>
      </w:r>
    </w:p>
    <w:p>
      <w:pPr>
        <w:pStyle w:val="Normal"/>
        <w:widowControl/>
        <w:ind w:hanging="1134" w:start="2552" w:end="0"/>
        <w:jc w:val="both"/>
        <w:rPr>
          <w:lang w:val="en-GB"/>
        </w:rPr>
      </w:pPr>
      <w:r>
        <w:rPr>
          <w:lang w:val="en-GB"/>
        </w:rPr>
      </w:r>
    </w:p>
    <w:p>
      <w:pPr>
        <w:pStyle w:val="Normal"/>
        <w:widowControl/>
        <w:ind w:hanging="742" w:start="2160" w:end="0"/>
        <w:jc w:val="both"/>
        <w:rPr>
          <w:lang w:val="en-GB"/>
        </w:rPr>
      </w:pPr>
      <w:r>
        <w:rPr>
          <w:lang w:val="en-GB"/>
        </w:rPr>
        <w:t>(i)</w:t>
        <w:tab/>
        <w:t>takes any action in furtherance of, or indicating its consent to, approval of, or acquiescence in, any of the acts referred to in this clause 2.1.1;</w:t>
      </w:r>
    </w:p>
    <w:p>
      <w:pPr>
        <w:pStyle w:val="Normal"/>
        <w:widowControl/>
        <w:ind w:start="720" w:end="0"/>
        <w:jc w:val="both"/>
        <w:rPr>
          <w:lang w:val="en-GB"/>
        </w:rPr>
      </w:pPr>
      <w:r>
        <w:rPr>
          <w:lang w:val="en-GB"/>
        </w:rPr>
      </w:r>
    </w:p>
    <w:p>
      <w:pPr>
        <w:pStyle w:val="Normal"/>
        <w:widowControl/>
        <w:ind w:hanging="720" w:start="1440" w:end="0"/>
        <w:jc w:val="both"/>
        <w:rPr/>
      </w:pPr>
      <w:r>
        <w:rPr>
          <w:lang w:val="en-GB"/>
        </w:rPr>
        <w:t>2.1.2</w:t>
        <w:tab/>
        <w:t>any representation or warranty made, or deemed to have been made, by the party or any Credit Support Provider of that party in any transaction under an Underlying Netting Agreement, this Agreement, an Underlying Netting Agreement or any Credit Support Document proves to have been false or materially misleading at the time it was made or repeated or was deemed to have been made or repeated;</w:t>
      </w:r>
    </w:p>
    <w:p>
      <w:pPr>
        <w:pStyle w:val="Normal"/>
        <w:widowControl/>
        <w:spacing w:before="240" w:after="0"/>
        <w:ind w:hanging="720" w:start="1440" w:end="0"/>
        <w:jc w:val="both"/>
        <w:rPr/>
      </w:pPr>
      <w:r>
        <w:rPr>
          <w:lang w:val="en-GB"/>
        </w:rPr>
        <w:t>2.1.3</w:t>
        <w:tab/>
        <w:t>the party fails to pay any amount when due under this Agreement, or take delivery of any other commodity or property when due under this Agreement and that failure is not remedied on or before the third Banking Day after the other party gives notice of that failure;</w:t>
      </w:r>
    </w:p>
    <w:p>
      <w:pPr>
        <w:pStyle w:val="Normal"/>
        <w:widowControl/>
        <w:spacing w:before="240" w:after="0"/>
        <w:ind w:hanging="720" w:start="1440" w:end="0"/>
        <w:jc w:val="both"/>
        <w:rPr/>
      </w:pPr>
      <w:r>
        <w:rPr>
          <w:lang w:val="en-GB"/>
        </w:rPr>
        <w:t>2.1.4</w:t>
        <w:tab/>
        <w:t>the party fails to perform any obligation under any transaction under an Underlying Netting Agreement, an Underlying Netting Agreement or this Agreement and that failure is not remedied within 3 Banking Days of the other party giving the party notice of that failure;</w:t>
      </w:r>
    </w:p>
    <w:p>
      <w:pPr>
        <w:pStyle w:val="Normal"/>
        <w:keepNext w:val="true"/>
        <w:widowControl/>
        <w:ind w:start="720" w:end="0"/>
        <w:jc w:val="both"/>
        <w:rPr>
          <w:lang w:val="en-GB"/>
        </w:rPr>
      </w:pPr>
      <w:r>
        <w:rPr>
          <w:lang w:val="en-GB"/>
        </w:rPr>
      </w:r>
    </w:p>
    <w:p>
      <w:pPr>
        <w:pStyle w:val="Normal"/>
        <w:keepNext w:val="true"/>
        <w:widowControl/>
        <w:tabs>
          <w:tab w:val="clear" w:pos="709"/>
          <w:tab w:val="left" w:pos="1430" w:leader="none"/>
        </w:tabs>
        <w:ind w:hanging="1480" w:start="2200" w:end="0"/>
        <w:jc w:val="both"/>
        <w:rPr/>
      </w:pPr>
      <w:r>
        <w:rPr>
          <w:lang w:val="en-GB"/>
        </w:rPr>
        <w:t>2.1.5</w:t>
        <w:tab/>
        <w:t>(a)</w:t>
        <w:tab/>
        <w:t>the party, any Credit Support Provider of the party or any Performance Assurance provider of the party fails to comply with or perform any agreement or obligation to be complied with or performed by it in accordance with any Credit Support Document or Performance Assurance if that failure is continuing after a period of three (3) Banking Days has elapsed;</w:t>
      </w:r>
    </w:p>
    <w:p>
      <w:pPr>
        <w:pStyle w:val="Normal"/>
        <w:widowControl/>
        <w:ind w:hanging="720" w:start="720" w:end="0"/>
        <w:jc w:val="both"/>
        <w:rPr>
          <w:lang w:val="en-GB"/>
        </w:rPr>
      </w:pPr>
      <w:r>
        <w:rPr>
          <w:lang w:val="en-GB"/>
        </w:rPr>
      </w:r>
    </w:p>
    <w:p>
      <w:pPr>
        <w:pStyle w:val="Normal"/>
        <w:widowControl/>
        <w:ind w:hanging="720" w:start="2160" w:end="0"/>
        <w:jc w:val="both"/>
        <w:rPr>
          <w:lang w:val="en-GB"/>
        </w:rPr>
      </w:pPr>
      <w:r>
        <w:rPr>
          <w:lang w:val="en-GB"/>
        </w:rPr>
        <w:t>(b)</w:t>
        <w:tab/>
        <w:t>any Credit Support Document or Performance Assurance expires or terminates or fails or ceases to be in full force and effect (in either case other than in accordance with its terms) prior to the satisfaction of all obligations of the party under each Transaction to which that Credit Support Document or Performance Assurance (as the case may be) relates without the written consent of the other party; or</w:t>
      </w:r>
    </w:p>
    <w:p>
      <w:pPr>
        <w:pStyle w:val="Normal"/>
        <w:widowControl/>
        <w:ind w:hanging="1112" w:start="2552" w:end="0"/>
        <w:jc w:val="both"/>
        <w:rPr>
          <w:lang w:val="en-GB"/>
        </w:rPr>
      </w:pPr>
      <w:r>
        <w:rPr>
          <w:lang w:val="en-GB"/>
        </w:rPr>
      </w:r>
    </w:p>
    <w:p>
      <w:pPr>
        <w:pStyle w:val="Normal"/>
        <w:widowControl/>
        <w:ind w:hanging="720" w:start="2160" w:end="0"/>
        <w:jc w:val="both"/>
        <w:rPr/>
      </w:pPr>
      <w:r>
        <w:rPr>
          <w:lang w:val="en-GB"/>
        </w:rPr>
        <w:t>(c)</w:t>
        <w:tab/>
        <w:t>the party, any Credit Support Provider of that party or any Performance Assurance provider of the party disaffirms, disclaims, repudiates or rejects, in whole or in part, or challenges the validity of, that Credit Support Document or Performance Assurance;</w:t>
      </w:r>
    </w:p>
    <w:p>
      <w:pPr>
        <w:pStyle w:val="Normal"/>
        <w:widowControl/>
        <w:jc w:val="both"/>
        <w:rPr>
          <w:b/>
          <w:i/>
          <w:i/>
          <w:lang w:val="en-GB"/>
        </w:rPr>
      </w:pPr>
      <w:r>
        <w:rPr>
          <w:b/>
          <w:i/>
          <w:lang w:val="en-GB"/>
        </w:rPr>
      </w:r>
    </w:p>
    <w:p>
      <w:pPr>
        <w:pStyle w:val="Normal"/>
        <w:widowControl/>
        <w:ind w:hanging="720" w:start="1440" w:end="0"/>
        <w:jc w:val="both"/>
        <w:rPr>
          <w:lang w:val="en-GB"/>
        </w:rPr>
      </w:pPr>
      <w:r>
        <w:rPr>
          <w:lang w:val="en-GB"/>
        </w:rPr>
        <w:t>2.1.6</w:t>
        <w:tab/>
        <w:t>if there occurs or exists:</w:t>
      </w:r>
    </w:p>
    <w:p>
      <w:pPr>
        <w:pStyle w:val="Normal"/>
        <w:widowControl/>
        <w:ind w:start="720" w:end="0"/>
        <w:jc w:val="both"/>
        <w:rPr>
          <w:lang w:val="en-GB"/>
        </w:rPr>
      </w:pPr>
      <w:r>
        <w:rPr>
          <w:lang w:val="en-GB"/>
        </w:rPr>
      </w:r>
    </w:p>
    <w:p>
      <w:pPr>
        <w:pStyle w:val="Normal"/>
        <w:widowControl/>
        <w:ind w:hanging="720" w:start="2160" w:end="0"/>
        <w:jc w:val="both"/>
        <w:rPr/>
      </w:pPr>
      <w:r>
        <w:rPr>
          <w:lang w:val="en-GB"/>
        </w:rPr>
        <w:t>(a)</w:t>
        <w:tab/>
        <w:t>a default, event of default or other similar condition or event (however described) in respect of the party or any Credit Support Provider or Controlling party, as applicable, of the party under one or more agreements or instruments relating to  third party indebtedness (“Indebtedness”) of any of them (individually or collectively) in an aggregate amount of not less than the Cross Default Threshold which has resulted in that Indebtedness becoming, or becoming capable at the time of being declared, due and payable under those agreements or instruments, before it would otherwise have been due and payable; or</w:t>
      </w:r>
    </w:p>
    <w:p>
      <w:pPr>
        <w:pStyle w:val="Normal"/>
        <w:widowControl/>
        <w:tabs>
          <w:tab w:val="clear" w:pos="709"/>
          <w:tab w:val="left" w:pos="2552" w:leader="none"/>
        </w:tabs>
        <w:ind w:hanging="1112" w:start="2552" w:end="0"/>
        <w:jc w:val="both"/>
        <w:rPr>
          <w:lang w:val="en-GB"/>
        </w:rPr>
      </w:pPr>
      <w:r>
        <w:rPr>
          <w:lang w:val="en-GB"/>
        </w:rPr>
      </w:r>
    </w:p>
    <w:p>
      <w:pPr>
        <w:pStyle w:val="Normal"/>
        <w:widowControl/>
        <w:ind w:hanging="720" w:start="2160" w:end="0"/>
        <w:jc w:val="both"/>
        <w:rPr/>
      </w:pPr>
      <w:r>
        <w:rPr>
          <w:lang w:val="en-GB"/>
        </w:rPr>
        <w:t>(b)</w:t>
        <w:tab/>
        <w:t xml:space="preserve">a default by that party or that Credit Support Provider or that Controlling Party (individually or collectively) in making one or more payments on the due date for those purposes under those agreements or instruments in an aggregate amount of not less than the Cross Default Threshold (after giving effect to any applicable notice requirement or grace period); </w:t>
      </w:r>
    </w:p>
    <w:p>
      <w:pPr>
        <w:pStyle w:val="Footer"/>
        <w:widowControl/>
        <w:jc w:val="both"/>
        <w:rPr>
          <w:lang w:val="en-GB"/>
        </w:rPr>
      </w:pPr>
      <w:r>
        <w:rPr>
          <w:lang w:val="en-GB"/>
        </w:rPr>
      </w:r>
    </w:p>
    <w:p>
      <w:pPr>
        <w:pStyle w:val="Footer"/>
        <w:widowControl/>
        <w:ind w:hanging="753" w:start="1440" w:end="0"/>
        <w:jc w:val="both"/>
        <w:rPr>
          <w:lang w:val="en-GB"/>
        </w:rPr>
      </w:pPr>
      <w:r>
        <w:rPr>
          <w:lang w:val="en-GB"/>
        </w:rPr>
        <w:t>2.1.7</w:t>
        <w:tab/>
        <w:t>the party disaffirms, disclaims or repudiates any obligation under this Netting Agreement or any Transaction.</w:t>
      </w:r>
    </w:p>
    <w:p>
      <w:pPr>
        <w:pStyle w:val="Normal"/>
        <w:widowControl/>
        <w:spacing w:before="120" w:after="60"/>
        <w:ind w:hanging="720" w:start="1440" w:end="0"/>
        <w:jc w:val="both"/>
        <w:rPr>
          <w:lang w:val="en-GB"/>
        </w:rPr>
      </w:pPr>
      <w:r>
        <w:rPr>
          <w:lang w:val="en-GB"/>
        </w:rPr>
        <w:t>2.1.8</w:t>
        <w:tab/>
        <w:t xml:space="preserve">If a party refuses or fails to pay or repay when due any amount equal to the Exposure payable under this Agreement, including the refusal or failure to open any Letter of Credit; or </w:t>
      </w:r>
    </w:p>
    <w:p>
      <w:pPr>
        <w:pStyle w:val="Normal"/>
        <w:widowControl/>
        <w:spacing w:before="120" w:after="60"/>
        <w:ind w:hanging="720" w:start="1440" w:end="0"/>
        <w:jc w:val="both"/>
        <w:rPr/>
      </w:pPr>
      <w:r>
        <w:rPr>
          <w:lang w:val="en-GB"/>
        </w:rPr>
        <w:t>2.1.9</w:t>
        <w:tab/>
        <w:t xml:space="preserve">If a party is released from its obligations under one or more Transactions due to an event in the nature of </w:t>
      </w:r>
      <w:r>
        <w:rPr>
          <w:i/>
          <w:lang w:val="en-GB"/>
        </w:rPr>
        <w:t>force majeure</w:t>
      </w:r>
      <w:r>
        <w:rPr>
          <w:lang w:val="en-GB"/>
        </w:rPr>
        <w:t xml:space="preserve"> for more than thirty (30) consecutive days or for more than sixty (60) days in aggregate within a period of one calendar year.</w:t>
      </w:r>
    </w:p>
    <w:p>
      <w:pPr>
        <w:pStyle w:val="Normal"/>
        <w:widowControl/>
        <w:spacing w:before="120" w:after="60"/>
        <w:ind w:hanging="720" w:start="1440" w:end="0"/>
        <w:jc w:val="both"/>
        <w:rPr/>
      </w:pPr>
      <w:r>
        <w:rPr>
          <w:lang w:val="en-GB"/>
        </w:rPr>
        <w:t>2.1.10</w:t>
        <w:tab/>
        <w:t>the party fails, within three (3) Banking Days of receipt of the notice referred to below, to provide the other party (the "</w:t>
      </w:r>
      <w:r>
        <w:rPr>
          <w:b/>
          <w:lang w:val="en-GB"/>
        </w:rPr>
        <w:t>Requesting party</w:t>
      </w:r>
      <w:r>
        <w:rPr>
          <w:lang w:val="en-GB"/>
        </w:rPr>
        <w:t>") with, or increase the amount of, a Performance Assurance in the form set out below when the Requesting party believes in good faith that a Material Adverse Change has occurred in respect of such party and the Requesting party serves written notice on that party.  A Performance Assurance shall be: (a) a Letter of Credit; (b) cash; or (c) other security, in a form and amount reasonably acceptable to the Requesting party (a "</w:t>
      </w:r>
      <w:r>
        <w:rPr>
          <w:b/>
          <w:lang w:val="en-GB"/>
        </w:rPr>
        <w:t>Performance Assurance</w:t>
      </w:r>
      <w:r>
        <w:rPr>
          <w:lang w:val="en-GB"/>
        </w:rPr>
        <w:t>").</w:t>
      </w:r>
    </w:p>
    <w:p>
      <w:pPr>
        <w:pStyle w:val="Normal"/>
        <w:widowControl/>
        <w:spacing w:before="120" w:after="60"/>
        <w:jc w:val="both"/>
        <w:rPr>
          <w:lang w:val="en-GB"/>
        </w:rPr>
      </w:pPr>
      <w:r>
        <w:rPr>
          <w:lang w:val="en-GB"/>
        </w:rPr>
      </w:r>
    </w:p>
    <w:p>
      <w:pPr>
        <w:pStyle w:val="Normal"/>
        <w:widowControl/>
        <w:spacing w:before="0" w:after="240"/>
        <w:jc w:val="both"/>
        <w:rPr/>
      </w:pPr>
      <w:r>
        <w:rPr>
          <w:lang w:val="en-GB"/>
        </w:rPr>
        <w:t>A "</w:t>
      </w:r>
      <w:r>
        <w:rPr>
          <w:b/>
          <w:lang w:val="en-GB"/>
        </w:rPr>
        <w:t>Material Adverse Change</w:t>
      </w:r>
      <w:r>
        <w:rPr>
          <w:lang w:val="en-GB"/>
        </w:rPr>
        <w:t>" shall have occurred if any one or more of the following events has occurred and is continuing insofar as such event is specified as applying to a party below:</w:t>
      </w:r>
    </w:p>
    <w:p>
      <w:pPr>
        <w:pStyle w:val="Normal"/>
        <w:widowControl/>
        <w:spacing w:before="0" w:after="240"/>
        <w:ind w:hanging="660" w:start="2090" w:end="0"/>
        <w:jc w:val="both"/>
        <w:rPr/>
      </w:pPr>
      <w:r>
        <w:rPr>
          <w:lang w:val="en-GB"/>
        </w:rPr>
        <w:t>(a)</w:t>
        <w:tab/>
      </w:r>
      <w:r>
        <w:rPr>
          <w:b/>
          <w:lang w:val="en-GB"/>
        </w:rPr>
        <w:t>Credit Rating</w:t>
      </w:r>
      <w:r>
        <w:rPr>
          <w:lang w:val="en-GB"/>
        </w:rPr>
        <w:t>: If the Credit Rating of an Entity listed in paragraphs (i), (ii) or (iii), each such Entity being a "</w:t>
      </w:r>
      <w:r>
        <w:rPr>
          <w:b/>
          <w:lang w:val="en-GB"/>
        </w:rPr>
        <w:t>Relevant Entity</w:t>
      </w:r>
      <w:r>
        <w:rPr>
          <w:lang w:val="en-GB"/>
        </w:rPr>
        <w:t>", is withdrawn or downgraded below Standard &amp; Poor’s Rating Group “BBB-“ or Moody’s Investor’s Service Inc equivalent:</w:t>
      </w:r>
    </w:p>
    <w:p>
      <w:pPr>
        <w:pStyle w:val="Normal"/>
        <w:widowControl/>
        <w:tabs>
          <w:tab w:val="clear" w:pos="709"/>
          <w:tab w:val="left" w:pos="1418" w:leader="none"/>
        </w:tabs>
        <w:spacing w:before="0" w:after="240"/>
        <w:ind w:hanging="2160" w:start="2160" w:end="0"/>
        <w:jc w:val="both"/>
        <w:rPr>
          <w:lang w:val="en-GB"/>
        </w:rPr>
      </w:pPr>
      <w:r>
        <w:rPr>
          <w:lang w:val="en-GB"/>
        </w:rPr>
        <w:tab/>
        <w:tab/>
        <w:t>(i)</w:t>
        <w:tab/>
        <w:t>the party in question; or</w:t>
      </w:r>
    </w:p>
    <w:p>
      <w:pPr>
        <w:pStyle w:val="Normal"/>
        <w:widowControl/>
        <w:tabs>
          <w:tab w:val="clear" w:pos="709"/>
          <w:tab w:val="left" w:pos="1418" w:leader="none"/>
        </w:tabs>
        <w:spacing w:before="0" w:after="240"/>
        <w:ind w:hanging="2160" w:start="2160" w:end="0"/>
        <w:jc w:val="both"/>
        <w:rPr>
          <w:lang w:val="en-GB"/>
        </w:rPr>
      </w:pPr>
      <w:r>
        <w:rPr>
          <w:lang w:val="en-GB"/>
        </w:rPr>
        <w:tab/>
        <w:tab/>
        <w:t>(ii)</w:t>
        <w:tab/>
        <w:t>that party's Credit Support Provider (other than a bank); or</w:t>
      </w:r>
    </w:p>
    <w:p>
      <w:pPr>
        <w:pStyle w:val="Normal"/>
        <w:widowControl/>
        <w:tabs>
          <w:tab w:val="clear" w:pos="709"/>
          <w:tab w:val="left" w:pos="1418" w:leader="none"/>
        </w:tabs>
        <w:spacing w:before="0" w:after="240"/>
        <w:ind w:hanging="2160" w:start="2160" w:end="0"/>
        <w:jc w:val="both"/>
        <w:rPr>
          <w:lang w:val="en-GB"/>
        </w:rPr>
      </w:pPr>
      <w:r>
        <w:rPr>
          <w:lang w:val="en-GB"/>
        </w:rPr>
        <w:tab/>
        <w:tab/>
        <w:t>(iii)</w:t>
        <w:tab/>
        <w:t>that party’s Controlling party; or</w:t>
      </w:r>
    </w:p>
    <w:p>
      <w:pPr>
        <w:pStyle w:val="Normal"/>
        <w:widowControl/>
        <w:spacing w:before="0" w:after="240"/>
        <w:ind w:hanging="660" w:start="2090" w:end="0"/>
        <w:jc w:val="both"/>
        <w:rPr/>
      </w:pPr>
      <w:r>
        <w:rPr>
          <w:lang w:val="en-GB"/>
        </w:rPr>
        <w:t>(b)</w:t>
      </w:r>
      <w:r>
        <w:rPr>
          <w:b/>
          <w:lang w:val="en-GB"/>
        </w:rPr>
        <w:tab/>
        <w:t>Credit Rating of a Credit Support Provider that is a Bank</w:t>
      </w:r>
      <w:r>
        <w:rPr>
          <w:lang w:val="en-GB"/>
        </w:rPr>
        <w:t>:  If the Credit Rating of a bank serving as the party's Credit Support Provider is withdrawn or downgraded below Standard &amp; Poor’s Rating Group “A“ or Moody’s Investor’s Service Inc equivalent; or</w:t>
      </w:r>
    </w:p>
    <w:p>
      <w:pPr>
        <w:pStyle w:val="Normal"/>
        <w:widowControl/>
        <w:spacing w:before="0" w:after="240"/>
        <w:ind w:hanging="660" w:start="2090" w:end="0"/>
        <w:jc w:val="both"/>
        <w:rPr/>
      </w:pPr>
      <w:r>
        <w:rPr>
          <w:lang w:val="en-GB"/>
        </w:rPr>
        <w:t>(c)</w:t>
      </w:r>
      <w:r>
        <w:rPr>
          <w:b/>
          <w:lang w:val="en-GB"/>
        </w:rPr>
        <w:tab/>
        <w:t>Failure of Control and Profit Transfer Agreement</w:t>
      </w:r>
      <w:r>
        <w:rPr>
          <w:lang w:val="en-GB"/>
        </w:rPr>
        <w:t>:  If any Controlling party of the party disaffirms, disclaims, revokes, repudiates or rejects in whole or in part, or challenges the validity of, any Control and Profit Transfer Agreement entered into by it or otherwise fails to comply with or perform its obligations under such Control and Profit Transfer Agreement; or</w:t>
      </w:r>
    </w:p>
    <w:p>
      <w:pPr>
        <w:pStyle w:val="Normal"/>
        <w:widowControl/>
        <w:numPr>
          <w:ilvl w:val="0"/>
          <w:numId w:val="11"/>
        </w:numPr>
        <w:tabs>
          <w:tab w:val="clear" w:pos="709"/>
          <w:tab w:val="left" w:pos="2126" w:leader="none"/>
        </w:tabs>
        <w:spacing w:before="0" w:after="240"/>
        <w:ind w:hanging="708" w:start="2126" w:end="0"/>
        <w:jc w:val="both"/>
        <w:rPr>
          <w:lang w:val="en-GB"/>
        </w:rPr>
      </w:pPr>
      <w:r>
        <w:rPr>
          <w:b/>
          <w:lang w:val="en-GB"/>
        </w:rPr>
        <w:t>Amalgamation/Merger</w:t>
      </w:r>
      <w:r>
        <w:rPr>
          <w:lang w:val="en-GB"/>
        </w:rPr>
        <w:t>:  If the party or its Credit Support Provider undergoes a change of control, consolidates or amalgamates with, or merges with or into, or transfers all or substantially all its assets to, or reorganizes, incorporates, reincorporates or reconstitutes into or as another Entity, or another Entity transfers all or substantially all its assets to, or reorganizes, incorporates, reincorporates or reconstitutes into or as such party or its Credit Support Provider and:</w:t>
      </w:r>
    </w:p>
    <w:p>
      <w:pPr>
        <w:pStyle w:val="Normal"/>
        <w:widowControl/>
        <w:tabs>
          <w:tab w:val="clear" w:pos="709"/>
          <w:tab w:val="left" w:pos="1418" w:leader="none"/>
        </w:tabs>
        <w:spacing w:before="0" w:after="240"/>
        <w:ind w:hanging="440" w:start="2530" w:end="0"/>
        <w:jc w:val="both"/>
        <w:rPr>
          <w:lang w:val="en-GB"/>
        </w:rPr>
      </w:pPr>
      <w:r>
        <w:rPr>
          <w:lang w:val="en-GB"/>
        </w:rPr>
        <w:t>(i)</w:t>
        <w:tab/>
        <w:t>the creditworthiness of such party, its Credit Support Provider or the resulting surviving transferee or successor Entity is materially weaker than that of the party or such Credit Support Provider, as the case may be, immediately prior to such action;</w:t>
      </w:r>
    </w:p>
    <w:p>
      <w:pPr>
        <w:pStyle w:val="Normal"/>
        <w:widowControl/>
        <w:tabs>
          <w:tab w:val="clear" w:pos="709"/>
          <w:tab w:val="left" w:pos="1418" w:leader="none"/>
        </w:tabs>
        <w:spacing w:before="0" w:after="240"/>
        <w:ind w:hanging="440" w:start="2530" w:end="0"/>
        <w:jc w:val="both"/>
        <w:rPr/>
      </w:pPr>
      <w:r>
        <w:rPr>
          <w:lang w:val="en-GB"/>
        </w:rPr>
        <w:t>(ii)</w:t>
        <w:tab/>
        <w:t>the resulting, surviving, transferee or successor Entity fails to assume all the obligations of that party or such Credit Support Provider under this Agreement or any Credit Support Document to which it or its predecessor was a party by either operation of law or pursuant to an agreement reasonably satisfactory to the Requesting party; or</w:t>
      </w:r>
    </w:p>
    <w:p>
      <w:pPr>
        <w:pStyle w:val="Normal"/>
        <w:widowControl/>
        <w:tabs>
          <w:tab w:val="clear" w:pos="709"/>
          <w:tab w:val="left" w:pos="1418" w:leader="none"/>
        </w:tabs>
        <w:spacing w:before="0" w:after="240"/>
        <w:ind w:hanging="440" w:start="2530" w:end="0"/>
        <w:jc w:val="both"/>
        <w:rPr/>
      </w:pPr>
      <w:r>
        <w:rPr>
          <w:lang w:val="en-GB"/>
        </w:rPr>
        <w:t>(iii)</w:t>
        <w:tab/>
        <w:t>the benefits of any Credit Support Document cease or fail to extend (without the consent of the Requesting party) to the performance by such resulting, surviving, transferee or successor Entity of its obligations under this Agreement.</w:t>
      </w:r>
    </w:p>
    <w:p>
      <w:pPr>
        <w:pStyle w:val="Normal"/>
        <w:widowControl/>
        <w:numPr>
          <w:ilvl w:val="0"/>
          <w:numId w:val="11"/>
        </w:numPr>
        <w:tabs>
          <w:tab w:val="clear" w:pos="709"/>
          <w:tab w:val="left" w:pos="2126" w:leader="none"/>
        </w:tabs>
        <w:spacing w:before="0" w:after="240"/>
        <w:ind w:hanging="708" w:start="2126" w:end="0"/>
        <w:jc w:val="both"/>
        <w:rPr>
          <w:lang w:val="en-GB"/>
        </w:rPr>
      </w:pPr>
      <w:r>
        <w:rPr>
          <w:b/>
          <w:lang w:val="en-GB"/>
        </w:rPr>
        <w:t>Performance Assurance</w:t>
      </w:r>
      <w:r>
        <w:rPr>
          <w:lang w:val="en-GB"/>
        </w:rPr>
        <w:t>:  If any of the events referred to in paragraphs (a) to (e) above occur in relation to any Performance Assurance, which has been provided, or to the Performance Assurance provider of that Performance Assurance as if references to Credit Support Document in those paragraphs were references to that Performance Assurance and references to Credit Support Provider were references to the Performance Assurance provider.</w:t>
      </w:r>
    </w:p>
    <w:p>
      <w:pPr>
        <w:pStyle w:val="FootnoteText"/>
        <w:widowControl/>
        <w:spacing w:lineRule="atLeast" w:line="240"/>
        <w:ind w:start="705" w:end="0"/>
        <w:jc w:val="both"/>
        <w:rPr>
          <w:sz w:val="22"/>
          <w:lang w:val="en-GB"/>
        </w:rPr>
      </w:pPr>
      <w:r>
        <w:rPr>
          <w:sz w:val="22"/>
          <w:lang w:val="en-GB"/>
        </w:rPr>
        <w:t>For the purposes of this Clause 2.1.10, the following categories of Material Adverse Change shall apply to each party as follows:</w:t>
      </w:r>
    </w:p>
    <w:p>
      <w:pPr>
        <w:pStyle w:val="FootnoteText"/>
        <w:widowControl/>
        <w:spacing w:lineRule="atLeast" w:line="240"/>
        <w:ind w:start="705" w:end="0"/>
        <w:rPr>
          <w:sz w:val="22"/>
          <w:lang w:val="en-GB"/>
        </w:rPr>
      </w:pPr>
      <w:r>
        <w:rPr>
          <w:sz w:val="22"/>
          <w:lang w:val="en-GB"/>
        </w:rPr>
      </w:r>
    </w:p>
    <w:tbl>
      <w:tblPr>
        <w:tblW w:w="8613" w:type="dxa"/>
        <w:jc w:val="start"/>
        <w:tblInd w:w="675" w:type="dxa"/>
        <w:tblLayout w:type="fixed"/>
        <w:tblCellMar>
          <w:top w:w="0" w:type="dxa"/>
          <w:start w:w="108" w:type="dxa"/>
          <w:bottom w:w="0" w:type="dxa"/>
          <w:end w:w="108" w:type="dxa"/>
        </w:tblCellMar>
      </w:tblPr>
      <w:tblGrid>
        <w:gridCol w:w="3119"/>
        <w:gridCol w:w="5494"/>
      </w:tblGrid>
      <w:tr>
        <w:trPr/>
        <w:tc>
          <w:tcPr>
            <w:tcW w:w="3119" w:type="dxa"/>
            <w:tcBorders/>
          </w:tcPr>
          <w:p>
            <w:pPr>
              <w:pStyle w:val="FootnoteText"/>
              <w:widowControl/>
              <w:spacing w:lineRule="atLeast" w:line="240"/>
              <w:rPr>
                <w:b/>
                <w:sz w:val="22"/>
                <w:lang w:val="en-GB"/>
              </w:rPr>
            </w:pPr>
            <w:r>
              <w:rPr>
                <w:b/>
                <w:sz w:val="22"/>
                <w:lang w:val="en-GB"/>
              </w:rPr>
              <w:t>RWE</w:t>
            </w:r>
          </w:p>
        </w:tc>
        <w:tc>
          <w:tcPr>
            <w:tcW w:w="5494" w:type="dxa"/>
            <w:tcBorders/>
          </w:tcPr>
          <w:p>
            <w:pPr>
              <w:pStyle w:val="FootnoteText"/>
              <w:widowControl/>
              <w:spacing w:lineRule="atLeast" w:line="240"/>
              <w:rPr>
                <w:sz w:val="22"/>
                <w:lang w:val="en-GB"/>
              </w:rPr>
            </w:pPr>
            <w:r>
              <w:rPr>
                <w:sz w:val="22"/>
                <w:lang w:val="en-GB"/>
              </w:rPr>
              <w:t>Credit Rating</w:t>
            </w:r>
          </w:p>
          <w:p>
            <w:pPr>
              <w:pStyle w:val="FootnoteText"/>
              <w:widowControl/>
              <w:spacing w:lineRule="atLeast" w:line="240"/>
              <w:rPr>
                <w:sz w:val="22"/>
                <w:lang w:val="en-GB"/>
              </w:rPr>
            </w:pPr>
            <w:r>
              <w:rPr>
                <w:sz w:val="22"/>
                <w:lang w:val="en-GB"/>
              </w:rPr>
              <w:t>Credit Rating of a Credit Support Provider that is a Bank</w:t>
            </w:r>
          </w:p>
          <w:p>
            <w:pPr>
              <w:pStyle w:val="FootnoteText"/>
              <w:widowControl/>
              <w:spacing w:lineRule="atLeast" w:line="240"/>
              <w:rPr>
                <w:sz w:val="22"/>
                <w:lang w:val="en-GB"/>
              </w:rPr>
            </w:pPr>
            <w:r>
              <w:rPr>
                <w:sz w:val="22"/>
                <w:lang w:val="en-GB"/>
              </w:rPr>
              <w:t>Failure of Control and Profit Transfer Agreement</w:t>
            </w:r>
          </w:p>
          <w:p>
            <w:pPr>
              <w:pStyle w:val="FootnoteText"/>
              <w:widowControl/>
              <w:spacing w:lineRule="atLeast" w:line="240"/>
              <w:rPr>
                <w:sz w:val="22"/>
                <w:lang w:val="en-GB"/>
              </w:rPr>
            </w:pPr>
            <w:r>
              <w:rPr>
                <w:sz w:val="22"/>
                <w:lang w:val="en-GB"/>
              </w:rPr>
              <w:t>Amalgamation/Merger</w:t>
            </w:r>
          </w:p>
          <w:p>
            <w:pPr>
              <w:pStyle w:val="FootnoteText"/>
              <w:widowControl/>
              <w:spacing w:lineRule="atLeast" w:line="240"/>
              <w:rPr>
                <w:sz w:val="22"/>
                <w:lang w:val="en-GB"/>
              </w:rPr>
            </w:pPr>
            <w:r>
              <w:rPr>
                <w:sz w:val="22"/>
                <w:lang w:val="en-GB"/>
              </w:rPr>
              <w:t>Performance Assurance</w:t>
            </w:r>
          </w:p>
          <w:p>
            <w:pPr>
              <w:pStyle w:val="FootnoteText"/>
              <w:widowControl/>
              <w:spacing w:lineRule="atLeast" w:line="240"/>
              <w:rPr>
                <w:sz w:val="22"/>
                <w:lang w:val="en-GB"/>
              </w:rPr>
            </w:pPr>
            <w:r>
              <w:rPr>
                <w:sz w:val="22"/>
                <w:lang w:val="en-GB"/>
              </w:rPr>
            </w:r>
          </w:p>
        </w:tc>
      </w:tr>
      <w:tr>
        <w:trPr/>
        <w:tc>
          <w:tcPr>
            <w:tcW w:w="3119" w:type="dxa"/>
            <w:tcBorders/>
          </w:tcPr>
          <w:p>
            <w:pPr>
              <w:pStyle w:val="FootnoteText"/>
              <w:widowControl/>
              <w:spacing w:lineRule="atLeast" w:line="240"/>
              <w:rPr>
                <w:b/>
                <w:sz w:val="22"/>
                <w:lang w:val="en-GB"/>
              </w:rPr>
            </w:pPr>
            <w:r>
              <w:rPr>
                <w:b/>
                <w:sz w:val="22"/>
                <w:lang w:val="en-GB"/>
              </w:rPr>
              <w:t>Each Enron Entity</w:t>
            </w:r>
          </w:p>
        </w:tc>
        <w:tc>
          <w:tcPr>
            <w:tcW w:w="5494" w:type="dxa"/>
            <w:tcBorders/>
          </w:tcPr>
          <w:p>
            <w:pPr>
              <w:pStyle w:val="FootnoteText"/>
              <w:widowControl/>
              <w:spacing w:lineRule="atLeast" w:line="240"/>
              <w:rPr>
                <w:sz w:val="22"/>
                <w:lang w:val="en-GB"/>
              </w:rPr>
            </w:pPr>
            <w:r>
              <w:rPr>
                <w:sz w:val="22"/>
                <w:lang w:val="en-GB"/>
              </w:rPr>
              <w:t>Credit Rating</w:t>
            </w:r>
          </w:p>
          <w:p>
            <w:pPr>
              <w:pStyle w:val="FootnoteText"/>
              <w:widowControl/>
              <w:spacing w:lineRule="atLeast" w:line="240"/>
              <w:rPr>
                <w:sz w:val="22"/>
                <w:lang w:val="en-GB"/>
              </w:rPr>
            </w:pPr>
            <w:r>
              <w:rPr>
                <w:sz w:val="22"/>
                <w:lang w:val="en-GB"/>
              </w:rPr>
              <w:t>Credit Rating of a Credit Support Provider that is a Bank</w:t>
            </w:r>
          </w:p>
          <w:p>
            <w:pPr>
              <w:pStyle w:val="FootnoteText"/>
              <w:widowControl/>
              <w:spacing w:lineRule="atLeast" w:line="240"/>
              <w:rPr>
                <w:sz w:val="22"/>
                <w:lang w:val="en-GB"/>
              </w:rPr>
            </w:pPr>
            <w:r>
              <w:rPr>
                <w:sz w:val="22"/>
                <w:lang w:val="en-GB"/>
              </w:rPr>
              <w:t>Amalgamation/Merger</w:t>
            </w:r>
          </w:p>
          <w:p>
            <w:pPr>
              <w:pStyle w:val="FootnoteText"/>
              <w:widowControl/>
              <w:spacing w:lineRule="atLeast" w:line="240"/>
              <w:rPr>
                <w:sz w:val="22"/>
                <w:lang w:val="en-GB"/>
              </w:rPr>
            </w:pPr>
            <w:r>
              <w:rPr>
                <w:sz w:val="22"/>
                <w:lang w:val="en-GB"/>
              </w:rPr>
              <w:t>Performance Assurance</w:t>
            </w:r>
          </w:p>
        </w:tc>
      </w:tr>
    </w:tbl>
    <w:p>
      <w:pPr>
        <w:pStyle w:val="Normal"/>
        <w:widowControl/>
        <w:tabs>
          <w:tab w:val="clear" w:pos="709"/>
          <w:tab w:val="left" w:pos="1418" w:leader="none"/>
        </w:tabs>
        <w:spacing w:before="0" w:after="240"/>
        <w:ind w:hanging="1418" w:start="1418" w:end="0"/>
        <w:jc w:val="both"/>
        <w:rPr>
          <w:lang w:val="en-GB"/>
        </w:rPr>
      </w:pPr>
      <w:r>
        <w:rPr>
          <w:lang w:val="en-GB"/>
        </w:rPr>
      </w:r>
    </w:p>
    <w:p>
      <w:pPr>
        <w:pStyle w:val="BodyText"/>
        <w:widowControl/>
        <w:ind w:hanging="770" w:start="770" w:end="0"/>
        <w:jc w:val="both"/>
        <w:rPr/>
      </w:pPr>
      <w:r>
        <w:rPr/>
        <w:t>2.2</w:t>
        <w:tab/>
        <w:t>If at any time an Event of Default with respect to a party (the "</w:t>
      </w:r>
      <w:r>
        <w:rPr>
          <w:b/>
        </w:rPr>
        <w:t>Defaulting Party</w:t>
      </w:r>
      <w:r>
        <w:rPr/>
        <w:t>") has occurred and is then continuing, then:</w:t>
      </w:r>
    </w:p>
    <w:p>
      <w:pPr>
        <w:pStyle w:val="BodyText"/>
        <w:widowControl/>
        <w:ind w:start="1418" w:end="0"/>
        <w:jc w:val="both"/>
        <w:rPr/>
      </w:pPr>
      <w:r>
        <w:rPr/>
        <w:t>(a)</w:t>
        <w:tab/>
        <w:t>if the Defaulting Party is an Enron Entity, then RWE shall have the right to Close Out all (but not fewer than all) of the Underlying Netting Agreements which in the good faith judgement of RWE Party legally may be Closed Out under applicable law by sending a Close-Out Notice under Clause 2.3 of this Agreement; and</w:t>
      </w:r>
    </w:p>
    <w:p>
      <w:pPr>
        <w:pStyle w:val="BodyText"/>
        <w:widowControl/>
        <w:ind w:start="1418" w:end="0"/>
        <w:jc w:val="both"/>
        <w:rPr/>
      </w:pPr>
      <w:r>
        <w:rPr/>
        <w:t>(b)</w:t>
        <w:tab/>
        <w:t>if the Defaulting Party is RWE, then an Enron Entity shall have the right to Close Out all (but not fewer than all) of the Underlying Netting Agreements which in the good faith judgement of that Enron Entity legally may be Closed Out under applicable law by sending a Close-Out Notice under Clause 2.3 of this Agreement,</w:t>
      </w:r>
    </w:p>
    <w:p>
      <w:pPr>
        <w:pStyle w:val="BodyText"/>
        <w:widowControl/>
        <w:ind w:hanging="0" w:end="0"/>
        <w:jc w:val="both"/>
        <w:rPr/>
      </w:pPr>
      <w:r>
        <w:rPr/>
        <w:t>except in each case that no Close-Out Notice shall be required for the Close-Out of any Underlying Netting Agreement which has been Closed Out by its terms before the sending the delivery of a Close-Out Notice.  Each Underlying Netting Agreement is hereby amended accordingly.</w:t>
      </w:r>
    </w:p>
    <w:p>
      <w:pPr>
        <w:pStyle w:val="BodyText"/>
        <w:widowControl/>
        <w:ind w:hanging="0" w:end="0"/>
        <w:jc w:val="both"/>
        <w:rPr/>
      </w:pPr>
      <w:r>
        <w:rPr/>
      </w:r>
    </w:p>
    <w:p>
      <w:pPr>
        <w:pStyle w:val="Normal"/>
        <w:widowControl/>
        <w:suppressAutoHyphens w:val="true"/>
        <w:ind w:hanging="709" w:start="709" w:end="0"/>
        <w:jc w:val="both"/>
        <w:rPr/>
      </w:pPr>
      <w:r>
        <w:rPr>
          <w:lang w:val="en-GB"/>
        </w:rPr>
        <w:t>2.3</w:t>
        <w:tab/>
        <w:t>The Closing-Out Party shall specify in a notice to the Defaulting Party (the "</w:t>
      </w:r>
      <w:r>
        <w:rPr>
          <w:b/>
          <w:lang w:val="en-GB"/>
        </w:rPr>
        <w:t>Close-Out Notice</w:t>
      </w:r>
      <w:r>
        <w:rPr>
          <w:lang w:val="en-GB"/>
        </w:rPr>
        <w:t>") the date on which the Underlying Agreements are Closed Out pursuant to Clause 2.2.  The Close-Out Notice given in the manner specified in this Agreement shall satisfy the notification requirements (if any) under each Underlying Netting Agreement for accelerating and/or terminating transactions under such Underlying Netting Agreement.  Each Underlying Netting Agreement is hereby amended accordingly.</w:t>
      </w:r>
    </w:p>
    <w:p>
      <w:pPr>
        <w:pStyle w:val="Normal"/>
        <w:widowControl/>
        <w:suppressAutoHyphens w:val="true"/>
        <w:ind w:hanging="709" w:start="709" w:end="0"/>
        <w:jc w:val="both"/>
        <w:rPr>
          <w:lang w:val="en-GB"/>
        </w:rPr>
      </w:pPr>
      <w:r>
        <w:rPr>
          <w:lang w:val="en-GB"/>
        </w:rPr>
      </w:r>
    </w:p>
    <w:p>
      <w:pPr>
        <w:pStyle w:val="Normal"/>
        <w:widowControl/>
        <w:suppressAutoHyphens w:val="true"/>
        <w:ind w:hanging="709" w:start="709" w:end="0"/>
        <w:jc w:val="both"/>
        <w:rPr>
          <w:lang w:val="en-GB"/>
        </w:rPr>
      </w:pPr>
      <w:r>
        <w:rPr>
          <w:lang w:val="en-GB"/>
        </w:rPr>
        <w:t>2.4</w:t>
        <w:tab/>
        <w:t>If all the Underlying Netting Agreements have Closed Out by their terms before a Close-Out Notice is sent, the Settlement Amount under each such Underlying Netting Agreement shall be settled at the times and in the manner set forth in Clause 3.2 and Clause 4 hereof if the Closing-Out Party so specifies in a notice to the Defaulting Party promptly after all Underlying Netting Agreements are Closed Out.  Each Underlying Netting Agreement is hereby amended accordingly.</w:t>
      </w:r>
    </w:p>
    <w:p>
      <w:pPr>
        <w:pStyle w:val="Normal"/>
        <w:widowControl/>
        <w:suppressAutoHyphens w:val="true"/>
        <w:ind w:hanging="709" w:start="709" w:end="0"/>
        <w:jc w:val="both"/>
        <w:rPr>
          <w:lang w:val="en-GB"/>
        </w:rPr>
      </w:pPr>
      <w:r>
        <w:rPr>
          <w:lang w:val="en-GB"/>
        </w:rPr>
      </w:r>
    </w:p>
    <w:p>
      <w:pPr>
        <w:pStyle w:val="Normal"/>
        <w:widowControl/>
        <w:suppressAutoHyphens w:val="true"/>
        <w:ind w:hanging="709" w:start="709" w:end="0"/>
        <w:jc w:val="both"/>
        <w:rPr>
          <w:lang w:val="en-GB"/>
        </w:rPr>
      </w:pPr>
      <w:r>
        <w:rPr>
          <w:lang w:val="en-GB"/>
        </w:rPr>
        <w:t>2.5</w:t>
        <w:tab/>
        <w:t>For the avoidance of doubt, an appropriate party under Clause 2.2 may elect to exercise its rights under this Agreement by providing a Clause 2 Notice.  If one of the events listed in Clause 2.1 hereof has occurred, unless and until an appropriate party under Clause 2.2 gives a Clause 2 Notice, each party shall retain its rights and obligations under each Underlying Netting Agreement without regard to Clauses 3 and 4 hereof.</w:t>
      </w:r>
    </w:p>
    <w:p>
      <w:pPr>
        <w:pStyle w:val="Normal"/>
        <w:widowControl/>
        <w:suppressAutoHyphens w:val="true"/>
        <w:ind w:hanging="709" w:start="709" w:end="0"/>
        <w:jc w:val="both"/>
        <w:rPr>
          <w:lang w:val="en-GB"/>
        </w:rPr>
      </w:pPr>
      <w:r>
        <w:rPr>
          <w:lang w:val="en-GB"/>
        </w:rPr>
      </w:r>
    </w:p>
    <w:p>
      <w:pPr>
        <w:pStyle w:val="Normal"/>
        <w:widowControl/>
        <w:tabs>
          <w:tab w:val="clear" w:pos="709"/>
          <w:tab w:val="left" w:pos="705" w:leader="none"/>
        </w:tabs>
        <w:suppressAutoHyphens w:val="true"/>
        <w:jc w:val="both"/>
        <w:rPr>
          <w:lang w:val="en-GB"/>
        </w:rPr>
      </w:pPr>
      <w:r>
        <w:rPr>
          <w:lang w:val="en-GB"/>
        </w:rPr>
      </w:r>
    </w:p>
    <w:p>
      <w:pPr>
        <w:pStyle w:val="Normal"/>
        <w:widowControl/>
        <w:tabs>
          <w:tab w:val="clear" w:pos="709"/>
          <w:tab w:val="left" w:pos="705" w:leader="none"/>
        </w:tabs>
        <w:suppressAutoHyphens w:val="true"/>
        <w:jc w:val="center"/>
        <w:rPr>
          <w:b/>
          <w:lang w:val="en-GB"/>
        </w:rPr>
      </w:pPr>
      <w:r>
        <w:rPr>
          <w:b/>
          <w:lang w:val="en-GB"/>
        </w:rPr>
        <w:t>§ 3</w:t>
      </w:r>
    </w:p>
    <w:p>
      <w:pPr>
        <w:pStyle w:val="Normal"/>
        <w:widowControl/>
        <w:tabs>
          <w:tab w:val="clear" w:pos="709"/>
          <w:tab w:val="left" w:pos="705" w:leader="none"/>
        </w:tabs>
        <w:suppressAutoHyphens w:val="true"/>
        <w:jc w:val="both"/>
        <w:rPr>
          <w:b/>
          <w:lang w:val="en-GB"/>
        </w:rPr>
      </w:pPr>
      <w:r>
        <w:rPr>
          <w:b/>
          <w:lang w:val="en-GB"/>
        </w:rPr>
      </w:r>
    </w:p>
    <w:p>
      <w:pPr>
        <w:pStyle w:val="Heading1"/>
        <w:ind w:hanging="0" w:start="0"/>
        <w:rPr>
          <w:lang w:val="en-GB"/>
        </w:rPr>
      </w:pPr>
      <w:r>
        <w:rPr>
          <w:lang w:val="en-GB"/>
        </w:rPr>
        <w:t>Determination and Settlement of Settlement Amounts</w:t>
      </w:r>
    </w:p>
    <w:p>
      <w:pPr>
        <w:pStyle w:val="Normal"/>
        <w:rPr>
          <w:lang w:val="en-GB"/>
        </w:rPr>
      </w:pPr>
      <w:r>
        <w:rPr>
          <w:lang w:val="en-GB"/>
        </w:rPr>
      </w:r>
    </w:p>
    <w:p>
      <w:pPr>
        <w:pStyle w:val="Normal"/>
        <w:numPr>
          <w:ilvl w:val="1"/>
          <w:numId w:val="17"/>
        </w:numPr>
        <w:rPr>
          <w:lang w:val="en-GB"/>
        </w:rPr>
      </w:pPr>
      <w:r>
        <w:rPr>
          <w:lang w:val="en-GB"/>
        </w:rPr>
        <w:t>The Settlement Amount under each Closed-Out Agreement shall be determined in accordance with the terms of such Closed Out Agreement.</w:t>
      </w:r>
    </w:p>
    <w:p>
      <w:pPr>
        <w:pStyle w:val="Normal"/>
        <w:rPr>
          <w:lang w:val="en-GB"/>
        </w:rPr>
      </w:pPr>
      <w:r>
        <w:rPr>
          <w:lang w:val="en-GB"/>
        </w:rPr>
      </w:r>
    </w:p>
    <w:p>
      <w:pPr>
        <w:pStyle w:val="Normal"/>
        <w:numPr>
          <w:ilvl w:val="1"/>
          <w:numId w:val="17"/>
        </w:numPr>
        <w:rPr>
          <w:lang w:val="en-GB"/>
        </w:rPr>
      </w:pPr>
      <w:r>
        <w:rPr>
          <w:lang w:val="en-GB"/>
        </w:rPr>
        <w:t>When a Section 2 Notice has been given, all Settlement Amounts of Underlying Netting Agreements Closed Out under Clause 2 (or Closed Out according to their terms before the sending of a Section 2 Notice) shall be settled at the times and in the manner set forth in this Clause 3.2 and Clause 4 of this Agreement (unless, in the good faith judgement of the Closing-Out Party, it is unlawful to do so), notwithstanding any provision to the contrary in any Closed-Out Agreement and notwithstanding that Settlement Amounts may be payable to or from different Enron Entities.  The date for settlement of such Settlement Amounts shall be deferred [(with interest accruing at the rate and for the period specified in Clause 4.5(a) of this Agreement)] until the occurrence of a Settlement Date under this Agreement.  Each Underlying Netting Agreement is hereby amended accordingly.</w:t>
      </w:r>
    </w:p>
    <w:p>
      <w:pPr>
        <w:pStyle w:val="Normal"/>
        <w:rPr>
          <w:lang w:val="en-GB"/>
        </w:rPr>
      </w:pPr>
      <w:r>
        <w:rPr>
          <w:lang w:val="en-GB"/>
        </w:rPr>
      </w:r>
    </w:p>
    <w:p>
      <w:pPr>
        <w:pStyle w:val="Normal"/>
        <w:numPr>
          <w:ilvl w:val="1"/>
          <w:numId w:val="17"/>
        </w:numPr>
        <w:rPr>
          <w:lang w:val="en-GB"/>
        </w:rPr>
      </w:pPr>
      <w:r>
        <w:rPr>
          <w:lang w:val="en-GB"/>
        </w:rPr>
        <w:t>When a Section 2 Notice has been given and there is more than one Settlement Amount and a Settlement Amount is denominated in a currency other than Euros, the Closing-Out Party shall determine the Euro Equivalent of that amount for the Settlement Amount under Clause 4 of this Agreement.</w:t>
      </w:r>
    </w:p>
    <w:p>
      <w:pPr>
        <w:pStyle w:val="Normal"/>
        <w:rPr>
          <w:lang w:val="en-GB"/>
        </w:rPr>
      </w:pPr>
      <w:r>
        <w:rPr>
          <w:lang w:val="en-GB"/>
        </w:rPr>
      </w:r>
      <w:r>
        <w:br w:type="page"/>
      </w:r>
    </w:p>
    <w:p>
      <w:pPr>
        <w:pStyle w:val="Normal"/>
        <w:widowControl/>
        <w:tabs>
          <w:tab w:val="clear" w:pos="709"/>
          <w:tab w:val="left" w:pos="705" w:leader="none"/>
        </w:tabs>
        <w:suppressAutoHyphens w:val="true"/>
        <w:jc w:val="center"/>
        <w:rPr>
          <w:b/>
          <w:lang w:val="en-GB"/>
        </w:rPr>
      </w:pPr>
      <w:r>
        <w:rPr>
          <w:b/>
          <w:lang w:val="en-GB"/>
        </w:rPr>
        <w:t>§ 4</w:t>
      </w:r>
    </w:p>
    <w:p>
      <w:pPr>
        <w:pStyle w:val="Normal"/>
        <w:widowControl/>
        <w:tabs>
          <w:tab w:val="clear" w:pos="709"/>
          <w:tab w:val="left" w:pos="705" w:leader="none"/>
        </w:tabs>
        <w:suppressAutoHyphens w:val="true"/>
        <w:jc w:val="center"/>
        <w:rPr>
          <w:b/>
          <w:lang w:val="en-GB"/>
        </w:rPr>
      </w:pPr>
      <w:r>
        <w:rPr>
          <w:b/>
          <w:lang w:val="en-GB"/>
        </w:rPr>
      </w:r>
    </w:p>
    <w:p>
      <w:pPr>
        <w:pStyle w:val="Heading1"/>
        <w:ind w:hanging="0" w:start="0"/>
        <w:rPr>
          <w:lang w:val="en-GB"/>
        </w:rPr>
      </w:pPr>
      <w:r>
        <w:rPr>
          <w:lang w:val="en-GB"/>
        </w:rPr>
        <w:t>Set-Off of Settlement Amounts; Accrual of Interest</w:t>
      </w:r>
    </w:p>
    <w:p>
      <w:pPr>
        <w:pStyle w:val="Normal"/>
        <w:rPr>
          <w:lang w:val="en-GB"/>
        </w:rPr>
      </w:pPr>
      <w:r>
        <w:rPr>
          <w:lang w:val="en-GB"/>
        </w:rPr>
      </w:r>
    </w:p>
    <w:p>
      <w:pPr>
        <w:pStyle w:val="Normal"/>
        <w:numPr>
          <w:ilvl w:val="1"/>
          <w:numId w:val="4"/>
        </w:numPr>
        <w:rPr>
          <w:b/>
          <w:lang w:val="en-GB"/>
        </w:rPr>
      </w:pPr>
      <w:r>
        <w:rPr>
          <w:b/>
          <w:lang w:val="en-GB"/>
        </w:rPr>
        <w:t>Set-Off</w:t>
      </w:r>
    </w:p>
    <w:p>
      <w:pPr>
        <w:pStyle w:val="Normal"/>
        <w:rPr>
          <w:b/>
          <w:lang w:val="en-GB"/>
        </w:rPr>
      </w:pPr>
      <w:r>
        <w:rPr>
          <w:b/>
          <w:lang w:val="en-GB"/>
        </w:rPr>
      </w:r>
    </w:p>
    <w:p>
      <w:pPr>
        <w:pStyle w:val="Normal"/>
        <w:ind w:start="705" w:end="0"/>
        <w:rPr/>
      </w:pPr>
      <w:r>
        <w:rPr>
          <w:lang w:val="en-GB"/>
        </w:rPr>
        <w:t>On the first date and any subsequent date on which RWE owes one or more Settlement Amounts to one or more Enron Entities and one or more Enron Entities owes Settlement Amounts to RWE (a "</w:t>
      </w:r>
      <w:r>
        <w:rPr>
          <w:b/>
          <w:lang w:val="en-GB"/>
        </w:rPr>
        <w:t>Set-Off Date</w:t>
      </w:r>
      <w:r>
        <w:rPr>
          <w:lang w:val="en-GB"/>
        </w:rPr>
        <w:t xml:space="preserve">"), then:  </w:t>
      </w:r>
    </w:p>
    <w:p>
      <w:pPr>
        <w:pStyle w:val="Normal"/>
        <w:numPr>
          <w:ilvl w:val="0"/>
          <w:numId w:val="2"/>
        </w:numPr>
        <w:tabs>
          <w:tab w:val="clear" w:pos="709"/>
          <w:tab w:val="left" w:pos="1413" w:leader="none"/>
        </w:tabs>
        <w:spacing w:before="240" w:after="0"/>
        <w:ind w:hanging="706" w:start="1412" w:end="0"/>
        <w:rPr>
          <w:lang w:val="en-GB"/>
        </w:rPr>
      </w:pPr>
      <w:r>
        <w:rPr>
          <w:lang w:val="en-GB"/>
        </w:rPr>
        <w:t>if the Closing-Out Party is RWE, it shall aggregate and set off all Settlement Amounts and accrued interest owed by RWE to any Enron Entity against all Settlement Amounts and accrued interest thereon owed by an Enron Entity to RWE; and</w:t>
      </w:r>
    </w:p>
    <w:p>
      <w:pPr>
        <w:pStyle w:val="Normal"/>
        <w:numPr>
          <w:ilvl w:val="0"/>
          <w:numId w:val="2"/>
        </w:numPr>
        <w:tabs>
          <w:tab w:val="clear" w:pos="709"/>
          <w:tab w:val="left" w:pos="1413" w:leader="none"/>
        </w:tabs>
        <w:spacing w:before="240" w:after="0"/>
        <w:ind w:hanging="706" w:start="1412" w:end="0"/>
        <w:rPr>
          <w:lang w:val="en-GB"/>
        </w:rPr>
      </w:pPr>
      <w:r>
        <w:rPr>
          <w:lang w:val="en-GB"/>
        </w:rPr>
        <w:t xml:space="preserve">if the Closing-Out Party is an Enron Entity, it shall aggregate and set off all Settlement Amounts and accrued interest owed by any Enron Entity to RWE against all Settlement Amounts and accrued interest thereon owed by RWE to any Enron entity, </w:t>
      </w:r>
    </w:p>
    <w:p>
      <w:pPr>
        <w:pStyle w:val="Normal"/>
        <w:spacing w:before="240" w:after="0"/>
        <w:ind w:start="706" w:end="0"/>
        <w:rPr/>
      </w:pPr>
      <w:r>
        <w:rPr>
          <w:lang w:val="en-GB"/>
        </w:rPr>
        <w:t>and in each case, only the difference between the aggregate amounts (a “</w:t>
      </w:r>
      <w:r>
        <w:rPr>
          <w:b/>
          <w:lang w:val="en-GB"/>
        </w:rPr>
        <w:t>Net Set-Off</w:t>
      </w:r>
      <w:r>
        <w:rPr>
          <w:lang w:val="en-GB"/>
        </w:rPr>
        <w:t xml:space="preserve"> </w:t>
      </w:r>
      <w:r>
        <w:rPr>
          <w:b/>
          <w:lang w:val="en-GB"/>
        </w:rPr>
        <w:t>Amount</w:t>
      </w:r>
      <w:r>
        <w:rPr>
          <w:lang w:val="en-GB"/>
        </w:rPr>
        <w:t>”) shall be owed on such Set-Off Date by whichever of RWE or the Enron Entities, owes the larger aggregate obligation.  The obligation of a Party to settle a Net Set-Off Amount on the Set-Off Date shall be deferred (with interest accruing at the rate and for the period specified in Section 4.5(b) hereof) until the occurrence of the first subsequent Settlement Date if any Settlement Amount is still to be determined.</w:t>
      </w:r>
    </w:p>
    <w:p>
      <w:pPr>
        <w:pStyle w:val="Normal"/>
        <w:ind w:start="705" w:end="0"/>
        <w:rPr>
          <w:lang w:val="en-GB"/>
        </w:rPr>
      </w:pPr>
      <w:r>
        <w:rPr>
          <w:lang w:val="en-GB"/>
        </w:rPr>
      </w:r>
    </w:p>
    <w:p>
      <w:pPr>
        <w:pStyle w:val="Normal"/>
        <w:numPr>
          <w:ilvl w:val="1"/>
          <w:numId w:val="4"/>
        </w:numPr>
        <w:rPr>
          <w:lang w:val="en-GB"/>
        </w:rPr>
      </w:pPr>
      <w:r>
        <w:rPr>
          <w:b/>
          <w:lang w:val="en-GB"/>
        </w:rPr>
        <w:t>Discharge of Settlement Amount</w:t>
      </w:r>
    </w:p>
    <w:p>
      <w:pPr>
        <w:pStyle w:val="Normal"/>
        <w:rPr>
          <w:lang w:val="en-GB"/>
        </w:rPr>
      </w:pPr>
      <w:r>
        <w:rPr>
          <w:lang w:val="en-GB"/>
        </w:rPr>
      </w:r>
    </w:p>
    <w:p>
      <w:pPr>
        <w:pStyle w:val="Normal"/>
        <w:ind w:start="705" w:end="0"/>
        <w:rPr/>
      </w:pPr>
      <w:r>
        <w:rPr>
          <w:lang w:val="en-GB"/>
        </w:rPr>
        <w:t>If a Settlement Amount has been set off in whole or in part on a Set-Off Date, such Settlement Amount shall, to the extent of such set-off, be deemed to have been discharged and no longer due under the relevant Closed-Out Agreement.</w:t>
      </w:r>
    </w:p>
    <w:p>
      <w:pPr>
        <w:pStyle w:val="Normal"/>
        <w:ind w:start="705" w:end="0"/>
        <w:rPr>
          <w:lang w:val="en-GB"/>
        </w:rPr>
      </w:pPr>
      <w:r>
        <w:rPr>
          <w:lang w:val="en-GB"/>
        </w:rPr>
      </w:r>
    </w:p>
    <w:p>
      <w:pPr>
        <w:pStyle w:val="Normal"/>
        <w:numPr>
          <w:ilvl w:val="1"/>
          <w:numId w:val="15"/>
        </w:numPr>
        <w:rPr>
          <w:lang w:val="en-GB"/>
        </w:rPr>
      </w:pPr>
      <w:r>
        <w:rPr>
          <w:b/>
          <w:lang w:val="en-GB"/>
        </w:rPr>
        <w:t>Further Set-Offs</w:t>
      </w:r>
    </w:p>
    <w:p>
      <w:pPr>
        <w:pStyle w:val="Normal"/>
        <w:rPr>
          <w:lang w:val="en-GB"/>
        </w:rPr>
      </w:pPr>
      <w:r>
        <w:rPr>
          <w:lang w:val="en-GB"/>
        </w:rPr>
      </w:r>
    </w:p>
    <w:p>
      <w:pPr>
        <w:pStyle w:val="Normal"/>
        <w:ind w:start="709" w:end="0"/>
        <w:rPr>
          <w:lang w:val="en-GB"/>
        </w:rPr>
      </w:pPr>
      <w:r>
        <w:rPr>
          <w:lang w:val="en-GB"/>
        </w:rPr>
        <w:t>Subject to Section 4.4 hereof, each Net Set-Off Amount shall be treated as if it were a Settlement Amount for purposes of Section 4.1 hereof and shall, with the interest accrued thereon, be included in the set-off on the first subsequent Set-Off Date.</w:t>
      </w:r>
    </w:p>
    <w:p>
      <w:pPr>
        <w:pStyle w:val="Normal"/>
        <w:ind w:start="709" w:end="0"/>
        <w:rPr>
          <w:lang w:val="en-GB"/>
        </w:rPr>
      </w:pPr>
      <w:r>
        <w:rPr>
          <w:lang w:val="en-GB"/>
        </w:rPr>
      </w:r>
    </w:p>
    <w:p>
      <w:pPr>
        <w:pStyle w:val="Normal"/>
        <w:numPr>
          <w:ilvl w:val="1"/>
          <w:numId w:val="7"/>
        </w:numPr>
        <w:rPr>
          <w:lang w:val="en-GB"/>
        </w:rPr>
      </w:pPr>
      <w:r>
        <w:rPr>
          <w:b/>
          <w:lang w:val="en-GB"/>
        </w:rPr>
        <w:t>Final Net Settlement Amount</w:t>
      </w:r>
    </w:p>
    <w:p>
      <w:pPr>
        <w:pStyle w:val="Normal"/>
        <w:rPr>
          <w:lang w:val="en-GB"/>
        </w:rPr>
      </w:pPr>
      <w:r>
        <w:rPr>
          <w:lang w:val="en-GB"/>
        </w:rPr>
      </w:r>
    </w:p>
    <w:p>
      <w:pPr>
        <w:pStyle w:val="Normal"/>
        <w:numPr>
          <w:ilvl w:val="0"/>
          <w:numId w:val="6"/>
        </w:numPr>
        <w:rPr>
          <w:lang w:val="en-GB"/>
        </w:rPr>
      </w:pPr>
      <w:r>
        <w:rPr>
          <w:b/>
          <w:lang w:val="en-GB"/>
        </w:rPr>
        <w:t>Final Net Settlement Amount for Closed-Out Agreements</w:t>
      </w:r>
    </w:p>
    <w:p>
      <w:pPr>
        <w:pStyle w:val="Normal"/>
        <w:rPr>
          <w:lang w:val="en-GB"/>
        </w:rPr>
      </w:pPr>
      <w:r>
        <w:rPr>
          <w:lang w:val="en-GB"/>
        </w:rPr>
      </w:r>
    </w:p>
    <w:p>
      <w:pPr>
        <w:pStyle w:val="Normal"/>
        <w:ind w:start="1410" w:end="0"/>
        <w:rPr/>
      </w:pPr>
      <w:r>
        <w:rPr>
          <w:lang w:val="en-GB"/>
        </w:rPr>
        <w:t>On the first date on which the Settlement Amounts in respect of all Closed</w:t>
        <w:noBreakHyphen/>
        <w:t>Out Agreements have been determined, the Closing-Out Party shall determine the single amount (if any) payable by one party hereunder the ("</w:t>
      </w:r>
      <w:r>
        <w:rPr>
          <w:b/>
          <w:lang w:val="en-GB"/>
        </w:rPr>
        <w:t>Final Net Settlement Amount</w:t>
      </w:r>
      <w:r>
        <w:rPr>
          <w:lang w:val="en-GB"/>
        </w:rPr>
        <w:t>") and provide to the other parties to this Agreement a statement showing the calculation of the Final Net Settlement Amount (which may be provided at the same time and as part of the Section 2 Notice).</w:t>
      </w:r>
    </w:p>
    <w:p>
      <w:pPr>
        <w:pStyle w:val="Normal"/>
        <w:ind w:start="1410" w:end="0"/>
        <w:rPr>
          <w:lang w:val="en-GB"/>
        </w:rPr>
      </w:pPr>
      <w:r>
        <w:rPr>
          <w:lang w:val="en-GB"/>
        </w:rPr>
      </w:r>
    </w:p>
    <w:p>
      <w:pPr>
        <w:pStyle w:val="Normal"/>
        <w:numPr>
          <w:ilvl w:val="0"/>
          <w:numId w:val="6"/>
        </w:numPr>
        <w:rPr>
          <w:lang w:val="en-GB"/>
        </w:rPr>
      </w:pPr>
      <w:r>
        <w:rPr>
          <w:b/>
          <w:lang w:val="en-GB"/>
        </w:rPr>
        <w:t>Final Settlement Date; Place of Payment</w:t>
      </w:r>
    </w:p>
    <w:p>
      <w:pPr>
        <w:pStyle w:val="Normal"/>
        <w:rPr>
          <w:lang w:val="en-GB"/>
        </w:rPr>
      </w:pPr>
      <w:r>
        <w:rPr>
          <w:lang w:val="en-GB"/>
        </w:rPr>
      </w:r>
    </w:p>
    <w:p>
      <w:pPr>
        <w:pStyle w:val="Normal"/>
        <w:ind w:start="1410" w:end="0"/>
        <w:rPr/>
      </w:pPr>
      <w:r>
        <w:rPr>
          <w:lang w:val="en-GB"/>
        </w:rPr>
        <w:t>The Final Net Settlement Amount shall be payable by the party from whom such payment is due on the same Banking Day on which the statement is provided under Section 4.3(a) hereof, if such statement is delivered by 10.00 a.m. Central European time; otherwise payment shall be made on the following Banking Day (the "</w:t>
      </w:r>
      <w:r>
        <w:rPr>
          <w:b/>
          <w:lang w:val="en-GB"/>
        </w:rPr>
        <w:t>Final Settlement Date</w:t>
      </w:r>
      <w:r>
        <w:rPr>
          <w:lang w:val="en-GB"/>
        </w:rPr>
        <w:t>").  Subject to the last sentence of Section 3.3 hereof, the Final Net Settlement Amount shall be paid in Euro, together with interest thereon, from (and including) the Final Settlement Date to (but excluding) the date such amount is paid, at the rate specified in Section 4.5(c) hereof.</w:t>
      </w:r>
    </w:p>
    <w:p>
      <w:pPr>
        <w:pStyle w:val="Normal"/>
        <w:ind w:start="1410" w:end="0"/>
        <w:rPr>
          <w:lang w:val="en-GB"/>
        </w:rPr>
      </w:pPr>
      <w:r>
        <w:rPr>
          <w:lang w:val="en-GB"/>
        </w:rPr>
      </w:r>
    </w:p>
    <w:p>
      <w:pPr>
        <w:pStyle w:val="Normal"/>
        <w:numPr>
          <w:ilvl w:val="1"/>
          <w:numId w:val="7"/>
        </w:numPr>
        <w:rPr>
          <w:lang w:val="en-GB"/>
        </w:rPr>
      </w:pPr>
      <w:r>
        <w:rPr>
          <w:b/>
          <w:lang w:val="en-GB"/>
        </w:rPr>
        <w:t>Interest</w:t>
      </w:r>
    </w:p>
    <w:p>
      <w:pPr>
        <w:pStyle w:val="Normal"/>
        <w:rPr>
          <w:lang w:val="en-GB"/>
        </w:rPr>
      </w:pPr>
      <w:r>
        <w:rPr>
          <w:lang w:val="en-GB"/>
        </w:rPr>
      </w:r>
    </w:p>
    <w:p>
      <w:pPr>
        <w:pStyle w:val="Normal"/>
        <w:numPr>
          <w:ilvl w:val="0"/>
          <w:numId w:val="20"/>
        </w:numPr>
        <w:rPr>
          <w:lang w:val="en-GB"/>
        </w:rPr>
      </w:pPr>
      <w:r>
        <w:rPr>
          <w:b/>
          <w:lang w:val="en-GB"/>
        </w:rPr>
        <w:t>Interest on Settlement Amounts</w:t>
      </w:r>
    </w:p>
    <w:p>
      <w:pPr>
        <w:pStyle w:val="Normal"/>
        <w:rPr>
          <w:lang w:val="en-GB"/>
        </w:rPr>
      </w:pPr>
      <w:r>
        <w:rPr>
          <w:lang w:val="en-GB"/>
        </w:rPr>
      </w:r>
    </w:p>
    <w:p>
      <w:pPr>
        <w:pStyle w:val="Normal"/>
        <w:ind w:start="1410" w:end="0"/>
        <w:rPr>
          <w:lang w:val="en-GB"/>
        </w:rPr>
      </w:pPr>
      <w:r>
        <w:rPr>
          <w:lang w:val="en-GB"/>
        </w:rPr>
        <w:t>Each Settlement Amount shall bear interest at the relevant rate specified in the relevant Underlying Netting Agreement from (and including) the date on which it falls due under the Underlying Netting Agreement to (but excluding) the relevant Settlement Date for such Settlement Amount.</w:t>
      </w:r>
    </w:p>
    <w:p>
      <w:pPr>
        <w:pStyle w:val="Normal"/>
        <w:ind w:start="1410" w:end="0"/>
        <w:rPr>
          <w:lang w:val="en-GB"/>
        </w:rPr>
      </w:pPr>
      <w:r>
        <w:rPr>
          <w:lang w:val="en-GB"/>
        </w:rPr>
      </w:r>
    </w:p>
    <w:p>
      <w:pPr>
        <w:pStyle w:val="Normal"/>
        <w:numPr>
          <w:ilvl w:val="0"/>
          <w:numId w:val="20"/>
        </w:numPr>
        <w:rPr>
          <w:lang w:val="en-GB"/>
        </w:rPr>
      </w:pPr>
      <w:r>
        <w:rPr>
          <w:b/>
          <w:lang w:val="en-GB"/>
        </w:rPr>
        <w:t>Interest on Net Set-Off Amounts</w:t>
      </w:r>
    </w:p>
    <w:p>
      <w:pPr>
        <w:pStyle w:val="Normal"/>
        <w:rPr>
          <w:lang w:val="en-GB"/>
        </w:rPr>
      </w:pPr>
      <w:r>
        <w:rPr>
          <w:lang w:val="en-GB"/>
        </w:rPr>
      </w:r>
    </w:p>
    <w:p>
      <w:pPr>
        <w:pStyle w:val="Normal"/>
        <w:ind w:start="1410" w:end="0"/>
        <w:rPr/>
      </w:pPr>
      <w:r>
        <w:rPr>
          <w:lang w:val="en-GB"/>
        </w:rPr>
        <w:t>Each Net Set-Off Amount shall bear interest (computed on the basis of daily compounding and the actual number of days elapsed over a year of such number of days as is customary for transactions involving Euro in the London interbank market) at a rate per annum equal to the average of the rate at which overnight deposits in Euro are offered by two major banks (selected by the Closing Out Party) in the London interbank market at or about 11.00 a.m. (London time) on the Set-Off Date and each day for which such amount remains unpaid, or, if no such rate is available, at such rate as the Closing</w:t>
        <w:noBreakHyphen/>
        <w:t>Out Party may reasonably select, from (and including) the Set-Off Date therefor to (but excluding) the earlier of the next subsequent Set-Off Date or the Final Settlement Date.</w:t>
      </w:r>
    </w:p>
    <w:p>
      <w:pPr>
        <w:pStyle w:val="Normal"/>
        <w:ind w:start="1410" w:end="0"/>
        <w:rPr>
          <w:lang w:val="en-GB"/>
        </w:rPr>
      </w:pPr>
      <w:r>
        <w:rPr>
          <w:lang w:val="en-GB"/>
        </w:rPr>
      </w:r>
    </w:p>
    <w:p>
      <w:pPr>
        <w:pStyle w:val="Normal"/>
        <w:numPr>
          <w:ilvl w:val="0"/>
          <w:numId w:val="20"/>
        </w:numPr>
        <w:rPr>
          <w:lang w:val="en-GB"/>
        </w:rPr>
      </w:pPr>
      <w:r>
        <w:rPr>
          <w:b/>
          <w:lang w:val="en-GB"/>
        </w:rPr>
        <w:t>Interest on the Final Net Settlement Amount</w:t>
      </w:r>
    </w:p>
    <w:p>
      <w:pPr>
        <w:pStyle w:val="Normal"/>
        <w:rPr>
          <w:lang w:val="en-GB"/>
        </w:rPr>
      </w:pPr>
      <w:r>
        <w:rPr>
          <w:lang w:val="en-GB"/>
        </w:rPr>
      </w:r>
    </w:p>
    <w:p>
      <w:pPr>
        <w:pStyle w:val="Normal"/>
        <w:ind w:start="1410" w:end="0"/>
        <w:rPr/>
      </w:pPr>
      <w:r>
        <w:rPr>
          <w:lang w:val="en-GB"/>
        </w:rPr>
        <w:t>The Final Net Settlement Amount shall bear interest at the rate specified in Section 4.5(b) hereof plus 1% per annum from (and including) the Final Settlement Date to (but excluding) the date of actual payment.</w:t>
      </w:r>
    </w:p>
    <w:p>
      <w:pPr>
        <w:pStyle w:val="Normal"/>
        <w:ind w:start="1410" w:end="0"/>
        <w:rPr>
          <w:lang w:val="en-GB"/>
        </w:rPr>
      </w:pPr>
      <w:r>
        <w:rPr>
          <w:lang w:val="en-GB"/>
        </w:rPr>
      </w:r>
    </w:p>
    <w:p>
      <w:pPr>
        <w:pStyle w:val="Normal"/>
        <w:numPr>
          <w:ilvl w:val="1"/>
          <w:numId w:val="7"/>
        </w:numPr>
        <w:rPr>
          <w:lang w:val="en-GB"/>
        </w:rPr>
      </w:pPr>
      <w:r>
        <w:rPr>
          <w:b/>
          <w:lang w:val="en-GB"/>
        </w:rPr>
        <w:t>Payments to and from Enron Entities</w:t>
      </w:r>
    </w:p>
    <w:p>
      <w:pPr>
        <w:pStyle w:val="Normal"/>
        <w:numPr>
          <w:ilvl w:val="0"/>
          <w:numId w:val="16"/>
        </w:numPr>
        <w:spacing w:before="240" w:after="0"/>
        <w:rPr>
          <w:lang w:val="en-GB"/>
        </w:rPr>
      </w:pPr>
      <w:r>
        <w:rPr>
          <w:lang w:val="en-GB"/>
        </w:rPr>
        <w:t>The Enron Entities shall be jointly and severally liable for any payment required to be made by an Enron Entity under Clause 4 hereof.</w:t>
      </w:r>
    </w:p>
    <w:p>
      <w:pPr>
        <w:pStyle w:val="Normal"/>
        <w:numPr>
          <w:ilvl w:val="0"/>
          <w:numId w:val="16"/>
        </w:numPr>
        <w:spacing w:before="240" w:after="0"/>
        <w:rPr>
          <w:lang w:val="en-GB"/>
        </w:rPr>
      </w:pPr>
      <w:r>
        <w:rPr>
          <w:lang w:val="en-GB"/>
        </w:rPr>
        <w:t>Payment by RWE to any Enron Entity of a Net Set-Off Amount or Final Net Settlement Amount shall be good discharge of its obligations with respect to that amount to all Enron Entities.</w:t>
      </w:r>
    </w:p>
    <w:p>
      <w:pPr>
        <w:pStyle w:val="Normal"/>
        <w:rPr>
          <w:lang w:val="en-GB"/>
        </w:rPr>
      </w:pPr>
      <w:r>
        <w:rPr>
          <w:lang w:val="en-GB"/>
        </w:rPr>
      </w:r>
    </w:p>
    <w:p>
      <w:pPr>
        <w:pStyle w:val="Normal"/>
        <w:numPr>
          <w:ilvl w:val="1"/>
          <w:numId w:val="7"/>
        </w:numPr>
        <w:rPr>
          <w:lang w:val="en-GB"/>
        </w:rPr>
      </w:pPr>
      <w:r>
        <w:rPr>
          <w:b/>
          <w:lang w:val="en-GB"/>
        </w:rPr>
        <w:t>No Limitation of Other Rights</w:t>
      </w:r>
    </w:p>
    <w:p>
      <w:pPr>
        <w:pStyle w:val="Normal"/>
        <w:rPr>
          <w:lang w:val="en-GB"/>
        </w:rPr>
      </w:pPr>
      <w:r>
        <w:rPr>
          <w:lang w:val="en-GB"/>
        </w:rPr>
      </w:r>
    </w:p>
    <w:p>
      <w:pPr>
        <w:pStyle w:val="Normal"/>
        <w:ind w:start="705" w:end="0"/>
        <w:rPr/>
      </w:pPr>
      <w:r>
        <w:rPr>
          <w:lang w:val="en-GB"/>
        </w:rPr>
        <w:t>The Closing-Out Party's rights under this Section 4 shall be in addition to, and not in limitation or exclusion of, any other rights, including rights of set-off which the Closing</w:t>
        <w:noBreakHyphen/>
        <w:t>Out Party may have (whether by agreement, operation of law or otherwise).</w:t>
      </w:r>
    </w:p>
    <w:p>
      <w:pPr>
        <w:pStyle w:val="Normal"/>
        <w:ind w:start="705" w:end="0"/>
        <w:rPr>
          <w:lang w:val="en-GB"/>
        </w:rPr>
      </w:pPr>
      <w:r>
        <w:rPr>
          <w:lang w:val="en-GB"/>
        </w:rPr>
      </w:r>
      <w:r>
        <w:br w:type="page"/>
      </w:r>
    </w:p>
    <w:p>
      <w:pPr>
        <w:pStyle w:val="Normal"/>
        <w:rPr>
          <w:lang w:val="en-GB"/>
        </w:rPr>
      </w:pPr>
      <w:r>
        <w:rPr>
          <w:lang w:val="en-GB"/>
        </w:rPr>
      </w:r>
    </w:p>
    <w:p>
      <w:pPr>
        <w:pStyle w:val="Normal"/>
        <w:widowControl/>
        <w:tabs>
          <w:tab w:val="clear" w:pos="709"/>
          <w:tab w:val="left" w:pos="705" w:leader="none"/>
        </w:tabs>
        <w:suppressAutoHyphens w:val="true"/>
        <w:jc w:val="center"/>
        <w:rPr>
          <w:b/>
          <w:lang w:val="en-GB"/>
        </w:rPr>
      </w:pPr>
      <w:r>
        <w:rPr>
          <w:b/>
          <w:lang w:val="en-GB"/>
        </w:rPr>
        <w:t>§ 5</w:t>
      </w:r>
    </w:p>
    <w:p>
      <w:pPr>
        <w:pStyle w:val="Normal"/>
        <w:widowControl/>
        <w:tabs>
          <w:tab w:val="clear" w:pos="709"/>
          <w:tab w:val="left" w:pos="705" w:leader="none"/>
        </w:tabs>
        <w:suppressAutoHyphens w:val="true"/>
        <w:jc w:val="both"/>
        <w:rPr>
          <w:b/>
          <w:lang w:val="en-GB"/>
        </w:rPr>
      </w:pPr>
      <w:r>
        <w:rPr>
          <w:b/>
          <w:lang w:val="en-GB"/>
        </w:rPr>
      </w:r>
    </w:p>
    <w:p>
      <w:pPr>
        <w:pStyle w:val="Heading1"/>
        <w:widowControl/>
        <w:suppressAutoHyphens w:val="true"/>
        <w:ind w:hanging="0" w:start="0"/>
        <w:rPr>
          <w:lang w:val="en-GB"/>
        </w:rPr>
      </w:pPr>
      <w:r>
        <w:rPr>
          <w:lang w:val="en-GB"/>
        </w:rPr>
        <w:t>Mark- to- Market Margin</w:t>
      </w:r>
    </w:p>
    <w:p>
      <w:pPr>
        <w:pStyle w:val="Normal"/>
        <w:keepNext w:val="true"/>
        <w:widowControl/>
        <w:suppressAutoHyphens w:val="true"/>
        <w:jc w:val="both"/>
        <w:rPr>
          <w:b/>
          <w:u w:val="single"/>
          <w:lang w:val="en-GB"/>
        </w:rPr>
      </w:pPr>
      <w:r>
        <w:rPr>
          <w:b/>
          <w:u w:val="single"/>
          <w:lang w:val="en-GB"/>
        </w:rPr>
      </w:r>
    </w:p>
    <w:p>
      <w:pPr>
        <w:pStyle w:val="Normal"/>
        <w:widowControl/>
        <w:suppressAutoHyphens w:val="true"/>
        <w:jc w:val="both"/>
        <w:rPr>
          <w:lang w:val="en-GB"/>
        </w:rPr>
      </w:pPr>
      <w:r>
        <w:rPr>
          <w:lang w:val="en-GB"/>
        </w:rPr>
        <w:t>The parties hereto agree that the mark</w:t>
        <w:noBreakHyphen/>
        <w:t>to</w:t>
        <w:noBreakHyphen/>
        <w:t>market margin payment arrangements set out hereunder shall apply to all Transactions made between them from time to time (including those already made at the date hereof) and which are not yet performed in full.</w:t>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t>5.1</w:t>
        <w:tab/>
      </w:r>
      <w:r>
        <w:rPr>
          <w:b/>
          <w:lang w:val="en-GB"/>
        </w:rPr>
        <w:t>Eligible Credit Support</w:t>
      </w:r>
    </w:p>
    <w:p>
      <w:pPr>
        <w:pStyle w:val="Normal"/>
        <w:widowControl/>
        <w:suppressAutoHyphens w:val="true"/>
        <w:jc w:val="both"/>
        <w:rPr>
          <w:lang w:val="en-GB"/>
        </w:rPr>
      </w:pPr>
      <w:r>
        <w:rPr>
          <w:lang w:val="en-GB"/>
        </w:rPr>
      </w:r>
    </w:p>
    <w:p>
      <w:pPr>
        <w:pStyle w:val="Normal"/>
        <w:widowControl/>
        <w:suppressAutoHyphens w:val="true"/>
        <w:ind w:start="709" w:end="0"/>
        <w:jc w:val="both"/>
        <w:rPr>
          <w:lang w:val="en-GB"/>
        </w:rPr>
      </w:pPr>
      <w:r>
        <w:rPr>
          <w:lang w:val="en-GB"/>
        </w:rPr>
        <w:t>Subject to Clauses 3.2 and 5 below, upon a demand made by the Transferee on or promptly following a Valuation Day, if the Transferee's Exposure for that Valuation Day is greater than zero, (if the Transferee is an Enron Entity) RWE, and, (if the Transferee is RWE) one or more Enron Entities) shall deposit with such Transferee Eligible Credit Support for an amount at least equal to that Exposure.</w:t>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t>5.2</w:t>
        <w:tab/>
      </w:r>
      <w:r>
        <w:rPr>
          <w:b/>
          <w:lang w:val="en-GB"/>
        </w:rPr>
        <w:t>Payments</w:t>
      </w:r>
    </w:p>
    <w:p>
      <w:pPr>
        <w:pStyle w:val="Normal"/>
        <w:widowControl/>
        <w:suppressAutoHyphens w:val="true"/>
        <w:jc w:val="both"/>
        <w:rPr>
          <w:lang w:val="en-GB"/>
        </w:rPr>
      </w:pPr>
      <w:r>
        <w:rPr>
          <w:lang w:val="en-GB"/>
        </w:rPr>
      </w:r>
    </w:p>
    <w:p>
      <w:pPr>
        <w:pStyle w:val="Normal"/>
        <w:widowControl/>
        <w:numPr>
          <w:ilvl w:val="0"/>
          <w:numId w:val="19"/>
        </w:numPr>
        <w:suppressAutoHyphens w:val="true"/>
        <w:jc w:val="both"/>
        <w:rPr>
          <w:lang w:val="en-GB"/>
        </w:rPr>
      </w:pPr>
      <w:r>
        <w:rPr>
          <w:lang w:val="en-GB"/>
        </w:rPr>
        <w:t>All payments required hereunder shall be rounded up to the nearest integral multiple of Euros 1,000,000 (with any amount between two such multiples to be rounded upwards).</w:t>
      </w:r>
    </w:p>
    <w:p>
      <w:pPr>
        <w:pStyle w:val="Normal"/>
        <w:widowControl/>
        <w:suppressAutoHyphens w:val="true"/>
        <w:ind w:start="770" w:end="0"/>
        <w:jc w:val="both"/>
        <w:rPr>
          <w:lang w:val="en-GB"/>
        </w:rPr>
      </w:pPr>
      <w:r>
        <w:rPr>
          <w:lang w:val="en-GB"/>
        </w:rPr>
      </w:r>
    </w:p>
    <w:p>
      <w:pPr>
        <w:pStyle w:val="Normal"/>
        <w:widowControl/>
        <w:numPr>
          <w:ilvl w:val="0"/>
          <w:numId w:val="19"/>
        </w:numPr>
        <w:suppressAutoHyphens w:val="true"/>
        <w:jc w:val="both"/>
        <w:rPr>
          <w:lang w:val="en-GB"/>
        </w:rPr>
      </w:pPr>
      <w:r>
        <w:rPr>
          <w:lang w:val="en-GB"/>
        </w:rPr>
        <w:t>All payments required pursuant to this Clause 5 will be made in accordance with the instructions of the recipient no later than close of business on the relevant Delivery Date provided that no party shall be required to make any payment pursuant to Clause 5.1 if on any Valuation Day an Event of Default (as specified in Clause 2 of this Agreement) has occurred and is continuing in respect of the Transferee.</w:t>
      </w:r>
    </w:p>
    <w:p>
      <w:pPr>
        <w:pStyle w:val="Normal"/>
        <w:widowControl/>
        <w:suppressAutoHyphens w:val="true"/>
        <w:jc w:val="both"/>
        <w:rPr>
          <w:lang w:val="en-GB"/>
        </w:rPr>
      </w:pPr>
      <w:r>
        <w:rPr>
          <w:lang w:val="en-GB"/>
        </w:rPr>
      </w:r>
    </w:p>
    <w:p>
      <w:pPr>
        <w:pStyle w:val="Normal"/>
        <w:widowControl/>
        <w:numPr>
          <w:ilvl w:val="0"/>
          <w:numId w:val="19"/>
        </w:numPr>
        <w:suppressAutoHyphens w:val="true"/>
        <w:jc w:val="both"/>
        <w:rPr>
          <w:lang w:val="en-GB"/>
        </w:rPr>
      </w:pPr>
      <w:r>
        <w:rPr>
          <w:lang w:val="en-GB"/>
        </w:rPr>
        <w:t>The Transferee shall determine the payment required hereunder for each Valuation Day and on any Valuation Day upon which a payment is required the Transferee shall deliver to the other party a written statement in reasonable detail indicating the amount of the payment to be made. [To discuss]</w:t>
      </w:r>
    </w:p>
    <w:p>
      <w:pPr>
        <w:pStyle w:val="Normal"/>
        <w:widowControl/>
        <w:suppressAutoHyphens w:val="true"/>
        <w:jc w:val="both"/>
        <w:rPr>
          <w:lang w:val="en-GB"/>
        </w:rPr>
      </w:pPr>
      <w:r>
        <w:rPr>
          <w:lang w:val="en-GB"/>
        </w:rPr>
      </w:r>
    </w:p>
    <w:p>
      <w:pPr>
        <w:pStyle w:val="Normal"/>
        <w:keepNext w:val="true"/>
        <w:keepLines/>
        <w:widowControl/>
        <w:suppressAutoHyphens w:val="true"/>
        <w:jc w:val="both"/>
        <w:rPr>
          <w:lang w:val="en-GB"/>
        </w:rPr>
      </w:pPr>
      <w:r>
        <w:rPr>
          <w:lang w:val="en-GB"/>
        </w:rPr>
        <w:t>5.3</w:t>
        <w:tab/>
      </w:r>
      <w:r>
        <w:rPr>
          <w:b/>
          <w:lang w:val="en-GB"/>
        </w:rPr>
        <w:t>Additional Agreement</w:t>
      </w:r>
    </w:p>
    <w:p>
      <w:pPr>
        <w:pStyle w:val="Normal"/>
        <w:keepNext w:val="true"/>
        <w:keepLines/>
        <w:widowControl/>
        <w:suppressAutoHyphens w:val="true"/>
        <w:jc w:val="both"/>
        <w:rPr>
          <w:b/>
          <w:lang w:val="en-GB"/>
        </w:rPr>
      </w:pPr>
      <w:r>
        <w:rPr>
          <w:b/>
          <w:lang w:val="en-GB"/>
        </w:rPr>
      </w:r>
    </w:p>
    <w:p>
      <w:pPr>
        <w:pStyle w:val="Normal"/>
        <w:widowControl/>
        <w:suppressAutoHyphens w:val="true"/>
        <w:ind w:hanging="720" w:start="720" w:end="0"/>
        <w:jc w:val="both"/>
        <w:rPr>
          <w:lang w:val="en-GB"/>
        </w:rPr>
      </w:pPr>
      <w:r>
        <w:rPr>
          <w:lang w:val="en-GB"/>
        </w:rPr>
        <w:tab/>
        <w:t>Each party, in addition to the agreements made or otherwise under this Agreement, further agrees that no other person will at any time have any interest deriving from that party in any right of that party relating to the Letters of Credit of that party hereunder, whether as principal, assignee, chargee, beneficial holder of a floating charge, beneficiary or in any other way.</w:t>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t>5.4</w:t>
        <w:tab/>
      </w:r>
      <w:r>
        <w:rPr>
          <w:b/>
          <w:lang w:val="en-GB"/>
        </w:rPr>
        <w:t>Determinations</w:t>
      </w:r>
    </w:p>
    <w:p>
      <w:pPr>
        <w:pStyle w:val="Normal"/>
        <w:widowControl/>
        <w:suppressAutoHyphens w:val="true"/>
        <w:jc w:val="both"/>
        <w:rPr>
          <w:b/>
          <w:lang w:val="en-GB"/>
        </w:rPr>
      </w:pPr>
      <w:r>
        <w:rPr>
          <w:b/>
          <w:lang w:val="en-GB"/>
        </w:rPr>
      </w:r>
    </w:p>
    <w:p>
      <w:pPr>
        <w:pStyle w:val="Normal"/>
        <w:widowControl/>
        <w:suppressAutoHyphens w:val="true"/>
        <w:ind w:hanging="720" w:start="720" w:end="0"/>
        <w:jc w:val="both"/>
        <w:rPr>
          <w:lang w:val="en-GB"/>
        </w:rPr>
      </w:pPr>
      <w:r>
        <w:rPr>
          <w:lang w:val="en-GB"/>
        </w:rPr>
        <w:tab/>
        <w:t>All calculations and determinations to be made for the purposes of this Clause 5 by the Transferee and Transferor shall be made in good faith.</w:t>
      </w:r>
    </w:p>
    <w:p>
      <w:pPr>
        <w:pStyle w:val="Normal"/>
        <w:widowControl/>
        <w:suppressAutoHyphens w:val="true"/>
        <w:ind w:hanging="720" w:start="720" w:end="0"/>
        <w:jc w:val="both"/>
        <w:rPr>
          <w:lang w:val="en-GB"/>
        </w:rPr>
      </w:pPr>
      <w:r>
        <w:rPr>
          <w:lang w:val="en-GB"/>
        </w:rPr>
      </w:r>
    </w:p>
    <w:p>
      <w:pPr>
        <w:pStyle w:val="Normal"/>
        <w:keepNext w:val="true"/>
        <w:widowControl/>
        <w:tabs>
          <w:tab w:val="clear" w:pos="709"/>
          <w:tab w:val="left" w:pos="705" w:leader="none"/>
        </w:tabs>
        <w:suppressAutoHyphens w:val="true"/>
        <w:jc w:val="center"/>
        <w:rPr>
          <w:b/>
          <w:lang w:val="en-GB"/>
        </w:rPr>
      </w:pPr>
      <w:r>
        <w:rPr>
          <w:b/>
          <w:lang w:val="en-GB"/>
        </w:rPr>
        <w:t>§ 6</w:t>
      </w:r>
    </w:p>
    <w:p>
      <w:pPr>
        <w:pStyle w:val="Normal"/>
        <w:keepNext w:val="true"/>
        <w:widowControl/>
        <w:tabs>
          <w:tab w:val="clear" w:pos="709"/>
          <w:tab w:val="left" w:pos="705" w:leader="none"/>
        </w:tabs>
        <w:suppressAutoHyphens w:val="true"/>
        <w:jc w:val="both"/>
        <w:rPr>
          <w:b/>
          <w:lang w:val="en-GB"/>
        </w:rPr>
      </w:pPr>
      <w:r>
        <w:rPr>
          <w:b/>
          <w:lang w:val="en-GB"/>
        </w:rPr>
      </w:r>
    </w:p>
    <w:p>
      <w:pPr>
        <w:pStyle w:val="Heading1"/>
        <w:widowControl/>
        <w:suppressAutoHyphens w:val="true"/>
        <w:ind w:hanging="0" w:start="0"/>
        <w:rPr>
          <w:lang w:val="en-GB"/>
        </w:rPr>
      </w:pPr>
      <w:r>
        <w:rPr>
          <w:lang w:val="en-GB"/>
        </w:rPr>
        <w:t>Letters of Credit</w:t>
      </w:r>
    </w:p>
    <w:p>
      <w:pPr>
        <w:pStyle w:val="Normal"/>
        <w:keepNext w:val="true"/>
        <w:widowControl/>
        <w:suppressAutoHyphens w:val="true"/>
        <w:ind w:hanging="720" w:start="720" w:end="0"/>
        <w:jc w:val="both"/>
        <w:rPr>
          <w:lang w:val="en-GB"/>
        </w:rPr>
      </w:pPr>
      <w:r>
        <w:rPr>
          <w:lang w:val="en-GB"/>
        </w:rPr>
      </w:r>
    </w:p>
    <w:p>
      <w:pPr>
        <w:pStyle w:val="Normal"/>
        <w:widowControl/>
        <w:tabs>
          <w:tab w:val="clear" w:pos="709"/>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jc w:val="both"/>
        <w:rPr>
          <w:lang w:val="en-GB"/>
        </w:rPr>
      </w:pPr>
      <w:r>
        <w:rPr>
          <w:lang w:val="en-GB"/>
        </w:rPr>
      </w:r>
    </w:p>
    <w:p>
      <w:pPr>
        <w:pStyle w:val="Normal"/>
        <w:widowControl/>
        <w:tabs>
          <w:tab w:val="clear" w:pos="709"/>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jc w:val="both"/>
        <w:rPr>
          <w:lang w:val="en-GB"/>
        </w:rPr>
      </w:pPr>
      <w:r>
        <w:rPr>
          <w:lang w:val="en-GB"/>
        </w:rPr>
        <w:t>Eligible Credit Support in the form of a Letter of Credit shall be issued and maintained in accordance with and be subject to the following provisions.</w:t>
      </w:r>
    </w:p>
    <w:p>
      <w:pPr>
        <w:pStyle w:val="Normal"/>
        <w:widowControl/>
        <w:tabs>
          <w:tab w:val="clear" w:pos="709"/>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jc w:val="both"/>
        <w:rPr>
          <w:lang w:val="en-GB"/>
        </w:rPr>
      </w:pPr>
      <w:r>
        <w:rPr>
          <w:lang w:val="en-GB"/>
        </w:rPr>
      </w:r>
    </w:p>
    <w:p>
      <w:pPr>
        <w:pStyle w:val="Normal"/>
        <w:widowControl/>
        <w:ind w:hanging="709" w:start="709" w:end="0"/>
        <w:jc w:val="both"/>
        <w:rPr/>
      </w:pPr>
      <w:r>
        <w:rPr>
          <w:lang w:val="en-GB"/>
        </w:rPr>
        <w:t>6.1</w:t>
        <w:tab/>
        <w:t>Any Letter of Credit shall be delivered by the Issuer to such address as the Transferee shall specify and shall be maintained for the benefit of the Transferee or its designee.  The Transferor or the Issuer of the Letter of Credit shall:</w:t>
      </w:r>
    </w:p>
    <w:p>
      <w:pPr>
        <w:pStyle w:val="Normal"/>
        <w:widowControl/>
        <w:tabs>
          <w:tab w:val="clear" w:pos="709"/>
          <w:tab w:val="left" w:pos="1134" w:leader="none"/>
        </w:tabs>
        <w:jc w:val="both"/>
        <w:rPr>
          <w:lang w:val="en-GB"/>
        </w:rPr>
      </w:pPr>
      <w:r>
        <w:rPr>
          <w:lang w:val="en-GB"/>
        </w:rPr>
      </w:r>
    </w:p>
    <w:p>
      <w:pPr>
        <w:pStyle w:val="Normal"/>
        <w:widowControl/>
        <w:numPr>
          <w:ilvl w:val="0"/>
          <w:numId w:val="9"/>
        </w:numPr>
        <w:jc w:val="both"/>
        <w:rPr>
          <w:lang w:val="en-GB"/>
        </w:rPr>
      </w:pPr>
      <w:r>
        <w:rPr>
          <w:lang w:val="en-GB"/>
        </w:rPr>
        <w:t>renew or cause the renewal of each outstanding Letter of Credit on a timely basis as provided in the relevant Letter of Credit;</w:t>
      </w:r>
    </w:p>
    <w:p>
      <w:pPr>
        <w:pStyle w:val="Normal"/>
        <w:widowControl/>
        <w:numPr>
          <w:ilvl w:val="0"/>
          <w:numId w:val="9"/>
        </w:numPr>
        <w:jc w:val="both"/>
        <w:rPr>
          <w:lang w:val="en-GB"/>
        </w:rPr>
      </w:pPr>
      <w:r>
        <w:rPr>
          <w:lang w:val="en-GB"/>
        </w:rPr>
        <w:t xml:space="preserve">if the Issuer of an outstanding Letter of Credit has indicated its intent not to renew such Letter of Credit, provide a substitute Letter of Credit at least thirty (30) Banking Days prior to the expiration of the outstanding Letter of Credit; and </w:t>
      </w:r>
    </w:p>
    <w:p>
      <w:pPr>
        <w:pStyle w:val="Normal"/>
        <w:widowControl/>
        <w:numPr>
          <w:ilvl w:val="0"/>
          <w:numId w:val="9"/>
        </w:numPr>
        <w:jc w:val="both"/>
        <w:rPr>
          <w:lang w:val="en-GB"/>
        </w:rPr>
      </w:pPr>
      <w:r>
        <w:rPr>
          <w:lang w:val="en-GB"/>
        </w:rPr>
        <w:t>if the Issuer of a Letter of Credit shall fail to honour the Transferee's properly documented request to draw on an outstanding Letter of Credit, provide for the benefit of the Transferee a substitute Letter of Credit issued by an Issuer acceptable to the Transferee or other Eligible Credit Support, in each case within two (2) Banking Days after such refusal.</w:t>
      </w:r>
    </w:p>
    <w:p>
      <w:pPr>
        <w:pStyle w:val="Normal"/>
        <w:widowControl/>
        <w:jc w:val="both"/>
        <w:rPr>
          <w:lang w:val="en-GB"/>
        </w:rPr>
      </w:pPr>
      <w:r>
        <w:rPr>
          <w:lang w:val="en-GB"/>
        </w:rPr>
      </w:r>
    </w:p>
    <w:p>
      <w:pPr>
        <w:pStyle w:val="Normal"/>
        <w:widowControl/>
        <w:ind w:hanging="698" w:start="720" w:end="0"/>
        <w:jc w:val="both"/>
        <w:rPr/>
      </w:pPr>
      <w:r>
        <w:rPr>
          <w:lang w:val="en-GB"/>
        </w:rPr>
        <w:t>6.2</w:t>
        <w:tab/>
        <w:t>The transfer of a Letter of Credit shall be deemed effective on receipt by the Transferee from the Issuer of the issued Letter of Credit.</w:t>
      </w:r>
    </w:p>
    <w:p>
      <w:pPr>
        <w:pStyle w:val="Normal"/>
        <w:widowControl/>
        <w:ind w:start="1440" w:end="0"/>
        <w:jc w:val="both"/>
        <w:rPr>
          <w:lang w:val="en-GB"/>
        </w:rPr>
      </w:pPr>
      <w:r>
        <w:rPr>
          <w:lang w:val="en-GB"/>
        </w:rPr>
      </w:r>
    </w:p>
    <w:p>
      <w:pPr>
        <w:pStyle w:val="Normal"/>
        <w:widowControl/>
        <w:ind w:hanging="720" w:start="720" w:end="0"/>
        <w:jc w:val="both"/>
        <w:rPr/>
      </w:pPr>
      <w:r>
        <w:rPr>
          <w:lang w:val="en-GB"/>
        </w:rPr>
        <w:t>6.3</w:t>
        <w:tab/>
        <w:t>The Transferee may return one or more outstanding Letters of Credit to the Transferor, at the main business address of the Transferor but is under no obligation whatsoever to do so.  A Letter of Credit will be deemed transferred back to the Transferor on surrender by the Transferee of the Letter of Credit to the Transferor.</w:t>
      </w:r>
    </w:p>
    <w:p>
      <w:pPr>
        <w:pStyle w:val="Normal"/>
        <w:widowControl/>
        <w:tabs>
          <w:tab w:val="clear" w:pos="709"/>
          <w:tab w:val="left" w:pos="2090" w:leader="none"/>
        </w:tabs>
        <w:jc w:val="both"/>
        <w:rPr>
          <w:lang w:val="en-GB"/>
        </w:rPr>
      </w:pPr>
      <w:r>
        <w:rPr>
          <w:lang w:val="en-GB"/>
        </w:rPr>
      </w:r>
    </w:p>
    <w:p>
      <w:pPr>
        <w:pStyle w:val="Normal"/>
        <w:widowControl/>
        <w:numPr>
          <w:ilvl w:val="1"/>
          <w:numId w:val="8"/>
        </w:numPr>
        <w:jc w:val="both"/>
        <w:rPr>
          <w:lang w:val="en-GB"/>
        </w:rPr>
      </w:pPr>
      <w:r>
        <w:rPr>
          <w:lang w:val="en-GB"/>
        </w:rPr>
        <w:t>Upon the occurrence of a Letter of Credit Default, the Transferor agrees to cause a substitute Letter of Credit to be issued to the Transferee or to deliver other Eligible Credit Support to the Transferee on or before the first  Banking Day after the occurrence thereof.</w:t>
      </w:r>
    </w:p>
    <w:p>
      <w:pPr>
        <w:pStyle w:val="Normal"/>
        <w:widowControl/>
        <w:jc w:val="both"/>
        <w:rPr>
          <w:lang w:val="en-GB"/>
        </w:rPr>
      </w:pPr>
      <w:r>
        <w:rPr>
          <w:lang w:val="en-GB"/>
        </w:rPr>
      </w:r>
    </w:p>
    <w:p>
      <w:pPr>
        <w:pStyle w:val="Normal"/>
        <w:widowControl/>
        <w:ind w:hanging="709" w:start="709" w:end="0"/>
        <w:jc w:val="both"/>
        <w:rPr/>
      </w:pPr>
      <w:r>
        <w:rPr>
          <w:lang w:val="en-GB"/>
        </w:rPr>
        <w:t>6.5</w:t>
        <w:tab/>
        <w:t>A Letter of Credit shall provide that the Transferee may draw upon the Letter of Credit in an amount (up to the face amount for which the Letter of Credit has been issued) that is equal to all amounts that are due and owing from the Transferor but have not been paid to the Transferee within the time allowed for such payments under this Agreement (including any related notice or grace period or both).  A Letter of Credit shall provide that a drawing shall be made on such Letter of Credit by submission to the Issuer of one or more documents specifying the amounts due and owing to the Transferee in accordance with the stated requirements of the Letter of Credit.</w:t>
      </w:r>
    </w:p>
    <w:p>
      <w:pPr>
        <w:pStyle w:val="Normal"/>
        <w:widowControl/>
        <w:jc w:val="both"/>
        <w:rPr>
          <w:lang w:val="en-GB"/>
        </w:rPr>
      </w:pPr>
      <w:r>
        <w:rPr>
          <w:lang w:val="en-GB"/>
        </w:rPr>
      </w:r>
    </w:p>
    <w:p>
      <w:pPr>
        <w:pStyle w:val="Normal"/>
        <w:widowControl/>
        <w:ind w:hanging="709" w:start="709" w:end="0"/>
        <w:jc w:val="both"/>
        <w:rPr/>
      </w:pPr>
      <w:r>
        <w:rPr>
          <w:lang w:val="en-GB"/>
        </w:rPr>
        <w:t>6.6</w:t>
        <w:tab/>
        <w:t>If the Transferor's Credit Support Provider (if any) shall cause a Letter of Credit to be issued hereunder, the amount otherwise required under such Letter of Credit may at the option of such Credit Support Provider be reduced by the amount then available for drawing under any Letter of Credit  established by the Transferor (but only for such time as the Transferor's Letter of Credit shall be in effect).  If the Transferor shall  cause a Letter of Credit to be issued hereunder, the amount otherwise required under such Letter of Credit may at the option of the Transferor be reduced by the amount of any Letter of Credit established by the Transferor's Credit Support Provider (but only for such time as such Credit Support Provider's Letter of Credit shall be in effect).</w:t>
      </w:r>
    </w:p>
    <w:p>
      <w:pPr>
        <w:pStyle w:val="Normal"/>
        <w:widowControl/>
        <w:jc w:val="both"/>
        <w:rPr>
          <w:lang w:val="en-GB"/>
        </w:rPr>
      </w:pPr>
      <w:r>
        <w:rPr>
          <w:lang w:val="en-GB"/>
        </w:rPr>
      </w:r>
    </w:p>
    <w:p>
      <w:pPr>
        <w:pStyle w:val="Normal"/>
        <w:widowControl/>
        <w:ind w:hanging="709" w:start="709" w:end="0"/>
        <w:jc w:val="both"/>
        <w:rPr/>
      </w:pPr>
      <w:r>
        <w:rPr>
          <w:lang w:val="en-GB"/>
        </w:rPr>
        <w:t>6.7</w:t>
        <w:tab/>
        <w:t>Upon or at any time after the occurrence of an Event of Default with respect to the Transferor, the Transferee may draw on the entire, undrawn portion of any outstanding Letter of Credit upon submission to the Issuer of the Letter of Credit of one or more documents in accordance with the specific requirements of this Letter of Credit.  Cash proceeds received from drawing upon the Letter of Credit shall be deemed Eligible Credit Support and shall be maintained in accordance with this Netting Agreement.  Notwithstanding the Transferee's receipt of cash under the Letter of Credit, the Transferor shall remain liable to the Transferee for any failure to transfer sufficient Eligible Credit Support to the Transferee in accordance with the terms of this Netting Agreement.</w:t>
      </w:r>
    </w:p>
    <w:p>
      <w:pPr>
        <w:pStyle w:val="Normal"/>
        <w:widowControl/>
        <w:tabs>
          <w:tab w:val="clear" w:pos="709"/>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jc w:val="both"/>
        <w:rPr>
          <w:lang w:val="en-GB"/>
        </w:rPr>
      </w:pPr>
      <w:r>
        <w:rPr>
          <w:lang w:val="en-GB"/>
        </w:rPr>
      </w:r>
    </w:p>
    <w:p>
      <w:pPr>
        <w:pStyle w:val="Normal"/>
        <w:widowControl/>
        <w:ind w:hanging="709" w:start="709" w:end="0"/>
        <w:jc w:val="both"/>
        <w:rPr/>
      </w:pPr>
      <w:r>
        <w:rPr>
          <w:lang w:val="en-GB"/>
        </w:rPr>
        <w:t>6.8</w:t>
        <w:tab/>
        <w:t>Upon or at any time after the occurrence or deemed occurrence of an Early Termination Date as a result of an Event of Default and the failure of the Transferor to make all payments due and owing to the Transferee in accordance with the terms of this Agreement, the Transferee may draw on any outstanding Letter of Credit up to an amount equal to such amounts owing to it.  The Transferor shall remain liable for any amounts owing to the Transferee and remaining unpaid after the application of the amounts so drawn by the Transferee.</w:t>
      </w:r>
    </w:p>
    <w:p>
      <w:pPr>
        <w:pStyle w:val="Normal"/>
        <w:widowControl/>
        <w:tabs>
          <w:tab w:val="left" w:pos="709" w:leader="none"/>
        </w:tabs>
        <w:ind w:start="1418" w:end="0"/>
        <w:jc w:val="both"/>
        <w:rPr>
          <w:lang w:val="en-GB"/>
        </w:rPr>
      </w:pPr>
      <w:r>
        <w:rPr>
          <w:lang w:val="en-GB"/>
        </w:rPr>
      </w:r>
    </w:p>
    <w:p>
      <w:pPr>
        <w:pStyle w:val="Normal"/>
        <w:widowControl/>
        <w:ind w:hanging="709" w:start="709" w:end="0"/>
        <w:jc w:val="both"/>
        <w:rPr>
          <w:lang w:val="en-GB"/>
        </w:rPr>
      </w:pPr>
      <w:r>
        <w:rPr>
          <w:lang w:val="en-GB"/>
        </w:rPr>
        <w:t>6.9</w:t>
        <w:tab/>
        <w:t>The occurrence at any time with respect to a Letter of Credit of any of the following events shall constitute a Letter of Credit Default with respect to such Letter of Credit:</w:t>
      </w:r>
    </w:p>
    <w:p>
      <w:pPr>
        <w:pStyle w:val="Normal"/>
        <w:widowControl/>
        <w:ind w:hanging="720" w:start="1440" w:end="0"/>
        <w:jc w:val="both"/>
        <w:rPr>
          <w:lang w:val="en-GB"/>
        </w:rPr>
      </w:pPr>
      <w:r>
        <w:rPr>
          <w:lang w:val="en-GB"/>
        </w:rPr>
      </w:r>
    </w:p>
    <w:p>
      <w:pPr>
        <w:pStyle w:val="Normal"/>
        <w:widowControl/>
        <w:ind w:hanging="720" w:start="1440" w:end="0"/>
        <w:jc w:val="both"/>
        <w:rPr>
          <w:lang w:val="en-GB"/>
        </w:rPr>
      </w:pPr>
      <w:r>
        <w:rPr>
          <w:lang w:val="en-GB"/>
        </w:rPr>
        <w:t>(I)</w:t>
        <w:tab/>
        <w:t>the Credit Rating of the Issuer is withdrawn or downgraded below Standard &amp; Poor's Rating Group "A" or Moody's Investor's Service Inc equivalent;</w:t>
      </w:r>
    </w:p>
    <w:p>
      <w:pPr>
        <w:pStyle w:val="Normal"/>
        <w:widowControl/>
        <w:ind w:hanging="720" w:start="1440" w:end="0"/>
        <w:jc w:val="both"/>
        <w:rPr>
          <w:lang w:val="en-GB"/>
        </w:rPr>
      </w:pPr>
      <w:r>
        <w:rPr>
          <w:lang w:val="en-GB"/>
        </w:rPr>
      </w:r>
    </w:p>
    <w:p>
      <w:pPr>
        <w:pStyle w:val="Normal"/>
        <w:widowControl/>
        <w:ind w:hanging="720" w:start="1440" w:end="0"/>
        <w:jc w:val="both"/>
        <w:rPr/>
      </w:pPr>
      <w:r>
        <w:rPr>
          <w:lang w:val="en-GB"/>
        </w:rPr>
        <w:t>(II)</w:t>
        <w:tab/>
        <w:t>the Issuer fails to comply with or perform its obligations under such Letter of Credit and such failure continues after the lapse of any applicable grace period;</w:t>
      </w:r>
    </w:p>
    <w:p>
      <w:pPr>
        <w:pStyle w:val="Normal"/>
        <w:widowControl/>
        <w:ind w:hanging="720" w:start="1440" w:end="0"/>
        <w:jc w:val="both"/>
        <w:rPr>
          <w:lang w:val="en-GB"/>
        </w:rPr>
      </w:pPr>
      <w:r>
        <w:rPr>
          <w:lang w:val="en-GB"/>
        </w:rPr>
      </w:r>
    </w:p>
    <w:p>
      <w:pPr>
        <w:pStyle w:val="Normal"/>
        <w:widowControl/>
        <w:ind w:hanging="720" w:start="1440" w:end="0"/>
        <w:jc w:val="both"/>
        <w:rPr>
          <w:lang w:val="en-GB"/>
        </w:rPr>
      </w:pPr>
      <w:r>
        <w:rPr>
          <w:lang w:val="en-GB"/>
        </w:rPr>
        <w:t>(III)</w:t>
        <w:tab/>
        <w:t>the Issuer disaffirms, disclaims, repudiates or rejects, in whole or in part, or challenges the validity of such Letter of Credit;</w:t>
      </w:r>
    </w:p>
    <w:p>
      <w:pPr>
        <w:pStyle w:val="Normal"/>
        <w:widowControl/>
        <w:ind w:hanging="720" w:start="1440" w:end="0"/>
        <w:jc w:val="both"/>
        <w:rPr>
          <w:lang w:val="en-GB"/>
        </w:rPr>
      </w:pPr>
      <w:r>
        <w:rPr>
          <w:lang w:val="en-GB"/>
        </w:rPr>
      </w:r>
    </w:p>
    <w:p>
      <w:pPr>
        <w:pStyle w:val="Normal"/>
        <w:widowControl/>
        <w:ind w:hanging="720" w:start="1440" w:end="0"/>
        <w:jc w:val="both"/>
        <w:rPr>
          <w:lang w:val="en-GB"/>
        </w:rPr>
      </w:pPr>
      <w:r>
        <w:rPr>
          <w:lang w:val="en-GB"/>
        </w:rPr>
        <w:t>(IV)</w:t>
        <w:tab/>
        <w:t>any event analogous to an event specified in Clause 2.1.1 of this Netting Agreement occurs with respect to the Issuer;</w:t>
      </w:r>
    </w:p>
    <w:p>
      <w:pPr>
        <w:pStyle w:val="Normal"/>
        <w:widowControl/>
        <w:ind w:hanging="720" w:start="1440" w:end="0"/>
        <w:jc w:val="both"/>
        <w:rPr>
          <w:lang w:val="en-GB"/>
        </w:rPr>
      </w:pPr>
      <w:r>
        <w:rPr>
          <w:lang w:val="en-GB"/>
        </w:rPr>
      </w:r>
    </w:p>
    <w:p>
      <w:pPr>
        <w:pStyle w:val="Normal"/>
        <w:widowControl/>
        <w:ind w:hanging="720" w:start="1440" w:end="0"/>
        <w:jc w:val="both"/>
        <w:rPr>
          <w:lang w:val="en-GB"/>
        </w:rPr>
      </w:pPr>
      <w:r>
        <w:rPr>
          <w:lang w:val="en-GB"/>
        </w:rPr>
        <w:t>(V)</w:t>
        <w:tab/>
        <w:t>the Letter of Credit fails or ceases to be in full force and effect; or</w:t>
      </w:r>
    </w:p>
    <w:p>
      <w:pPr>
        <w:pStyle w:val="Normal"/>
        <w:widowControl/>
        <w:ind w:hanging="720" w:start="1440" w:end="0"/>
        <w:jc w:val="both"/>
        <w:rPr>
          <w:lang w:val="en-GB"/>
        </w:rPr>
      </w:pPr>
      <w:r>
        <w:rPr>
          <w:lang w:val="en-GB"/>
        </w:rPr>
      </w:r>
    </w:p>
    <w:p>
      <w:pPr>
        <w:pStyle w:val="Normal"/>
        <w:widowControl/>
        <w:ind w:hanging="720" w:start="1440" w:end="0"/>
        <w:jc w:val="both"/>
        <w:rPr>
          <w:lang w:val="en-GB"/>
        </w:rPr>
      </w:pPr>
      <w:r>
        <w:rPr>
          <w:lang w:val="en-GB"/>
        </w:rPr>
        <w:t>(VI)</w:t>
        <w:tab/>
        <w:t>the Letter of Credit expires or terminates in accordance with the terms within the next 30 calendar days.</w:t>
      </w:r>
    </w:p>
    <w:p>
      <w:pPr>
        <w:pStyle w:val="Normal"/>
        <w:widowControl/>
        <w:ind w:hanging="720" w:start="1440" w:end="0"/>
        <w:jc w:val="both"/>
        <w:rPr>
          <w:lang w:val="en-GB"/>
        </w:rPr>
      </w:pPr>
      <w:r>
        <w:rPr>
          <w:lang w:val="en-GB"/>
        </w:rPr>
      </w:r>
    </w:p>
    <w:p>
      <w:pPr>
        <w:pStyle w:val="Normal"/>
        <w:widowControl/>
        <w:ind w:hanging="709" w:start="709" w:end="0"/>
        <w:jc w:val="both"/>
        <w:rPr/>
      </w:pPr>
      <w:r>
        <w:rPr>
          <w:lang w:val="en-GB"/>
        </w:rPr>
        <w:t>6.10</w:t>
        <w:tab/>
        <w:t>In respect of any Letter of Credit, to the extent the Transferee draws under such Letter of Credit, the Transferor's obligations to the Transferee shall be discharged in an amount equal to such drawings.</w:t>
      </w:r>
    </w:p>
    <w:p>
      <w:pPr>
        <w:pStyle w:val="Normal"/>
        <w:widowControl/>
        <w:ind w:hanging="720" w:start="1440" w:end="0"/>
        <w:jc w:val="both"/>
        <w:rPr>
          <w:lang w:val="en-GB"/>
        </w:rPr>
      </w:pPr>
      <w:r>
        <w:rPr>
          <w:lang w:val="en-GB"/>
        </w:rPr>
      </w:r>
    </w:p>
    <w:p>
      <w:pPr>
        <w:pStyle w:val="Normal"/>
        <w:keepNext w:val="true"/>
        <w:widowControl/>
        <w:suppressAutoHyphens w:val="true"/>
        <w:jc w:val="center"/>
        <w:rPr>
          <w:b/>
          <w:lang w:val="en-GB"/>
        </w:rPr>
      </w:pPr>
      <w:r>
        <w:rPr>
          <w:b/>
          <w:lang w:val="en-GB"/>
        </w:rPr>
        <w:t>§ 7</w:t>
      </w:r>
    </w:p>
    <w:p>
      <w:pPr>
        <w:pStyle w:val="Normal"/>
        <w:keepNext w:val="true"/>
        <w:widowControl/>
        <w:suppressAutoHyphens w:val="true"/>
        <w:rPr>
          <w:b/>
          <w:lang w:val="en-GB"/>
        </w:rPr>
      </w:pPr>
      <w:r>
        <w:rPr>
          <w:b/>
          <w:lang w:val="en-GB"/>
        </w:rPr>
      </w:r>
    </w:p>
    <w:p>
      <w:pPr>
        <w:pStyle w:val="Header"/>
        <w:keepNext w:val="true"/>
        <w:widowControl/>
        <w:tabs>
          <w:tab w:val="clear" w:pos="4536"/>
          <w:tab w:val="clear" w:pos="9072"/>
        </w:tabs>
        <w:suppressAutoHyphens w:val="true"/>
        <w:jc w:val="center"/>
        <w:rPr>
          <w:b/>
          <w:u w:val="single"/>
          <w:lang w:val="en-GB"/>
        </w:rPr>
      </w:pPr>
      <w:r>
        <w:rPr>
          <w:b/>
          <w:u w:val="single"/>
          <w:lang w:val="en-GB"/>
        </w:rPr>
        <w:t>Dispute Resolution</w:t>
      </w:r>
    </w:p>
    <w:p>
      <w:pPr>
        <w:pStyle w:val="Header"/>
        <w:keepNext w:val="true"/>
        <w:widowControl/>
        <w:tabs>
          <w:tab w:val="clear" w:pos="4536"/>
          <w:tab w:val="clear" w:pos="9072"/>
        </w:tabs>
        <w:suppressAutoHyphens w:val="true"/>
        <w:jc w:val="both"/>
        <w:rPr>
          <w:b/>
          <w:u w:val="single"/>
          <w:lang w:val="en-GB"/>
        </w:rPr>
      </w:pPr>
      <w:r>
        <w:rPr>
          <w:b/>
          <w:u w:val="single"/>
          <w:lang w:val="en-GB"/>
        </w:rPr>
      </w:r>
    </w:p>
    <w:p>
      <w:pPr>
        <w:pStyle w:val="Normal"/>
        <w:widowControl/>
        <w:jc w:val="both"/>
        <w:rPr/>
      </w:pPr>
      <w:r>
        <w:rPr>
          <w:lang w:val="en-GB"/>
        </w:rPr>
        <w:t>7.1</w:t>
        <w:tab/>
      </w:r>
      <w:r>
        <w:rPr>
          <w:b/>
          <w:lang w:val="en-GB"/>
        </w:rPr>
        <w:t>Disputed Calculations or Valuations</w:t>
      </w:r>
      <w:r>
        <w:rPr>
          <w:lang w:val="en-GB"/>
        </w:rPr>
        <w:t xml:space="preserve">  </w:t>
      </w:r>
    </w:p>
    <w:p>
      <w:pPr>
        <w:pStyle w:val="Normal"/>
        <w:widowControl/>
        <w:jc w:val="both"/>
        <w:rPr>
          <w:lang w:val="en-GB"/>
        </w:rPr>
      </w:pPr>
      <w:r>
        <w:rPr>
          <w:lang w:val="en-GB"/>
        </w:rPr>
      </w:r>
    </w:p>
    <w:p>
      <w:pPr>
        <w:pStyle w:val="Normal"/>
        <w:widowControl/>
        <w:ind w:start="709" w:end="0"/>
        <w:jc w:val="both"/>
        <w:rPr/>
      </w:pPr>
      <w:r>
        <w:rPr>
          <w:lang w:val="en-GB"/>
        </w:rPr>
        <w:t>If a party (a "</w:t>
      </w:r>
      <w:r>
        <w:rPr>
          <w:b/>
          <w:lang w:val="en-GB"/>
        </w:rPr>
        <w:t>Disputing Party</w:t>
      </w:r>
      <w:r>
        <w:rPr>
          <w:lang w:val="en-GB"/>
        </w:rPr>
        <w:t>") reasonably disputes (I) the calculation of a party's Exposure or (II) the value of any transfer of Eligible Credit Support or, then:</w:t>
      </w:r>
    </w:p>
    <w:p>
      <w:pPr>
        <w:pStyle w:val="Normal"/>
        <w:widowControl/>
        <w:suppressAutoHyphens w:val="true"/>
        <w:ind w:hanging="709" w:start="709" w:end="0"/>
        <w:jc w:val="both"/>
        <w:rPr>
          <w:lang w:val="en-GB"/>
        </w:rPr>
      </w:pPr>
      <w:r>
        <w:rPr>
          <w:lang w:val="en-GB"/>
        </w:rPr>
      </w:r>
    </w:p>
    <w:p>
      <w:pPr>
        <w:pStyle w:val="Normal"/>
        <w:widowControl/>
        <w:numPr>
          <w:ilvl w:val="0"/>
          <w:numId w:val="14"/>
        </w:numPr>
        <w:suppressAutoHyphens w:val="true"/>
        <w:jc w:val="both"/>
        <w:rPr>
          <w:lang w:val="en-GB"/>
        </w:rPr>
      </w:pPr>
      <w:r>
        <w:rPr>
          <w:lang w:val="en-GB"/>
        </w:rPr>
        <w:t>the Disputing Party will notify the other party not later than the close of business on the Banking Day following, in the case of (I) above, the date that the demand is received under Clause 5 or, in the case of (II) above, the date of transfer;</w:t>
      </w:r>
    </w:p>
    <w:p>
      <w:pPr>
        <w:pStyle w:val="Normal"/>
        <w:widowControl/>
        <w:suppressAutoHyphens w:val="true"/>
        <w:jc w:val="both"/>
        <w:rPr>
          <w:lang w:val="en-GB"/>
        </w:rPr>
      </w:pPr>
      <w:r>
        <w:rPr>
          <w:lang w:val="en-GB"/>
        </w:rPr>
      </w:r>
    </w:p>
    <w:p>
      <w:pPr>
        <w:pStyle w:val="Normal"/>
        <w:widowControl/>
        <w:numPr>
          <w:ilvl w:val="0"/>
          <w:numId w:val="14"/>
        </w:numPr>
        <w:suppressAutoHyphens w:val="true"/>
        <w:jc w:val="both"/>
        <w:rPr>
          <w:lang w:val="en-GB"/>
        </w:rPr>
      </w:pPr>
      <w:r>
        <w:rPr>
          <w:lang w:val="en-GB"/>
        </w:rPr>
        <w:t>in the case of (I) above, the appropriate party will transfer the undisputed amount to the other party not later than the close of business on the Banking Day following the date that the demand is received under Clause 5.1;</w:t>
      </w:r>
    </w:p>
    <w:p>
      <w:pPr>
        <w:pStyle w:val="Normal"/>
        <w:widowControl/>
        <w:suppressAutoHyphens w:val="true"/>
        <w:jc w:val="both"/>
        <w:rPr>
          <w:lang w:val="en-GB"/>
        </w:rPr>
      </w:pPr>
      <w:r>
        <w:rPr>
          <w:lang w:val="en-GB"/>
        </w:rPr>
      </w:r>
    </w:p>
    <w:p>
      <w:pPr>
        <w:pStyle w:val="Normal"/>
        <w:widowControl/>
        <w:numPr>
          <w:ilvl w:val="0"/>
          <w:numId w:val="14"/>
        </w:numPr>
        <w:suppressAutoHyphens w:val="true"/>
        <w:jc w:val="both"/>
        <w:rPr>
          <w:lang w:val="en-GB"/>
        </w:rPr>
      </w:pPr>
      <w:r>
        <w:rPr>
          <w:lang w:val="en-GB"/>
        </w:rPr>
        <w:t>the parties will consult with each other in an attempt to resolve the dispute; and</w:t>
      </w:r>
    </w:p>
    <w:p>
      <w:pPr>
        <w:pStyle w:val="Normal"/>
        <w:widowControl/>
        <w:suppressAutoHyphens w:val="true"/>
        <w:jc w:val="both"/>
        <w:rPr>
          <w:lang w:val="en-GB"/>
        </w:rPr>
      </w:pPr>
      <w:r>
        <w:rPr>
          <w:lang w:val="en-GB"/>
        </w:rPr>
      </w:r>
    </w:p>
    <w:p>
      <w:pPr>
        <w:pStyle w:val="Normal"/>
        <w:widowControl/>
        <w:numPr>
          <w:ilvl w:val="0"/>
          <w:numId w:val="14"/>
        </w:numPr>
        <w:suppressAutoHyphens w:val="true"/>
        <w:jc w:val="both"/>
        <w:rPr>
          <w:lang w:val="en-GB"/>
        </w:rPr>
      </w:pPr>
      <w:r>
        <w:rPr>
          <w:lang w:val="en-GB"/>
        </w:rPr>
        <w:t>if they fail to resolve the dispute by 1.00pm, London time, on the Banking Day following the date on which the notice (the "</w:t>
      </w:r>
      <w:r>
        <w:rPr>
          <w:b/>
          <w:lang w:val="en-GB"/>
        </w:rPr>
        <w:t>Resolution Time</w:t>
      </w:r>
      <w:r>
        <w:rPr>
          <w:lang w:val="en-GB"/>
        </w:rPr>
        <w:t>") is given that gives rise to a dispute under this Clause, then:</w:t>
      </w:r>
    </w:p>
    <w:p>
      <w:pPr>
        <w:pStyle w:val="Normal"/>
        <w:widowControl/>
        <w:spacing w:lineRule="atLeast" w:line="240"/>
        <w:ind w:hanging="993" w:start="1986" w:end="0"/>
        <w:rPr>
          <w:lang w:val="en-GB"/>
        </w:rPr>
      </w:pPr>
      <w:r>
        <w:rPr>
          <w:lang w:val="en-GB"/>
        </w:rPr>
      </w:r>
    </w:p>
    <w:p>
      <w:pPr>
        <w:pStyle w:val="Normal"/>
        <w:widowControl/>
        <w:spacing w:lineRule="atLeast" w:line="240"/>
        <w:ind w:hanging="709" w:start="2127" w:end="0"/>
        <w:rPr/>
      </w:pPr>
      <w:r>
        <w:rPr>
          <w:lang w:val="en-GB"/>
        </w:rPr>
        <w:t>(i)</w:t>
        <w:tab/>
        <w:t>in the case of a dispute involving Exposure, the Transferee will recalculate the Exposure and the Value as of the Recalculation Date by:</w:t>
      </w:r>
    </w:p>
    <w:p>
      <w:pPr>
        <w:pStyle w:val="Normal"/>
        <w:widowControl/>
        <w:spacing w:lineRule="atLeast" w:line="240"/>
        <w:ind w:hanging="993" w:start="2979" w:end="0"/>
        <w:rPr>
          <w:lang w:val="en-GB"/>
        </w:rPr>
      </w:pPr>
      <w:r>
        <w:rPr>
          <w:lang w:val="en-GB"/>
        </w:rPr>
      </w:r>
    </w:p>
    <w:p>
      <w:pPr>
        <w:pStyle w:val="Normal"/>
        <w:widowControl/>
        <w:numPr>
          <w:ilvl w:val="0"/>
          <w:numId w:val="10"/>
        </w:numPr>
        <w:spacing w:lineRule="atLeast" w:line="240"/>
        <w:rPr>
          <w:lang w:val="en-GB"/>
        </w:rPr>
      </w:pPr>
      <w:r>
        <w:rPr>
          <w:lang w:val="en-GB"/>
        </w:rPr>
        <w:t>utilising any calculations of that part of the Exposure attributable to the Transactions that the parties have agreed are not in dispute;</w:t>
      </w:r>
    </w:p>
    <w:p>
      <w:pPr>
        <w:pStyle w:val="Normal"/>
        <w:widowControl/>
        <w:spacing w:lineRule="atLeast" w:line="240"/>
        <w:rPr>
          <w:lang w:val="en-GB"/>
        </w:rPr>
      </w:pPr>
      <w:r>
        <w:rPr>
          <w:lang w:val="en-GB"/>
        </w:rPr>
      </w:r>
    </w:p>
    <w:p>
      <w:pPr>
        <w:pStyle w:val="Normal"/>
        <w:widowControl/>
        <w:numPr>
          <w:ilvl w:val="0"/>
          <w:numId w:val="10"/>
        </w:numPr>
        <w:spacing w:lineRule="atLeast" w:line="240"/>
        <w:rPr>
          <w:lang w:val="en-GB"/>
        </w:rPr>
      </w:pPr>
      <w:r>
        <w:rPr>
          <w:lang w:val="en-GB"/>
        </w:rPr>
        <w:t xml:space="preserve">calculating that part of the Exposure attributable to the Transactions in dispute by seeking four actual quotations at mid-market from Reference Market-makers for purposes of calculating Market Quotation, and taking the arithmetic average of those obtained; </w:t>
      </w:r>
      <w:r>
        <w:rPr>
          <w:i/>
          <w:lang w:val="en-GB"/>
        </w:rPr>
        <w:t>provided</w:t>
      </w:r>
      <w:r>
        <w:rPr>
          <w:lang w:val="en-GB"/>
        </w:rPr>
        <w:t xml:space="preserve"> that if four quotations are not available for a particular Transaction, then fewer than four quotations may be used for that Transaction, and if no quotations are available for a particular Transaction, then the Transferee's original calculations will be used for the Transaction; and</w:t>
      </w:r>
    </w:p>
    <w:p>
      <w:pPr>
        <w:pStyle w:val="Normal"/>
        <w:widowControl/>
        <w:spacing w:lineRule="atLeast" w:line="240"/>
        <w:rPr>
          <w:lang w:val="en-GB"/>
        </w:rPr>
      </w:pPr>
      <w:r>
        <w:rPr>
          <w:lang w:val="en-GB"/>
        </w:rPr>
      </w:r>
    </w:p>
    <w:p>
      <w:pPr>
        <w:pStyle w:val="Normal"/>
        <w:widowControl/>
        <w:numPr>
          <w:ilvl w:val="0"/>
          <w:numId w:val="10"/>
        </w:numPr>
        <w:spacing w:lineRule="atLeast" w:line="240"/>
        <w:rPr>
          <w:lang w:val="en-GB"/>
        </w:rPr>
      </w:pPr>
      <w:r>
        <w:rPr>
          <w:lang w:val="en-GB"/>
        </w:rPr>
        <w:t>following the procedure with respect to the value of any Credit Support Balance that the value of a Letter of Credit shall be the stated amount under a Letter of Credit then available to be unconditionally drawn by the Transferee;</w:t>
      </w:r>
    </w:p>
    <w:p>
      <w:pPr>
        <w:pStyle w:val="Normal"/>
        <w:widowControl/>
        <w:spacing w:lineRule="atLeast" w:line="240"/>
        <w:ind w:hanging="993" w:start="3972" w:end="0"/>
        <w:rPr>
          <w:lang w:val="en-GB"/>
        </w:rPr>
      </w:pPr>
      <w:r>
        <w:rPr>
          <w:lang w:val="en-GB"/>
        </w:rPr>
      </w:r>
    </w:p>
    <w:p>
      <w:pPr>
        <w:pStyle w:val="Normal"/>
        <w:widowControl/>
        <w:spacing w:lineRule="atLeast" w:line="240"/>
        <w:ind w:hanging="709" w:start="2127" w:end="0"/>
        <w:rPr>
          <w:lang w:val="en-GB"/>
        </w:rPr>
      </w:pPr>
      <w:r>
        <w:rPr>
          <w:lang w:val="en-GB"/>
        </w:rPr>
        <w:t>(ii)</w:t>
        <w:tab/>
        <w:t>in the case of a dispute involving the value of any transfer of Eligible Credit Support, the Transferee will recalculate the value as of the date of transfer pursuant to Clause 7.1(d)(i)(C).</w:t>
      </w:r>
    </w:p>
    <w:p>
      <w:pPr>
        <w:pStyle w:val="Normal"/>
        <w:widowControl/>
        <w:spacing w:lineRule="atLeast" w:line="240"/>
        <w:ind w:hanging="993" w:start="2979" w:end="0"/>
        <w:rPr>
          <w:lang w:val="en-GB"/>
        </w:rPr>
      </w:pPr>
      <w:r>
        <w:rPr>
          <w:lang w:val="en-GB"/>
        </w:rPr>
      </w:r>
    </w:p>
    <w:p>
      <w:pPr>
        <w:pStyle w:val="Normal"/>
        <w:widowControl/>
        <w:suppressAutoHyphens w:val="true"/>
        <w:ind w:start="709" w:end="0"/>
        <w:jc w:val="both"/>
        <w:rPr>
          <w:lang w:val="en-GB"/>
        </w:rPr>
      </w:pPr>
      <w:r>
        <w:rPr>
          <w:lang w:val="en-GB"/>
        </w:rPr>
        <w:t>Following a recalculation pursuant to this Clause 7.1, the Transferee will notify the other party as soon as possible but in any event not later than 1.00pm London time on the Banking Day following the Resolution Time.  The appropriate party will, upon demand following such notice given by the Transferee or a resolution pursuant to 5.1(c) above and make the appropriate transfer.</w:t>
      </w:r>
    </w:p>
    <w:p>
      <w:pPr>
        <w:pStyle w:val="Normal"/>
        <w:widowControl/>
        <w:suppressAutoHyphens w:val="true"/>
        <w:ind w:start="709" w:end="0"/>
        <w:jc w:val="both"/>
        <w:rPr>
          <w:lang w:val="en-GB"/>
        </w:rPr>
      </w:pPr>
      <w:r>
        <w:rPr>
          <w:lang w:val="en-GB"/>
        </w:rPr>
      </w:r>
    </w:p>
    <w:p>
      <w:pPr>
        <w:pStyle w:val="Normal"/>
        <w:widowControl/>
        <w:jc w:val="both"/>
        <w:rPr>
          <w:lang w:val="en-GB"/>
        </w:rPr>
      </w:pPr>
      <w:r>
        <w:rPr>
          <w:lang w:val="en-GB"/>
        </w:rPr>
        <w:t>7.2</w:t>
        <w:tab/>
      </w:r>
      <w:r>
        <w:rPr>
          <w:b/>
          <w:lang w:val="en-GB"/>
        </w:rPr>
        <w:t>No Event of Default</w:t>
      </w:r>
      <w:r>
        <w:rPr>
          <w:b/>
          <w:i/>
          <w:lang w:val="en-GB"/>
        </w:rPr>
        <w:t xml:space="preserve">  </w:t>
      </w:r>
    </w:p>
    <w:p>
      <w:pPr>
        <w:pStyle w:val="Normal"/>
        <w:widowControl/>
        <w:ind w:start="709" w:end="0"/>
        <w:jc w:val="both"/>
        <w:rPr>
          <w:lang w:val="en-GB"/>
        </w:rPr>
      </w:pPr>
      <w:r>
        <w:rPr>
          <w:lang w:val="en-GB"/>
        </w:rPr>
      </w:r>
    </w:p>
    <w:p>
      <w:pPr>
        <w:pStyle w:val="Normal"/>
        <w:widowControl/>
        <w:ind w:start="709" w:end="0"/>
        <w:jc w:val="both"/>
        <w:rPr/>
      </w:pPr>
      <w:r>
        <w:rPr>
          <w:lang w:val="en-GB"/>
        </w:rPr>
        <w:t>The failure by a party to make a transfer of any amount which is the subject of a dispute to which Clause 7.1 applies will not constitute an Event of Default for as long as the procedures set out in this Clause 7 are being carried out.  For the avoidance of doubt, upon completion of those procedures, Clause 2.1.3 of this Agreement will apply to any failure by a party to make a transfer required under Clause 5.1 on the relevant due date.</w:t>
      </w:r>
    </w:p>
    <w:p>
      <w:pPr>
        <w:pStyle w:val="Normal"/>
        <w:widowControl/>
        <w:jc w:val="both"/>
        <w:rPr>
          <w:lang w:val="en-GB"/>
        </w:rPr>
      </w:pPr>
      <w:r>
        <w:rPr>
          <w:lang w:val="en-GB"/>
        </w:rPr>
      </w:r>
    </w:p>
    <w:p>
      <w:pPr>
        <w:pStyle w:val="Normal"/>
        <w:widowControl/>
        <w:jc w:val="center"/>
        <w:rPr>
          <w:lang w:val="en-GB"/>
        </w:rPr>
      </w:pPr>
      <w:r>
        <w:rPr>
          <w:b/>
          <w:lang w:val="en-GB"/>
        </w:rPr>
        <w:t>§8</w:t>
      </w:r>
    </w:p>
    <w:p>
      <w:pPr>
        <w:pStyle w:val="Normal"/>
        <w:widowControl/>
        <w:jc w:val="both"/>
        <w:rPr>
          <w:lang w:val="en-GB"/>
        </w:rPr>
      </w:pPr>
      <w:r>
        <w:rPr>
          <w:lang w:val="en-GB"/>
        </w:rPr>
      </w:r>
    </w:p>
    <w:p>
      <w:pPr>
        <w:pStyle w:val="Normal"/>
        <w:widowControl/>
        <w:jc w:val="center"/>
        <w:rPr>
          <w:b/>
          <w:u w:val="single"/>
          <w:lang w:val="en-GB"/>
        </w:rPr>
      </w:pPr>
      <w:r>
        <w:rPr>
          <w:b/>
          <w:u w:val="single"/>
          <w:lang w:val="en-GB"/>
        </w:rPr>
        <w:t>Representations</w:t>
      </w:r>
    </w:p>
    <w:p>
      <w:pPr>
        <w:pStyle w:val="Normal"/>
        <w:tabs>
          <w:tab w:val="clear" w:pos="709"/>
          <w:tab w:val="left" w:pos="360" w:leader="none"/>
        </w:tabs>
        <w:rPr>
          <w:b/>
          <w:u w:val="single"/>
          <w:lang w:val="en-GB"/>
        </w:rPr>
      </w:pPr>
      <w:r>
        <w:rPr>
          <w:b/>
          <w:u w:val="single"/>
          <w:lang w:val="en-GB"/>
        </w:rPr>
      </w:r>
    </w:p>
    <w:p>
      <w:pPr>
        <w:pStyle w:val="Normal"/>
        <w:tabs>
          <w:tab w:val="clear" w:pos="709"/>
          <w:tab w:val="left" w:pos="360" w:leader="none"/>
        </w:tabs>
        <w:ind w:hanging="709" w:start="709" w:end="0"/>
        <w:rPr/>
      </w:pPr>
      <w:r>
        <w:rPr>
          <w:lang w:val="en-GB"/>
        </w:rPr>
        <w:t>8.1</w:t>
        <w:tab/>
        <w:tab/>
      </w:r>
      <w:r>
        <w:rPr>
          <w:b/>
          <w:lang w:val="en-GB"/>
        </w:rPr>
        <w:t xml:space="preserve">General representations </w:t>
      </w:r>
      <w:r>
        <w:rPr>
          <w:lang w:val="en-GB"/>
        </w:rPr>
        <w:t xml:space="preserve">Each of the parties represents and warrants to the other (which representations will be deemed to be repeated by each party on each date on which a Transaction is entered into) that </w:t>
      </w:r>
    </w:p>
    <w:p>
      <w:pPr>
        <w:pStyle w:val="Normal"/>
        <w:tabs>
          <w:tab w:val="clear" w:pos="709"/>
          <w:tab w:val="left" w:pos="360" w:leader="none"/>
        </w:tabs>
        <w:rPr>
          <w:lang w:val="en-GB"/>
        </w:rPr>
      </w:pPr>
      <w:r>
        <w:rPr>
          <w:lang w:val="en-GB"/>
        </w:rPr>
      </w:r>
    </w:p>
    <w:p>
      <w:pPr>
        <w:pStyle w:val="Normal"/>
        <w:tabs>
          <w:tab w:val="clear" w:pos="709"/>
          <w:tab w:val="left" w:pos="360" w:leader="none"/>
        </w:tabs>
        <w:ind w:hanging="709" w:start="1418" w:end="0"/>
        <w:rPr>
          <w:lang w:val="en-GB"/>
        </w:rPr>
      </w:pPr>
      <w:r>
        <w:rPr>
          <w:lang w:val="en-GB"/>
        </w:rPr>
        <w:t>(a)</w:t>
        <w:tab/>
        <w:t xml:space="preserve">it is duly organised and validly existing under the laws of the jurisdiction of its organisation or incorporation; </w:t>
      </w:r>
    </w:p>
    <w:p>
      <w:pPr>
        <w:pStyle w:val="Normal"/>
        <w:tabs>
          <w:tab w:val="clear" w:pos="709"/>
          <w:tab w:val="left" w:pos="360" w:leader="none"/>
        </w:tabs>
        <w:ind w:hanging="709" w:start="1418" w:end="0"/>
        <w:rPr>
          <w:lang w:val="en-GB"/>
        </w:rPr>
      </w:pPr>
      <w:r>
        <w:rPr>
          <w:lang w:val="en-GB"/>
        </w:rPr>
        <w:tab/>
      </w:r>
    </w:p>
    <w:p>
      <w:pPr>
        <w:pStyle w:val="Normal"/>
        <w:tabs>
          <w:tab w:val="clear" w:pos="709"/>
          <w:tab w:val="left" w:pos="360" w:leader="none"/>
        </w:tabs>
        <w:ind w:hanging="709" w:start="1418" w:end="0"/>
        <w:rPr/>
      </w:pPr>
      <w:r>
        <w:rPr>
          <w:lang w:val="en-GB"/>
        </w:rPr>
        <w:t xml:space="preserve">(b) </w:t>
        <w:tab/>
        <w:t xml:space="preserve">it has the power to execute this Agreement and any other documentation relating to this Agreement to which it is a party, to deliver this Agreement and any other documentation relating to this Agreement that it is required by this Agreement to deliver and to perform its obligations under this Agreement, and has taken all necessary action to authorise such execution, delivery and performance; and </w:t>
      </w:r>
    </w:p>
    <w:p>
      <w:pPr>
        <w:pStyle w:val="Normal"/>
        <w:tabs>
          <w:tab w:val="clear" w:pos="709"/>
          <w:tab w:val="left" w:pos="360" w:leader="none"/>
        </w:tabs>
        <w:ind w:hanging="709" w:start="1418" w:end="0"/>
        <w:rPr>
          <w:lang w:val="en-GB"/>
        </w:rPr>
      </w:pPr>
      <w:r>
        <w:rPr>
          <w:lang w:val="en-GB"/>
        </w:rPr>
      </w:r>
    </w:p>
    <w:p>
      <w:pPr>
        <w:pStyle w:val="Normal"/>
        <w:tabs>
          <w:tab w:val="clear" w:pos="709"/>
          <w:tab w:val="left" w:pos="360" w:leader="none"/>
        </w:tabs>
        <w:ind w:hanging="709" w:start="1418" w:end="0"/>
        <w:rPr/>
      </w:pPr>
      <w:r>
        <w:rPr>
          <w:lang w:val="en-GB"/>
        </w:rPr>
        <w:t xml:space="preserve">(c) </w:t>
        <w:tab/>
        <w:t>this Agreement represents its legal, valid, and binding obligations, enforceable against it in accordance with the terms of this Agreement, subject to applicable bankruptcy, reorganisation, insolvency, conservatorship, receivership, moratorium or other similar laws affecting creditors' rights generally and subject, as to enforceability, to equitable principles of general applications (regardless of whether enforcement is sought in a proceeding in equity or at law);</w:t>
      </w:r>
    </w:p>
    <w:p>
      <w:pPr>
        <w:pStyle w:val="Normal"/>
        <w:tabs>
          <w:tab w:val="clear" w:pos="709"/>
          <w:tab w:val="left" w:pos="360" w:leader="none"/>
        </w:tabs>
        <w:ind w:hanging="709" w:start="1418" w:end="0"/>
        <w:rPr>
          <w:lang w:val="en-GB"/>
        </w:rPr>
      </w:pPr>
      <w:r>
        <w:rPr>
          <w:lang w:val="en-GB"/>
        </w:rPr>
      </w:r>
    </w:p>
    <w:p>
      <w:pPr>
        <w:pStyle w:val="Normal"/>
        <w:tabs>
          <w:tab w:val="clear" w:pos="709"/>
          <w:tab w:val="left" w:pos="360" w:leader="none"/>
        </w:tabs>
        <w:ind w:hanging="709" w:start="1418" w:end="0"/>
        <w:rPr>
          <w:lang w:val="en-GB"/>
        </w:rPr>
      </w:pPr>
      <w:r>
        <w:rPr>
          <w:lang w:val="en-GB"/>
        </w:rPr>
        <w:t xml:space="preserve">[(d) </w:t>
        <w:tab/>
        <w:t>it is entering into this Agreement and each Transaction as principal (and not as agent or in any other capacity, fiduciary or otherwise);]</w:t>
      </w:r>
    </w:p>
    <w:p>
      <w:pPr>
        <w:pStyle w:val="Normal"/>
        <w:tabs>
          <w:tab w:val="clear" w:pos="709"/>
          <w:tab w:val="left" w:pos="360" w:leader="none"/>
        </w:tabs>
        <w:ind w:hanging="709" w:start="1418" w:end="0"/>
        <w:rPr>
          <w:lang w:val="en-GB"/>
        </w:rPr>
      </w:pPr>
      <w:r>
        <w:rPr>
          <w:lang w:val="en-GB"/>
        </w:rPr>
      </w:r>
    </w:p>
    <w:p>
      <w:pPr>
        <w:pStyle w:val="Normal"/>
        <w:tabs>
          <w:tab w:val="clear" w:pos="709"/>
          <w:tab w:val="left" w:pos="720" w:leader="none"/>
        </w:tabs>
        <w:ind w:hanging="709" w:start="1418" w:end="0"/>
        <w:rPr/>
      </w:pPr>
      <w:r>
        <w:rPr>
          <w:lang w:val="en-GB"/>
        </w:rPr>
        <w:t xml:space="preserve">(e) </w:t>
        <w:tab/>
        <w:t>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Underlying Netting Agreement to any person other than the other party to that Underlying Netting Agreement, and covenants that, so long as this Agreement is in effect, it will not assign, transfer, create or permit to exist any lien or other encumbrance on, or otherwise dispose of or purport to assign, transfer, create or permit to exist any lien or other encumbrance on, or otherwise dispose of, any of its rights to any amounts that may be owed to it under any Underlying Netting Agreement to any person other than the other party to that Underlying Netting  Agreement.</w:t>
      </w:r>
    </w:p>
    <w:p>
      <w:pPr>
        <w:pStyle w:val="Normal"/>
        <w:tabs>
          <w:tab w:val="clear" w:pos="709"/>
          <w:tab w:val="left" w:pos="720" w:leader="none"/>
        </w:tabs>
        <w:ind w:hanging="360" w:start="360" w:end="0"/>
        <w:rPr>
          <w:lang w:val="en-GB"/>
        </w:rPr>
      </w:pPr>
      <w:r>
        <w:rPr>
          <w:lang w:val="en-GB"/>
        </w:rPr>
      </w:r>
    </w:p>
    <w:p>
      <w:pPr>
        <w:pStyle w:val="Normal"/>
        <w:tabs>
          <w:tab w:val="clear" w:pos="709"/>
          <w:tab w:val="left" w:pos="720" w:leader="none"/>
        </w:tabs>
        <w:ind w:hanging="360" w:start="360" w:end="0"/>
        <w:rPr/>
      </w:pPr>
      <w:r>
        <w:rPr>
          <w:lang w:val="en-GB"/>
        </w:rPr>
        <w:t xml:space="preserve">8.2 </w:t>
        <w:tab/>
      </w:r>
      <w:r>
        <w:rPr>
          <w:b/>
          <w:lang w:val="en-GB"/>
        </w:rPr>
        <w:t>Eligible Credit Support representation</w:t>
      </w:r>
    </w:p>
    <w:p>
      <w:pPr>
        <w:pStyle w:val="Normal"/>
        <w:tabs>
          <w:tab w:val="clear" w:pos="709"/>
          <w:tab w:val="left" w:pos="720" w:leader="none"/>
        </w:tabs>
        <w:ind w:hanging="360" w:start="360" w:end="0"/>
        <w:rPr>
          <w:b/>
          <w:lang w:val="en-GB"/>
        </w:rPr>
      </w:pPr>
      <w:r>
        <w:rPr>
          <w:b/>
          <w:lang w:val="en-GB"/>
        </w:rPr>
      </w:r>
    </w:p>
    <w:p>
      <w:pPr>
        <w:pStyle w:val="Normal"/>
        <w:widowControl/>
        <w:suppressAutoHyphens w:val="true"/>
        <w:ind w:start="709" w:end="0"/>
        <w:jc w:val="both"/>
        <w:rPr/>
      </w:pPr>
      <w:r>
        <w:rPr>
          <w:color w:val="000000"/>
          <w:lang w:val="en-GB"/>
        </w:rPr>
        <w:t>Each party represents to the other party (which representation will be deemed to be repeated as of each date on which it transfers Eligible Credit Support (other than a Letter of Credit)</w:t>
      </w:r>
      <w:r>
        <w:rPr>
          <w:lang w:val="en-GB"/>
        </w:rPr>
        <w:t>) that it is the sole owner of or otherwise has the right to transfer all Eligible Credit Support (other than a Letter of Credit) it transfers to the other party under this Netting Agreement, free and clear of any security interest, lien, encumbrance or other restriction (other than a lien routinely imposed on all securities in a relevant clearance system).</w:t>
      </w:r>
    </w:p>
    <w:p>
      <w:pPr>
        <w:pStyle w:val="Normal"/>
        <w:keepNext w:val="true"/>
        <w:widowControl/>
        <w:suppressAutoHyphens w:val="true"/>
        <w:jc w:val="both"/>
        <w:rPr>
          <w:b/>
          <w:lang w:val="en-GB"/>
        </w:rPr>
      </w:pPr>
      <w:r>
        <w:rPr>
          <w:b/>
          <w:lang w:val="en-GB"/>
        </w:rPr>
      </w:r>
    </w:p>
    <w:p>
      <w:pPr>
        <w:pStyle w:val="Header"/>
        <w:keepNext w:val="true"/>
        <w:widowControl/>
        <w:tabs>
          <w:tab w:val="clear" w:pos="4536"/>
          <w:tab w:val="clear" w:pos="9072"/>
        </w:tabs>
        <w:suppressAutoHyphens w:val="true"/>
        <w:rPr>
          <w:b/>
          <w:lang w:val="en-GB"/>
        </w:rPr>
      </w:pPr>
      <w:r>
        <w:rPr>
          <w:b/>
          <w:lang w:val="en-GB"/>
        </w:rPr>
      </w:r>
    </w:p>
    <w:p>
      <w:pPr>
        <w:pStyle w:val="Header"/>
        <w:keepNext w:val="true"/>
        <w:widowControl/>
        <w:tabs>
          <w:tab w:val="clear" w:pos="4536"/>
          <w:tab w:val="clear" w:pos="9072"/>
        </w:tabs>
        <w:suppressAutoHyphens w:val="true"/>
        <w:jc w:val="center"/>
        <w:rPr>
          <w:b/>
          <w:lang w:val="en-GB"/>
        </w:rPr>
      </w:pPr>
      <w:r>
        <w:rPr>
          <w:b/>
          <w:lang w:val="en-GB"/>
        </w:rPr>
        <w:t>§ 9</w:t>
      </w:r>
    </w:p>
    <w:p>
      <w:pPr>
        <w:pStyle w:val="Header"/>
        <w:keepNext w:val="true"/>
        <w:widowControl/>
        <w:tabs>
          <w:tab w:val="clear" w:pos="4536"/>
          <w:tab w:val="clear" w:pos="9072"/>
        </w:tabs>
        <w:suppressAutoHyphens w:val="true"/>
        <w:rPr>
          <w:b/>
          <w:lang w:val="en-GB"/>
        </w:rPr>
      </w:pPr>
      <w:r>
        <w:rPr>
          <w:b/>
          <w:lang w:val="en-GB"/>
        </w:rPr>
      </w:r>
    </w:p>
    <w:p>
      <w:pPr>
        <w:pStyle w:val="Normal"/>
        <w:spacing w:before="120" w:after="60"/>
        <w:jc w:val="center"/>
        <w:rPr>
          <w:u w:val="single"/>
          <w:lang w:val="en-GB"/>
        </w:rPr>
      </w:pPr>
      <w:r>
        <w:rPr>
          <w:b/>
          <w:u w:val="single"/>
          <w:lang w:val="en-GB"/>
        </w:rPr>
        <w:t>General</w:t>
      </w:r>
    </w:p>
    <w:p>
      <w:pPr>
        <w:pStyle w:val="Normal"/>
        <w:spacing w:before="120" w:after="60"/>
        <w:ind w:hanging="709" w:start="709" w:end="0"/>
        <w:jc w:val="both"/>
        <w:rPr/>
      </w:pPr>
      <w:r>
        <w:rPr>
          <w:lang w:val="en-GB"/>
        </w:rPr>
        <w:t>9.1</w:t>
        <w:tab/>
        <w:t>The waiver or forbearance or failure of a party in insisting in any one or more instances upon the performance of any provisions of this Agreement shall not be construed as a waiver of or relinquishment of that party's rights to future performance or such provisions and the other party's obligation in respect of such future performance shall continue in full force and effect.</w:t>
      </w:r>
    </w:p>
    <w:p>
      <w:pPr>
        <w:pStyle w:val="Normal"/>
        <w:spacing w:before="120" w:after="60"/>
        <w:ind w:hanging="709" w:start="709" w:end="0"/>
        <w:jc w:val="both"/>
        <w:rPr>
          <w:lang w:val="en-GB"/>
        </w:rPr>
      </w:pPr>
      <w:r>
        <w:rPr>
          <w:lang w:val="en-GB"/>
        </w:rPr>
        <w:t>9.2</w:t>
        <w:tab/>
        <w:t>The rights and remedies in this Agreement are cumulative and not exclusive of any rights or remedies provided by law.</w:t>
      </w:r>
    </w:p>
    <w:p>
      <w:pPr>
        <w:pStyle w:val="Normal"/>
        <w:spacing w:before="120" w:after="60"/>
        <w:ind w:hanging="709" w:start="709" w:end="0"/>
        <w:jc w:val="both"/>
        <w:rPr/>
      </w:pPr>
      <w:r>
        <w:rPr>
          <w:lang w:val="en-GB"/>
        </w:rPr>
        <w:t>9.3</w:t>
        <w:tab/>
        <w:t>Neither party may assign the rights or transfer or sub-contract the performance of any obligations under this Agreement (whether in whole or in part) without the prior written consent of the other party, such consent not to be unreasonably withheld.</w:t>
      </w:r>
    </w:p>
    <w:p>
      <w:pPr>
        <w:pStyle w:val="Normal"/>
        <w:spacing w:before="120" w:after="60"/>
        <w:ind w:hanging="709" w:start="709" w:end="0"/>
        <w:jc w:val="both"/>
        <w:rPr>
          <w:lang w:val="en-GB"/>
        </w:rPr>
      </w:pPr>
      <w:r>
        <w:rPr>
          <w:color w:val="000000"/>
          <w:lang w:val="en-GB"/>
        </w:rPr>
        <w:t>9.4</w:t>
        <w:tab/>
        <w:t>No variation to the provisions of this Agreement shall be valid unless it is in writing and signed by an authorised representative of each Party.</w:t>
      </w:r>
    </w:p>
    <w:p>
      <w:pPr>
        <w:pStyle w:val="Normal"/>
        <w:spacing w:before="120" w:after="60"/>
        <w:ind w:hanging="709" w:start="709" w:end="0"/>
        <w:jc w:val="both"/>
        <w:rPr>
          <w:color w:val="000000"/>
          <w:lang w:val="en-GB"/>
        </w:rPr>
      </w:pPr>
      <w:r>
        <w:rPr>
          <w:color w:val="000000"/>
          <w:lang w:val="en-GB"/>
        </w:rPr>
        <w:t>9.5</w:t>
        <w:tab/>
        <w:t xml:space="preserve">Any notice or other communication to be given or made in respect of this Agreement by one party to the other shall be given or made in writing to the other at that party's principal place of business or registered office or to such other address or contact number as that party shall notify to the other from time to time and may be given in the following ways and shall be deemed to have been received: </w:t>
      </w:r>
    </w:p>
    <w:p>
      <w:pPr>
        <w:pStyle w:val="Normal"/>
        <w:numPr>
          <w:ilvl w:val="0"/>
          <w:numId w:val="12"/>
        </w:numPr>
        <w:spacing w:before="120" w:after="60"/>
        <w:jc w:val="both"/>
        <w:rPr>
          <w:lang w:val="en-GB"/>
        </w:rPr>
      </w:pPr>
      <w:r>
        <w:rPr>
          <w:lang w:val="en-GB"/>
        </w:rPr>
        <w:t>if delivered by hand, on the Banking Day delivered or on the first Banking Day following the date of delivery if delivered on a day other than a Banking Day;</w:t>
      </w:r>
    </w:p>
    <w:p>
      <w:pPr>
        <w:pStyle w:val="Normal"/>
        <w:numPr>
          <w:ilvl w:val="0"/>
          <w:numId w:val="12"/>
        </w:numPr>
        <w:spacing w:before="120" w:after="60"/>
        <w:jc w:val="both"/>
        <w:rPr>
          <w:lang w:val="en-GB"/>
        </w:rPr>
      </w:pPr>
      <w:r>
        <w:rPr>
          <w:lang w:val="en-GB"/>
        </w:rPr>
        <w:t>if sent by first class post, on the second Banking Day after the day of posting or, if sent from outside the United Kingdom on the fifth banking Day following the day of posting;</w:t>
      </w:r>
    </w:p>
    <w:p>
      <w:pPr>
        <w:pStyle w:val="Normal"/>
        <w:numPr>
          <w:ilvl w:val="0"/>
          <w:numId w:val="12"/>
        </w:numPr>
        <w:spacing w:before="120" w:after="60"/>
        <w:jc w:val="both"/>
        <w:rPr>
          <w:lang w:val="en-GB"/>
        </w:rPr>
      </w:pPr>
      <w:r>
        <w:rPr>
          <w:lang w:val="en-GB"/>
        </w:rPr>
        <w:t>in the case of facsimile transmission, on the day of transmission if that day is a Banking Day or on the first Banking Day after transmission if that day is not a Banking Day and provided that a valid transmission report confirming good receipt is generated;</w:t>
      </w:r>
    </w:p>
    <w:p>
      <w:pPr>
        <w:pStyle w:val="Normal"/>
        <w:spacing w:before="120" w:after="60"/>
        <w:ind w:start="720" w:end="0"/>
        <w:jc w:val="both"/>
        <w:rPr/>
      </w:pPr>
      <w:r>
        <w:rPr>
          <w:lang w:val="en-GB"/>
        </w:rPr>
        <w:t xml:space="preserve">Where a notice is sent by facsimile, the party giving the notice shall, but without prejudice to Clause </w:t>
      </w:r>
      <w:r>
        <w:rPr>
          <w:rFonts w:cs="Times New Roman" w:ascii="Times New Roman" w:hAnsi="Times New Roman"/>
          <w:lang w:val="en-GB"/>
        </w:rPr>
        <w:t>7.5(c)</w:t>
      </w:r>
      <w:r>
        <w:rPr>
          <w:lang w:val="en-GB"/>
        </w:rPr>
        <w:t xml:space="preserve"> if so requested by the other Party, resend the notice as soon as reasonably practicable by facsimile.</w:t>
      </w:r>
    </w:p>
    <w:p>
      <w:pPr>
        <w:pStyle w:val="Normal"/>
        <w:spacing w:before="120" w:after="60"/>
        <w:ind w:start="720" w:end="0"/>
        <w:jc w:val="both"/>
        <w:rPr>
          <w:lang w:val="en-GB"/>
        </w:rPr>
      </w:pPr>
      <w:r>
        <w:rPr>
          <w:lang w:val="en-GB"/>
        </w:rPr>
      </w:r>
    </w:p>
    <w:p>
      <w:pPr>
        <w:pStyle w:val="Header"/>
        <w:keepNext w:val="true"/>
        <w:widowControl/>
        <w:tabs>
          <w:tab w:val="clear" w:pos="4536"/>
          <w:tab w:val="clear" w:pos="9072"/>
        </w:tabs>
        <w:suppressAutoHyphens w:val="true"/>
        <w:jc w:val="center"/>
        <w:rPr>
          <w:lang w:val="en-GB"/>
        </w:rPr>
      </w:pPr>
      <w:r>
        <w:rPr>
          <w:b/>
          <w:lang w:val="en-GB"/>
        </w:rPr>
        <w:t>§ 11</w:t>
      </w:r>
    </w:p>
    <w:p>
      <w:pPr>
        <w:pStyle w:val="Heading1"/>
        <w:widowControl/>
        <w:suppressAutoHyphens w:val="true"/>
        <w:ind w:hanging="0" w:start="0"/>
        <w:rPr>
          <w:lang w:val="en-GB"/>
        </w:rPr>
      </w:pPr>
      <w:r>
        <w:rPr>
          <w:lang w:val="en-GB"/>
        </w:rPr>
        <w:t>Governing Law</w:t>
      </w:r>
    </w:p>
    <w:p>
      <w:pPr>
        <w:pStyle w:val="Normal"/>
        <w:keepNext w:val="true"/>
        <w:widowControl/>
        <w:suppressAutoHyphens w:val="true"/>
        <w:jc w:val="both"/>
        <w:rPr>
          <w:lang w:val="en-GB"/>
        </w:rPr>
      </w:pPr>
      <w:r>
        <w:rPr>
          <w:lang w:val="en-GB"/>
        </w:rPr>
      </w:r>
    </w:p>
    <w:p>
      <w:pPr>
        <w:pStyle w:val="BodyText2"/>
        <w:keepNext w:val="true"/>
        <w:tabs>
          <w:tab w:val="clear" w:pos="705"/>
        </w:tabs>
        <w:suppressAutoHyphens w:val="true"/>
        <w:ind w:hanging="709" w:start="709" w:end="0"/>
        <w:rPr/>
      </w:pPr>
      <w:r>
        <w:rPr/>
        <w:t>10.1</w:t>
        <w:tab/>
        <w:t xml:space="preserve">All disputes and differences which may arise from time to time under or in connection with agreement shall be referred to the exclusive jurisdiction of the High Court in London and this agreement shall be governed by and construed in accordance with the laws of England.  </w:t>
      </w:r>
    </w:p>
    <w:p>
      <w:pPr>
        <w:pStyle w:val="BodyText2"/>
        <w:keepNext w:val="true"/>
        <w:tabs>
          <w:tab w:val="clear" w:pos="705"/>
        </w:tabs>
        <w:suppressAutoHyphens w:val="true"/>
        <w:rPr/>
      </w:pPr>
      <w:r>
        <w:rPr/>
      </w:r>
    </w:p>
    <w:p>
      <w:pPr>
        <w:pStyle w:val="BodyText2"/>
        <w:keepNext w:val="true"/>
        <w:tabs>
          <w:tab w:val="clear" w:pos="705"/>
        </w:tabs>
        <w:suppressAutoHyphens w:val="true"/>
        <w:ind w:hanging="709" w:start="709" w:end="0"/>
        <w:rPr/>
      </w:pPr>
      <w:r>
        <w:rPr/>
        <w:t>10.2</w:t>
        <w:tab/>
        <w:t>The “United Nations Convention on Contracts for the International Sale of Goods of April 11, 1980 shall not apply to this Agreement.</w:t>
      </w:r>
    </w:p>
    <w:p>
      <w:pPr>
        <w:pStyle w:val="BodyText2"/>
        <w:keepNext w:val="true"/>
        <w:tabs>
          <w:tab w:val="clear" w:pos="705"/>
          <w:tab w:val="left" w:pos="550" w:leader="none"/>
        </w:tabs>
        <w:suppressAutoHyphens w:val="true"/>
        <w:rPr/>
      </w:pPr>
      <w:r>
        <w:rPr/>
      </w:r>
    </w:p>
    <w:p>
      <w:pPr>
        <w:pStyle w:val="BodyText2"/>
        <w:keepNext w:val="true"/>
        <w:tabs>
          <w:tab w:val="clear" w:pos="705"/>
          <w:tab w:val="left" w:pos="550" w:leader="none"/>
        </w:tabs>
        <w:suppressAutoHyphens w:val="true"/>
        <w:ind w:hanging="709" w:start="709" w:end="0"/>
        <w:rPr/>
      </w:pPr>
      <w:r>
        <w:rPr/>
        <w:t>10.3</w:t>
        <w:tab/>
        <w:tab/>
        <w:t>The parties do not intend that any term of this Netting Agreement shall be enforceable solely by virtue of the Contracts (Rights of Third Parties) Act 1999 by any person who is not a party to this Agreement.</w:t>
      </w:r>
    </w:p>
    <w:p>
      <w:pPr>
        <w:pStyle w:val="BodyText2"/>
        <w:keepNext w:val="true"/>
        <w:tabs>
          <w:tab w:val="clear" w:pos="705"/>
          <w:tab w:val="left" w:pos="550" w:leader="none"/>
        </w:tabs>
        <w:suppressAutoHyphens w:val="true"/>
        <w:rPr/>
      </w:pPr>
      <w:r>
        <w:rPr/>
      </w:r>
    </w:p>
    <w:p>
      <w:pPr>
        <w:pStyle w:val="BodyText2"/>
        <w:keepNext w:val="true"/>
        <w:numPr>
          <w:ilvl w:val="2"/>
          <w:numId w:val="18"/>
        </w:numPr>
        <w:tabs>
          <w:tab w:val="left" w:pos="550" w:leader="none"/>
          <w:tab w:val="left" w:pos="705" w:leader="none"/>
        </w:tabs>
        <w:suppressAutoHyphens w:val="true"/>
        <w:rPr/>
      </w:pPr>
      <w:r>
        <w:rPr/>
        <w:t>For the purposes of service of process hereunder RWE appoints as its agent for the purpose of accepting service of process RWE Trading UK Ltd. 130 Wood Street, London EC2V 6DL, England, Attention: Head of Compliance or such other person and/or address in the jurisdiction of the English courts as RWE may appoint from time to time.</w:t>
      </w:r>
    </w:p>
    <w:p>
      <w:pPr>
        <w:pStyle w:val="BodyText2"/>
        <w:keepNext w:val="true"/>
        <w:tabs>
          <w:tab w:val="clear" w:pos="705"/>
          <w:tab w:val="left" w:pos="550" w:leader="none"/>
        </w:tabs>
        <w:suppressAutoHyphens w:val="true"/>
        <w:rPr/>
      </w:pPr>
      <w:r>
        <w:rPr/>
      </w:r>
    </w:p>
    <w:p>
      <w:pPr>
        <w:pStyle w:val="BodyText2"/>
        <w:keepNext w:val="true"/>
        <w:numPr>
          <w:ilvl w:val="2"/>
          <w:numId w:val="18"/>
        </w:numPr>
        <w:tabs>
          <w:tab w:val="left" w:pos="550" w:leader="none"/>
          <w:tab w:val="left" w:pos="705" w:leader="none"/>
        </w:tabs>
        <w:suppressAutoHyphens w:val="true"/>
        <w:rPr/>
      </w:pPr>
      <w:r>
        <w:rPr/>
        <w:t>[</w:t>
      </w:r>
      <w:r>
        <w:rPr>
          <w:b/>
        </w:rPr>
        <w:t>ECTRIC and EFET service of process provisions</w:t>
      </w:r>
      <w:r>
        <w:rPr/>
        <w:t>.]</w:t>
      </w:r>
    </w:p>
    <w:p>
      <w:pPr>
        <w:pStyle w:val="BodyText2"/>
        <w:keepNext w:val="true"/>
        <w:tabs>
          <w:tab w:val="clear" w:pos="705"/>
          <w:tab w:val="left" w:pos="550" w:leader="none"/>
        </w:tabs>
        <w:suppressAutoHyphens w:val="true"/>
        <w:rPr/>
      </w:pPr>
      <w:r>
        <w:rPr/>
      </w:r>
    </w:p>
    <w:p>
      <w:pPr>
        <w:pStyle w:val="BodyText2"/>
        <w:keepNext w:val="true"/>
        <w:tabs>
          <w:tab w:val="clear" w:pos="705"/>
          <w:tab w:val="left" w:pos="550" w:leader="none"/>
        </w:tabs>
        <w:suppressAutoHyphens w:val="true"/>
        <w:rPr/>
      </w:pPr>
      <w:r>
        <w:rPr/>
      </w:r>
    </w:p>
    <w:p>
      <w:pPr>
        <w:pStyle w:val="BodyText2"/>
        <w:keepNext w:val="true"/>
        <w:tabs>
          <w:tab w:val="clear" w:pos="705"/>
          <w:tab w:val="left" w:pos="550" w:leader="none"/>
        </w:tabs>
        <w:suppressAutoHyphens w:val="true"/>
        <w:rPr/>
      </w:pPr>
      <w:r>
        <w:rPr/>
      </w:r>
    </w:p>
    <w:p>
      <w:pPr>
        <w:pStyle w:val="BodyText2"/>
        <w:keepNext w:val="true"/>
        <w:tabs>
          <w:tab w:val="clear" w:pos="705"/>
          <w:tab w:val="left" w:pos="550" w:leader="none"/>
        </w:tabs>
        <w:suppressAutoHyphens w:val="true"/>
        <w:rPr/>
      </w:pPr>
      <w:r>
        <w:rPr/>
      </w:r>
    </w:p>
    <w:p>
      <w:pPr>
        <w:pStyle w:val="BodyText2"/>
        <w:keepNext w:val="true"/>
        <w:tabs>
          <w:tab w:val="clear" w:pos="705"/>
          <w:tab w:val="left" w:pos="550" w:leader="none"/>
        </w:tabs>
        <w:suppressAutoHyphens w:val="true"/>
        <w:rPr/>
      </w:pPr>
      <w:r>
        <w:rPr/>
      </w:r>
      <w:r>
        <w:br w:type="page"/>
      </w:r>
    </w:p>
    <w:p>
      <w:pPr>
        <w:pStyle w:val="BodyText2"/>
        <w:keepNext w:val="true"/>
        <w:tabs>
          <w:tab w:val="clear" w:pos="705"/>
        </w:tabs>
        <w:suppressAutoHyphens w:val="true"/>
        <w:rPr/>
      </w:pPr>
      <w:r>
        <w:rPr/>
        <w:t>In witness whereof the parties duly authorised representatives have executed this agreement  the date and year first above written</w:t>
      </w:r>
    </w:p>
    <w:p>
      <w:pPr>
        <w:pStyle w:val="Normal"/>
        <w:keepNext w:val="true"/>
        <w:widowControl/>
        <w:suppressAutoHyphens w:val="true"/>
        <w:jc w:val="both"/>
        <w:rPr>
          <w:lang w:val="en-GB"/>
        </w:rPr>
      </w:pPr>
      <w:r>
        <w:rPr>
          <w:lang w:val="en-GB"/>
        </w:rPr>
      </w:r>
    </w:p>
    <w:p>
      <w:pPr>
        <w:pStyle w:val="Normal"/>
        <w:keepNext w:val="true"/>
        <w:widowControl/>
        <w:suppressAutoHyphens w:val="true"/>
        <w:jc w:val="both"/>
        <w:rPr>
          <w:lang w:val="en-GB"/>
        </w:rPr>
      </w:pPr>
      <w:r>
        <w:rPr>
          <w:lang w:val="en-GB"/>
        </w:rPr>
      </w:r>
    </w:p>
    <w:tbl>
      <w:tblPr>
        <w:tblW w:w="8188" w:type="dxa"/>
        <w:jc w:val="start"/>
        <w:tblInd w:w="0" w:type="dxa"/>
        <w:tblLayout w:type="fixed"/>
        <w:tblCellMar>
          <w:top w:w="0" w:type="dxa"/>
          <w:start w:w="108" w:type="dxa"/>
          <w:bottom w:w="0" w:type="dxa"/>
          <w:end w:w="108" w:type="dxa"/>
        </w:tblCellMar>
      </w:tblPr>
      <w:tblGrid>
        <w:gridCol w:w="4361"/>
        <w:gridCol w:w="992"/>
        <w:gridCol w:w="2835"/>
      </w:tblGrid>
      <w:tr>
        <w:trPr/>
        <w:tc>
          <w:tcPr>
            <w:tcW w:w="4361" w:type="dxa"/>
            <w:tcBorders/>
          </w:tcPr>
          <w:p>
            <w:pPr>
              <w:pStyle w:val="Normal"/>
              <w:tabs>
                <w:tab w:val="clear" w:pos="709"/>
                <w:tab w:val="left" w:pos="4321" w:leader="none"/>
              </w:tabs>
              <w:rPr/>
            </w:pPr>
            <w:r>
              <w:rPr>
                <w:b/>
              </w:rPr>
              <w:t>Signed</w:t>
            </w:r>
            <w:r>
              <w:rPr/>
              <w:t xml:space="preserve"> by</w:t>
            </w:r>
          </w:p>
          <w:p>
            <w:pPr>
              <w:pStyle w:val="Normal"/>
              <w:tabs>
                <w:tab w:val="clear" w:pos="709"/>
                <w:tab w:val="left" w:pos="4321" w:leader="none"/>
              </w:tabs>
              <w:rPr/>
            </w:pPr>
            <w:r>
              <w:rPr/>
              <w:t>duly authorised for and</w:t>
            </w:r>
          </w:p>
          <w:p>
            <w:pPr>
              <w:pStyle w:val="Normal"/>
              <w:tabs>
                <w:tab w:val="clear" w:pos="709"/>
                <w:tab w:val="left" w:pos="4321" w:leader="none"/>
              </w:tabs>
              <w:rPr/>
            </w:pPr>
            <w:r>
              <w:rPr/>
              <w:t>on behalf of</w:t>
            </w:r>
          </w:p>
          <w:p>
            <w:pPr>
              <w:pStyle w:val="Normal"/>
              <w:tabs>
                <w:tab w:val="clear" w:pos="709"/>
                <w:tab w:val="left" w:pos="4321" w:leader="none"/>
              </w:tabs>
              <w:rPr>
                <w:b/>
              </w:rPr>
            </w:pPr>
            <w:r>
              <w:rPr>
                <w:b/>
              </w:rPr>
              <w:t>RWE Trading GmbH.</w:t>
            </w:r>
          </w:p>
        </w:tc>
        <w:tc>
          <w:tcPr>
            <w:tcW w:w="992" w:type="dxa"/>
            <w:tcBorders/>
          </w:tcPr>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r>
          </w:p>
          <w:p>
            <w:pPr>
              <w:pStyle w:val="Normal"/>
              <w:tabs>
                <w:tab w:val="clear" w:pos="709"/>
                <w:tab w:val="left" w:pos="4321" w:leader="none"/>
              </w:tabs>
              <w:rPr/>
            </w:pPr>
            <w:r>
              <w:rPr/>
            </w:r>
          </w:p>
        </w:tc>
        <w:tc>
          <w:tcPr>
            <w:tcW w:w="2835" w:type="dxa"/>
            <w:tcBorders>
              <w:bottom w:val="single" w:sz="4" w:space="0" w:color="000000"/>
            </w:tcBorders>
          </w:tcPr>
          <w:p>
            <w:pPr>
              <w:pStyle w:val="Normal"/>
              <w:tabs>
                <w:tab w:val="clear" w:pos="709"/>
                <w:tab w:val="left" w:pos="4321" w:leader="none"/>
              </w:tabs>
              <w:snapToGrid w:val="false"/>
              <w:rPr/>
            </w:pPr>
            <w:r>
              <w:rPr/>
            </w:r>
          </w:p>
        </w:tc>
      </w:tr>
      <w:tr>
        <w:trPr/>
        <w:tc>
          <w:tcPr>
            <w:tcW w:w="4361" w:type="dxa"/>
            <w:tcBorders/>
          </w:tcPr>
          <w:p>
            <w:pPr>
              <w:pStyle w:val="Normal"/>
              <w:tabs>
                <w:tab w:val="clear" w:pos="709"/>
                <w:tab w:val="left" w:pos="4321" w:leader="none"/>
              </w:tabs>
              <w:rPr/>
            </w:pPr>
            <w:r>
              <w:rPr>
                <w:b/>
              </w:rPr>
              <w:t xml:space="preserve">Signed </w:t>
            </w:r>
            <w:r>
              <w:rPr/>
              <w:t>by</w:t>
            </w:r>
          </w:p>
          <w:p>
            <w:pPr>
              <w:pStyle w:val="Normal"/>
              <w:tabs>
                <w:tab w:val="clear" w:pos="709"/>
                <w:tab w:val="left" w:pos="4321" w:leader="none"/>
              </w:tabs>
              <w:rPr/>
            </w:pPr>
            <w:r>
              <w:rPr/>
              <w:t>duly authorised for and</w:t>
            </w:r>
          </w:p>
          <w:p>
            <w:pPr>
              <w:pStyle w:val="Normal"/>
              <w:tabs>
                <w:tab w:val="clear" w:pos="709"/>
                <w:tab w:val="left" w:pos="4321" w:leader="none"/>
              </w:tabs>
              <w:rPr/>
            </w:pPr>
            <w:r>
              <w:rPr/>
              <w:t>on behalf of</w:t>
            </w:r>
          </w:p>
          <w:p>
            <w:pPr>
              <w:pStyle w:val="Normal"/>
              <w:tabs>
                <w:tab w:val="clear" w:pos="709"/>
                <w:tab w:val="left" w:pos="4321" w:leader="none"/>
              </w:tabs>
              <w:rPr>
                <w:b/>
              </w:rPr>
            </w:pPr>
            <w:r>
              <w:rPr>
                <w:b/>
              </w:rPr>
              <w:t>Enron Capital &amp; Trade Resources Limited</w:t>
            </w:r>
          </w:p>
          <w:p>
            <w:pPr>
              <w:pStyle w:val="Normal"/>
              <w:tabs>
                <w:tab w:val="clear" w:pos="709"/>
                <w:tab w:val="left" w:pos="4321" w:leader="none"/>
              </w:tabs>
              <w:rPr>
                <w:b/>
              </w:rPr>
            </w:pPr>
            <w:r>
              <w:rPr>
                <w:b/>
              </w:rPr>
            </w:r>
          </w:p>
          <w:p>
            <w:pPr>
              <w:pStyle w:val="Normal"/>
              <w:tabs>
                <w:tab w:val="clear" w:pos="709"/>
                <w:tab w:val="left" w:pos="4321" w:leader="none"/>
              </w:tabs>
              <w:rPr>
                <w:b/>
              </w:rPr>
            </w:pPr>
            <w:r>
              <w:rPr>
                <w:b/>
              </w:rPr>
            </w:r>
          </w:p>
        </w:tc>
        <w:tc>
          <w:tcPr>
            <w:tcW w:w="992" w:type="dxa"/>
            <w:tcBorders/>
          </w:tcPr>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r>
          </w:p>
        </w:tc>
        <w:tc>
          <w:tcPr>
            <w:tcW w:w="2835" w:type="dxa"/>
            <w:tcBorders>
              <w:top w:val="single" w:sz="4" w:space="0" w:color="000000"/>
              <w:bottom w:val="single" w:sz="4" w:space="0" w:color="000000"/>
            </w:tcBorders>
          </w:tcPr>
          <w:p>
            <w:pPr>
              <w:pStyle w:val="Normal"/>
              <w:tabs>
                <w:tab w:val="clear" w:pos="709"/>
                <w:tab w:val="left" w:pos="4321" w:leader="none"/>
              </w:tabs>
              <w:snapToGrid w:val="false"/>
              <w:rPr/>
            </w:pPr>
            <w:r>
              <w:rPr/>
            </w:r>
          </w:p>
        </w:tc>
      </w:tr>
      <w:tr>
        <w:trPr/>
        <w:tc>
          <w:tcPr>
            <w:tcW w:w="4361" w:type="dxa"/>
            <w:tcBorders/>
          </w:tcPr>
          <w:p>
            <w:pPr>
              <w:pStyle w:val="Normal"/>
              <w:tabs>
                <w:tab w:val="clear" w:pos="709"/>
                <w:tab w:val="left" w:pos="4321" w:leader="none"/>
              </w:tabs>
              <w:snapToGrid w:val="false"/>
              <w:rPr>
                <w:b/>
              </w:rPr>
            </w:pPr>
            <w:r>
              <w:rPr>
                <w:b/>
              </w:rPr>
            </w:r>
            <w:bookmarkStart w:id="4" w:name="bmkNotParty2_003"/>
            <w:bookmarkStart w:id="5" w:name="bmkNotParty2_003"/>
            <w:bookmarkEnd w:id="5"/>
          </w:p>
          <w:p>
            <w:pPr>
              <w:pStyle w:val="Normal"/>
              <w:tabs>
                <w:tab w:val="clear" w:pos="709"/>
                <w:tab w:val="left" w:pos="4321" w:leader="none"/>
              </w:tabs>
              <w:rPr/>
            </w:pPr>
            <w:r>
              <w:rPr>
                <w:b/>
              </w:rPr>
              <w:t>Signed</w:t>
            </w:r>
            <w:r>
              <w:rPr/>
              <w:t xml:space="preserve"> by</w:t>
            </w:r>
          </w:p>
          <w:p>
            <w:pPr>
              <w:pStyle w:val="Normal"/>
              <w:tabs>
                <w:tab w:val="clear" w:pos="709"/>
                <w:tab w:val="left" w:pos="4321" w:leader="none"/>
              </w:tabs>
              <w:rPr/>
            </w:pPr>
            <w:r>
              <w:rPr/>
              <w:t>duly authorised for and</w:t>
            </w:r>
          </w:p>
          <w:p>
            <w:pPr>
              <w:pStyle w:val="Normal"/>
              <w:tabs>
                <w:tab w:val="clear" w:pos="709"/>
                <w:tab w:val="left" w:pos="4321" w:leader="none"/>
              </w:tabs>
              <w:rPr/>
            </w:pPr>
            <w:r>
              <w:rPr/>
              <w:t>on behalf of</w:t>
            </w:r>
          </w:p>
          <w:p>
            <w:pPr>
              <w:pStyle w:val="Normal"/>
              <w:tabs>
                <w:tab w:val="clear" w:pos="709"/>
                <w:tab w:val="left" w:pos="4321" w:leader="none"/>
              </w:tabs>
              <w:rPr>
                <w:b/>
              </w:rPr>
            </w:pPr>
            <w:r>
              <w:rPr>
                <w:b/>
              </w:rPr>
              <w:t>Enron Capital &amp; Trade Resources International Corp.</w:t>
            </w:r>
          </w:p>
        </w:tc>
        <w:tc>
          <w:tcPr>
            <w:tcW w:w="992" w:type="dxa"/>
            <w:tcBorders/>
          </w:tcPr>
          <w:p>
            <w:pPr>
              <w:pStyle w:val="Normal"/>
              <w:tabs>
                <w:tab w:val="clear" w:pos="709"/>
                <w:tab w:val="left" w:pos="4321" w:leader="none"/>
              </w:tabs>
              <w:spacing w:before="960" w:after="0"/>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tc>
        <w:tc>
          <w:tcPr>
            <w:tcW w:w="2835" w:type="dxa"/>
            <w:tcBorders>
              <w:top w:val="single" w:sz="4" w:space="0" w:color="000000"/>
              <w:bottom w:val="single" w:sz="4" w:space="0" w:color="000000"/>
            </w:tcBorders>
          </w:tcPr>
          <w:p>
            <w:pPr>
              <w:pStyle w:val="Normal"/>
              <w:tabs>
                <w:tab w:val="clear" w:pos="709"/>
                <w:tab w:val="left" w:pos="4321" w:leader="none"/>
              </w:tabs>
              <w:snapToGrid w:val="false"/>
              <w:rPr/>
            </w:pPr>
            <w:r>
              <w:rPr/>
            </w:r>
          </w:p>
        </w:tc>
      </w:tr>
      <w:tr>
        <w:trPr/>
        <w:tc>
          <w:tcPr>
            <w:tcW w:w="4361" w:type="dxa"/>
            <w:tcBorders/>
          </w:tcPr>
          <w:p>
            <w:pPr>
              <w:pStyle w:val="Normal"/>
              <w:tabs>
                <w:tab w:val="clear" w:pos="709"/>
                <w:tab w:val="left" w:pos="4321" w:leader="none"/>
              </w:tabs>
              <w:spacing w:before="960" w:after="0"/>
              <w:rPr/>
            </w:pPr>
            <w:r>
              <w:rPr>
                <w:b/>
              </w:rPr>
              <w:t>Signed</w:t>
            </w:r>
            <w:r>
              <w:rPr/>
              <w:t xml:space="preserve"> by</w:t>
            </w:r>
          </w:p>
          <w:p>
            <w:pPr>
              <w:pStyle w:val="Normal"/>
              <w:tabs>
                <w:tab w:val="clear" w:pos="709"/>
                <w:tab w:val="left" w:pos="4321" w:leader="none"/>
              </w:tabs>
              <w:rPr/>
            </w:pPr>
            <w:r>
              <w:rPr/>
              <w:t>duly authorised for and</w:t>
            </w:r>
          </w:p>
          <w:p>
            <w:pPr>
              <w:pStyle w:val="Normal"/>
              <w:tabs>
                <w:tab w:val="clear" w:pos="709"/>
                <w:tab w:val="left" w:pos="4321" w:leader="none"/>
              </w:tabs>
              <w:rPr/>
            </w:pPr>
            <w:r>
              <w:rPr/>
              <w:t>on behalf of</w:t>
            </w:r>
          </w:p>
          <w:p>
            <w:pPr>
              <w:pStyle w:val="Normal"/>
              <w:tabs>
                <w:tab w:val="clear" w:pos="709"/>
                <w:tab w:val="left" w:pos="4321" w:leader="none"/>
              </w:tabs>
              <w:rPr>
                <w:b/>
              </w:rPr>
            </w:pPr>
            <w:r>
              <w:rPr>
                <w:b/>
              </w:rPr>
              <w:t>Enron Financial Energy Trading L.L.C.</w:t>
            </w:r>
          </w:p>
        </w:tc>
        <w:tc>
          <w:tcPr>
            <w:tcW w:w="992" w:type="dxa"/>
            <w:tcBorders/>
          </w:tcPr>
          <w:p>
            <w:pPr>
              <w:pStyle w:val="Normal"/>
              <w:tabs>
                <w:tab w:val="clear" w:pos="709"/>
                <w:tab w:val="left" w:pos="4321" w:leader="none"/>
              </w:tabs>
              <w:spacing w:before="960" w:after="0"/>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tc>
        <w:tc>
          <w:tcPr>
            <w:tcW w:w="2835" w:type="dxa"/>
            <w:tcBorders>
              <w:top w:val="single" w:sz="4" w:space="0" w:color="000000"/>
              <w:bottom w:val="single" w:sz="4" w:space="0" w:color="000000"/>
            </w:tcBorders>
          </w:tcPr>
          <w:p>
            <w:pPr>
              <w:pStyle w:val="Normal"/>
              <w:tabs>
                <w:tab w:val="clear" w:pos="709"/>
                <w:tab w:val="left" w:pos="4321" w:leader="none"/>
              </w:tabs>
              <w:snapToGrid w:val="false"/>
              <w:rPr/>
            </w:pPr>
            <w:r>
              <w:rPr/>
            </w:r>
          </w:p>
        </w:tc>
      </w:tr>
      <w:tr>
        <w:trPr/>
        <w:tc>
          <w:tcPr>
            <w:tcW w:w="4361" w:type="dxa"/>
            <w:tcBorders/>
          </w:tcPr>
          <w:p>
            <w:pPr>
              <w:pStyle w:val="Normal"/>
              <w:tabs>
                <w:tab w:val="clear" w:pos="709"/>
                <w:tab w:val="left" w:pos="4321" w:leader="none"/>
              </w:tabs>
              <w:spacing w:before="960" w:after="0"/>
              <w:rPr/>
            </w:pPr>
            <w:bookmarkStart w:id="6" w:name="bmkNotParty3_003"/>
            <w:bookmarkEnd w:id="6"/>
            <w:r>
              <w:rPr>
                <w:b/>
              </w:rPr>
              <w:t>Signed</w:t>
            </w:r>
            <w:r>
              <w:rPr/>
              <w:t xml:space="preserve"> by</w:t>
            </w:r>
          </w:p>
          <w:p>
            <w:pPr>
              <w:pStyle w:val="Normal"/>
              <w:tabs>
                <w:tab w:val="clear" w:pos="709"/>
                <w:tab w:val="left" w:pos="4321" w:leader="none"/>
              </w:tabs>
              <w:rPr/>
            </w:pPr>
            <w:r>
              <w:rPr/>
              <w:t>duly authorised for and</w:t>
            </w:r>
          </w:p>
          <w:p>
            <w:pPr>
              <w:pStyle w:val="Normal"/>
              <w:tabs>
                <w:tab w:val="clear" w:pos="709"/>
                <w:tab w:val="left" w:pos="4321" w:leader="none"/>
              </w:tabs>
              <w:rPr/>
            </w:pPr>
            <w:r>
              <w:rPr/>
              <w:t>on behalf of</w:t>
            </w:r>
          </w:p>
          <w:p>
            <w:pPr>
              <w:pStyle w:val="Normal"/>
              <w:tabs>
                <w:tab w:val="clear" w:pos="709"/>
                <w:tab w:val="left" w:pos="4321" w:leader="none"/>
              </w:tabs>
              <w:rPr>
                <w:b/>
              </w:rPr>
            </w:pPr>
            <w:r>
              <w:rPr>
                <w:b/>
              </w:rPr>
              <w:t>RWE Trading GmbH</w:t>
            </w:r>
          </w:p>
        </w:tc>
        <w:tc>
          <w:tcPr>
            <w:tcW w:w="992" w:type="dxa"/>
            <w:tcBorders/>
          </w:tcPr>
          <w:p>
            <w:pPr>
              <w:pStyle w:val="Normal"/>
              <w:tabs>
                <w:tab w:val="clear" w:pos="709"/>
                <w:tab w:val="left" w:pos="4321" w:leader="none"/>
              </w:tabs>
              <w:spacing w:before="960" w:after="0"/>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p>
            <w:pPr>
              <w:pStyle w:val="Normal"/>
              <w:tabs>
                <w:tab w:val="clear" w:pos="709"/>
                <w:tab w:val="left" w:pos="4321" w:leader="none"/>
              </w:tabs>
              <w:rPr/>
            </w:pPr>
            <w:r>
              <w:rPr/>
              <w:t>)</w:t>
            </w:r>
          </w:p>
        </w:tc>
        <w:tc>
          <w:tcPr>
            <w:tcW w:w="2835" w:type="dxa"/>
            <w:tcBorders>
              <w:top w:val="single" w:sz="4" w:space="0" w:color="000000"/>
              <w:bottom w:val="single" w:sz="4" w:space="0" w:color="000000"/>
            </w:tcBorders>
          </w:tcPr>
          <w:p>
            <w:pPr>
              <w:pStyle w:val="Normal"/>
              <w:tabs>
                <w:tab w:val="clear" w:pos="709"/>
                <w:tab w:val="left" w:pos="4321" w:leader="none"/>
              </w:tabs>
              <w:snapToGrid w:val="false"/>
              <w:rPr/>
            </w:pPr>
            <w:r>
              <w:rPr/>
            </w:r>
          </w:p>
        </w:tc>
      </w:tr>
    </w:tbl>
    <w:p>
      <w:pPr>
        <w:pStyle w:val="Normal"/>
        <w:tabs>
          <w:tab w:val="clear" w:pos="709"/>
          <w:tab w:val="left" w:pos="4321" w:leader="none"/>
        </w:tabs>
        <w:rPr/>
      </w:pPr>
      <w:r>
        <w:rPr/>
      </w:r>
    </w:p>
    <w:p>
      <w:pPr>
        <w:pStyle w:val="Normal"/>
        <w:rPr/>
      </w:pPr>
      <w:r>
        <w:rPr/>
      </w:r>
    </w:p>
    <w:p>
      <w:pPr>
        <w:pStyle w:val="Normal"/>
        <w:rPr/>
      </w:pPr>
      <w:r>
        <w:rPr/>
      </w:r>
    </w:p>
    <w:p>
      <w:pPr>
        <w:pStyle w:val="Normal"/>
        <w:rPr/>
      </w:pPr>
      <w:r>
        <w:rPr/>
      </w:r>
    </w:p>
    <w:p>
      <w:pPr>
        <w:pStyle w:val="Normal"/>
        <w:rPr/>
      </w:pPr>
      <w:r>
        <w:rPr/>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r>
    </w:p>
    <w:p>
      <w:pPr>
        <w:pStyle w:val="Normal"/>
        <w:widowControl/>
        <w:suppressAutoHyphens w:val="true"/>
        <w:jc w:val="both"/>
        <w:rPr>
          <w:lang w:val="en-GB"/>
        </w:rPr>
      </w:pPr>
      <w:r>
        <w:rPr>
          <w:lang w:val="en-GB"/>
        </w:rPr>
      </w:r>
    </w:p>
    <w:sectPr>
      <w:headerReference w:type="default" r:id="rId2"/>
      <w:headerReference w:type="first" r:id="rId3"/>
      <w:footerReference w:type="default" r:id="rId4"/>
      <w:footerReference w:type="first" r:id="rId5"/>
      <w:type w:val="nextPage"/>
      <w:pgSz w:w="11906" w:h="16838"/>
      <w:pgMar w:left="1418" w:right="1418" w:gutter="0" w:header="1418" w:top="2093" w:footer="1095" w:bottom="1298"/>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pBdr>
        <w:top w:val="single" w:sz="4" w:space="0" w:color="000000"/>
      </w:pBdr>
      <w:tabs>
        <w:tab w:val="clear" w:pos="709"/>
        <w:tab w:val="right" w:pos="8910" w:leader="none"/>
      </w:tabs>
      <w:jc w:val="start"/>
      <w:rPr>
        <w:b w:val="false"/>
        <w:color w:val="808080"/>
        <w:sz w:val="18"/>
        <w:u w:val="none"/>
      </w:rPr>
    </w:pPr>
    <w:r>
      <w:rPr>
        <w:b w:val="false"/>
        <w:color w:val="808080"/>
        <w:sz w:val="18"/>
        <w:u w:val="none"/>
      </w:rPr>
      <w:t>Draft – 30 October 2001</w:t>
    </w:r>
  </w:p>
  <w:p>
    <w:pPr>
      <w:pStyle w:val="Heading"/>
      <w:tabs>
        <w:tab w:val="clear" w:pos="709"/>
        <w:tab w:val="right" w:pos="8910" w:leader="none"/>
      </w:tabs>
      <w:jc w:val="start"/>
      <w:rPr/>
    </w:pPr>
    <w:r>
      <w:rPr>
        <w:b w:val="false"/>
        <w:color w:val="808080"/>
        <w:sz w:val="18"/>
        <w:u w:val="none"/>
      </w:rPr>
      <w:t>BH/</w:t>
    </w:r>
    <w:r>
      <w:rPr>
        <w:b w:val="false"/>
        <w:color w:val="808080"/>
        <w:sz w:val="18"/>
        <w:u w:val="none"/>
      </w:rPr>
      <w:fldChar w:fldCharType="begin"/>
    </w:r>
    <w:r>
      <w:rPr>
        <w:sz w:val="18"/>
        <w:u w:val="none"/>
        <w:b w:val="false"/>
        <w:color w:val="808080"/>
      </w:rPr>
      <w:instrText xml:space="preserve"> DOCPROPERTY "CLIENT/MATTER"</w:instrText>
    </w:r>
    <w:r>
      <w:rPr>
        <w:sz w:val="18"/>
        <w:u w:val="none"/>
        <w:b w:val="false"/>
        <w:color w:val="808080"/>
      </w:rPr>
      <w:fldChar w:fldCharType="separate"/>
    </w:r>
    <w:r>
      <w:rPr>
        <w:sz w:val="18"/>
        <w:u w:val="none"/>
        <w:b w:val="false"/>
        <w:color w:val="808080"/>
      </w:rPr>
      <w:t>45192.00006</w:t>
    </w:r>
    <w:r>
      <w:rPr>
        <w:sz w:val="18"/>
        <w:u w:val="none"/>
        <w:b w:val="false"/>
        <w:color w:val="808080"/>
      </w:rPr>
      <w:fldChar w:fldCharType="end"/>
    </w:r>
    <w:r>
      <w:rPr>
        <w:b w:val="false"/>
        <w:color w:val="808080"/>
        <w:sz w:val="18"/>
        <w:u w:val="none"/>
      </w:rPr>
      <w:t>/</w:t>
    </w:r>
    <w:r>
      <w:rPr>
        <w:b w:val="false"/>
        <w:color w:val="808080"/>
        <w:sz w:val="18"/>
        <w:u w:val="none"/>
      </w:rPr>
      <w:fldChar w:fldCharType="begin"/>
    </w:r>
    <w:r>
      <w:rPr>
        <w:sz w:val="18"/>
        <w:u w:val="none"/>
        <w:b w:val="false"/>
        <w:color w:val="808080"/>
      </w:rPr>
      <w:instrText xml:space="preserve"> DOCPROPERTY "DocumentNumber"</w:instrText>
    </w:r>
    <w:r>
      <w:rPr>
        <w:sz w:val="18"/>
        <w:u w:val="none"/>
        <w:b w:val="false"/>
        <w:color w:val="808080"/>
      </w:rPr>
      <w:fldChar w:fldCharType="separate"/>
    </w:r>
    <w:r>
      <w:rPr>
        <w:sz w:val="18"/>
        <w:u w:val="none"/>
        <w:b w:val="false"/>
        <w:color w:val="808080"/>
      </w:rPr>
      <w:t>5497951.01</w:t>
    </w:r>
    <w:r>
      <w:rPr>
        <w:sz w:val="18"/>
        <w:u w:val="none"/>
        <w:b w:val="false"/>
        <w:color w:val="808080"/>
      </w:rPr>
      <w:fldChar w:fldCharType="end"/>
    </w:r>
    <w:r>
      <w:rPr>
        <w:b w:val="false"/>
        <w:color w:val="808080"/>
        <w:sz w:val="18"/>
        <w:u w:val="none"/>
      </w:rPr>
      <w:tab/>
      <w:t xml:space="preserve">Page </w:t>
    </w:r>
    <w:r>
      <w:rPr>
        <w:rStyle w:val="PageNumber"/>
        <w:b/>
        <w:sz w:val="18"/>
        <w:u w:val="none"/>
        <w:lang w:val="de-DE"/>
      </w:rPr>
      <w:fldChar w:fldCharType="begin"/>
    </w:r>
    <w:r>
      <w:rPr>
        <w:rStyle w:val="PageNumber"/>
        <w:sz w:val="18"/>
        <w:u w:val="none"/>
        <w:b/>
        <w:lang w:val="de-DE"/>
      </w:rPr>
      <w:instrText xml:space="preserve"> PAGE </w:instrText>
    </w:r>
    <w:r>
      <w:rPr>
        <w:rStyle w:val="PageNumber"/>
        <w:sz w:val="18"/>
        <w:u w:val="none"/>
        <w:b/>
        <w:lang w:val="de-DE"/>
      </w:rPr>
      <w:fldChar w:fldCharType="separate"/>
    </w:r>
    <w:r>
      <w:rPr>
        <w:rStyle w:val="PageNumber"/>
        <w:sz w:val="18"/>
        <w:u w:val="none"/>
        <w:b/>
        <w:lang w:val="de-DE"/>
      </w:rPr>
      <w:t>22</w:t>
    </w:r>
    <w:r>
      <w:rPr>
        <w:rStyle w:val="PageNumber"/>
        <w:sz w:val="18"/>
        <w:u w:val="none"/>
        <w:b/>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pBdr>
        <w:top w:val="single" w:sz="4" w:space="0" w:color="000000"/>
      </w:pBdr>
      <w:tabs>
        <w:tab w:val="clear" w:pos="709"/>
        <w:tab w:val="right" w:pos="8910" w:leader="none"/>
      </w:tabs>
      <w:jc w:val="start"/>
      <w:rPr>
        <w:b w:val="false"/>
        <w:color w:val="808080"/>
        <w:sz w:val="18"/>
        <w:u w:val="none"/>
      </w:rPr>
    </w:pPr>
    <w:r>
      <w:rPr>
        <w:b w:val="false"/>
        <w:color w:val="808080"/>
        <w:sz w:val="18"/>
        <w:u w:val="none"/>
      </w:rPr>
      <w:t>Draft – 31 October 2001</w:t>
    </w:r>
  </w:p>
  <w:p>
    <w:pPr>
      <w:pStyle w:val="Heading"/>
      <w:pBdr>
        <w:top w:val="single" w:sz="4" w:space="0" w:color="000000"/>
      </w:pBdr>
      <w:tabs>
        <w:tab w:val="clear" w:pos="709"/>
        <w:tab w:val="right" w:pos="8910" w:leader="none"/>
      </w:tabs>
      <w:jc w:val="start"/>
      <w:rPr/>
    </w:pPr>
    <w:r>
      <w:rPr>
        <w:b w:val="false"/>
        <w:color w:val="808080"/>
        <w:sz w:val="18"/>
        <w:u w:val="none"/>
      </w:rPr>
      <w:t>BH/</w:t>
    </w:r>
    <w:r>
      <w:rPr>
        <w:b w:val="false"/>
        <w:color w:val="808080"/>
        <w:sz w:val="18"/>
        <w:u w:val="none"/>
      </w:rPr>
      <w:fldChar w:fldCharType="begin"/>
    </w:r>
    <w:r>
      <w:rPr>
        <w:sz w:val="18"/>
        <w:u w:val="none"/>
        <w:b w:val="false"/>
        <w:color w:val="808080"/>
      </w:rPr>
      <w:instrText xml:space="preserve"> DOCPROPERTY "CLIENT/MATTER"</w:instrText>
    </w:r>
    <w:r>
      <w:rPr>
        <w:sz w:val="18"/>
        <w:u w:val="none"/>
        <w:b w:val="false"/>
        <w:color w:val="808080"/>
      </w:rPr>
      <w:fldChar w:fldCharType="separate"/>
    </w:r>
    <w:r>
      <w:rPr>
        <w:sz w:val="18"/>
        <w:u w:val="none"/>
        <w:b w:val="false"/>
        <w:color w:val="808080"/>
      </w:rPr>
      <w:t>45192.00006</w:t>
    </w:r>
    <w:r>
      <w:rPr>
        <w:sz w:val="18"/>
        <w:u w:val="none"/>
        <w:b w:val="false"/>
        <w:color w:val="808080"/>
      </w:rPr>
      <w:fldChar w:fldCharType="end"/>
    </w:r>
    <w:r>
      <w:rPr>
        <w:b w:val="false"/>
        <w:color w:val="808080"/>
        <w:sz w:val="18"/>
        <w:u w:val="none"/>
      </w:rPr>
      <w:t>/</w:t>
    </w:r>
    <w:r>
      <w:rPr>
        <w:b w:val="false"/>
        <w:color w:val="808080"/>
        <w:sz w:val="18"/>
        <w:u w:val="none"/>
      </w:rPr>
      <w:fldChar w:fldCharType="begin"/>
    </w:r>
    <w:r>
      <w:rPr>
        <w:sz w:val="18"/>
        <w:u w:val="none"/>
        <w:b w:val="false"/>
        <w:color w:val="808080"/>
      </w:rPr>
      <w:instrText xml:space="preserve"> DOCPROPERTY "DocumentNumber"</w:instrText>
    </w:r>
    <w:r>
      <w:rPr>
        <w:sz w:val="18"/>
        <w:u w:val="none"/>
        <w:b w:val="false"/>
        <w:color w:val="808080"/>
      </w:rPr>
      <w:fldChar w:fldCharType="separate"/>
    </w:r>
    <w:r>
      <w:rPr>
        <w:sz w:val="18"/>
        <w:u w:val="none"/>
        <w:b w:val="false"/>
        <w:color w:val="808080"/>
      </w:rPr>
      <w:t>5497951.01</w:t>
    </w:r>
    <w:r>
      <w:rPr>
        <w:sz w:val="18"/>
        <w:u w:val="none"/>
        <w:b w:val="false"/>
        <w:color w:val="808080"/>
      </w:rPr>
      <w:fldChar w:fldCharType="end"/>
    </w:r>
    <w:r>
      <w:rPr>
        <w:b w:val="false"/>
        <w:color w:val="808080"/>
        <w:sz w:val="18"/>
        <w:u w:val="none"/>
      </w:rPr>
      <w:tab/>
      <w:t xml:space="preserve">Page </w:t>
    </w:r>
    <w:r>
      <w:rPr>
        <w:rStyle w:val="PageNumber"/>
        <w:b/>
        <w:sz w:val="18"/>
        <w:u w:val="none"/>
        <w:lang w:val="de-DE"/>
      </w:rPr>
      <w:fldChar w:fldCharType="begin"/>
    </w:r>
    <w:r>
      <w:rPr>
        <w:rStyle w:val="PageNumber"/>
        <w:sz w:val="18"/>
        <w:u w:val="none"/>
        <w:b/>
        <w:lang w:val="de-DE"/>
      </w:rPr>
      <w:instrText xml:space="preserve"> PAGE </w:instrText>
    </w:r>
    <w:r>
      <w:rPr>
        <w:rStyle w:val="PageNumber"/>
        <w:sz w:val="18"/>
        <w:u w:val="none"/>
        <w:b/>
        <w:lang w:val="de-DE"/>
      </w:rPr>
      <w:fldChar w:fldCharType="separate"/>
    </w:r>
    <w:r>
      <w:rPr>
        <w:rStyle w:val="PageNumber"/>
        <w:sz w:val="18"/>
        <w:u w:val="none"/>
        <w:b/>
        <w:lang w:val="de-DE"/>
      </w:rPr>
      <w:t>1</w:t>
    </w:r>
    <w:r>
      <w:rPr>
        <w:rStyle w:val="PageNumber"/>
        <w:sz w:val="18"/>
        <w:u w:val="none"/>
        <w:b/>
        <w:lang w:val="de-D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lang w:val="en-GB"/>
      </w:rPr>
      <w:tab/>
    </w:r>
    <w:r>
      <w:rPr>
        <w:b/>
        <w:sz w:val="16"/>
        <w:lang w:val="en-GB"/>
      </w:rPr>
      <w:t xml:space="preserve">- Page </w:t>
    </w:r>
    <w:r>
      <w:rPr>
        <w:b/>
        <w:sz w:val="16"/>
        <w:lang w:val="en-GB"/>
      </w:rPr>
      <w:fldChar w:fldCharType="begin"/>
    </w:r>
    <w:r>
      <w:rPr>
        <w:sz w:val="16"/>
        <w:b/>
        <w:lang w:val="en-GB"/>
      </w:rPr>
      <w:instrText xml:space="preserve"> PAGE </w:instrText>
    </w:r>
    <w:r>
      <w:rPr>
        <w:sz w:val="16"/>
        <w:b/>
        <w:lang w:val="en-GB"/>
      </w:rPr>
      <w:fldChar w:fldCharType="separate"/>
    </w:r>
    <w:r>
      <w:rPr>
        <w:sz w:val="16"/>
        <w:b/>
        <w:lang w:val="en-GB"/>
      </w:rPr>
      <w:t>22</w:t>
    </w:r>
    <w:r>
      <w:rPr>
        <w:sz w:val="16"/>
        <w:b/>
        <w:lang w:val="en-GB"/>
      </w:rPr>
      <w:fldChar w:fldCharType="end"/>
    </w:r>
    <w:r>
      <w:rPr>
        <w:b/>
        <w:sz w:val="16"/>
        <w:lang w:val="en-GB"/>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17"/>
        </w:tabs>
        <w:ind w:start="1417" w:hanging="708"/>
      </w:pPr>
      <w:rPr>
        <w:i w:val="false"/>
        <w:b w:val="false"/>
      </w:rPr>
    </w:lvl>
  </w:abstractNum>
  <w:abstractNum w:abstractNumId="3">
    <w:lvl w:ilvl="0">
      <w:start w:val="1"/>
      <w:numFmt w:val="decimal"/>
      <w:lvlText w:val="(%1)"/>
      <w:lvlJc w:val="start"/>
      <w:pPr>
        <w:tabs>
          <w:tab w:val="num" w:pos="709"/>
        </w:tabs>
        <w:ind w:start="709" w:hanging="709"/>
      </w:pPr>
      <w:rPr>
        <w:sz w:val="22"/>
        <w:i w:val="false"/>
        <w:b w:val="false"/>
        <w:rFonts w:ascii="Times New Roman" w:hAnsi="Times New Roman" w:cs="Times New Roman"/>
      </w:rPr>
    </w:lvl>
  </w:abstractNum>
  <w:abstractNum w:abstractNumId="4">
    <w:lvl w:ilvl="0">
      <w:start w:val="4"/>
      <w:numFmt w:val="decimal"/>
      <w:lvlText w:val="%1"/>
      <w:lvlJc w:val="start"/>
      <w:pPr>
        <w:tabs>
          <w:tab w:val="num" w:pos="705"/>
        </w:tabs>
        <w:ind w:start="705" w:hanging="705"/>
      </w:pPr>
      <w:rPr>
        <w:b w:val="false"/>
      </w:rPr>
    </w:lvl>
    <w:lvl w:ilvl="1">
      <w:start w:val="1"/>
      <w:numFmt w:val="decimal"/>
      <w:lvlText w:val="%1.%2"/>
      <w:lvlJc w:val="start"/>
      <w:pPr>
        <w:tabs>
          <w:tab w:val="num" w:pos="705"/>
        </w:tabs>
        <w:ind w:start="705" w:hanging="705"/>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5">
    <w:lvl w:ilvl="0">
      <w:start w:val="1"/>
      <w:numFmt w:val="upperLetter"/>
      <w:lvlText w:val="%1"/>
      <w:lvlJc w:val="start"/>
      <w:pPr>
        <w:tabs>
          <w:tab w:val="num" w:pos="709"/>
        </w:tabs>
        <w:ind w:start="709" w:hanging="709"/>
      </w:pPr>
      <w:rPr>
        <w:sz w:val="22"/>
        <w:i w:val="false"/>
        <w:b w:val="false"/>
        <w:rFonts w:ascii="Times New Roman" w:hAnsi="Times New Roman" w:cs="Times New Roman"/>
      </w:rPr>
    </w:lvl>
  </w:abstractNum>
  <w:abstractNum w:abstractNumId="6">
    <w:lvl w:ilvl="0">
      <w:start w:val="1"/>
      <w:numFmt w:val="lowerLetter"/>
      <w:lvlText w:val="(%1)"/>
      <w:lvlJc w:val="start"/>
      <w:pPr>
        <w:tabs>
          <w:tab w:val="num" w:pos="1410"/>
        </w:tabs>
        <w:ind w:start="1410" w:hanging="705"/>
      </w:pPr>
      <w:rPr/>
    </w:lvl>
  </w:abstractNum>
  <w:abstractNum w:abstractNumId="7">
    <w:lvl w:ilvl="0">
      <w:start w:val="4"/>
      <w:numFmt w:val="decimal"/>
      <w:lvlText w:val="%1"/>
      <w:lvlJc w:val="start"/>
      <w:pPr>
        <w:tabs>
          <w:tab w:val="num" w:pos="705"/>
        </w:tabs>
        <w:ind w:start="705" w:hanging="705"/>
      </w:pPr>
      <w:rPr>
        <w:b w:val="false"/>
      </w:rPr>
    </w:lvl>
    <w:lvl w:ilvl="1">
      <w:start w:val="4"/>
      <w:numFmt w:val="decimal"/>
      <w:lvlText w:val="%1.%2"/>
      <w:lvlJc w:val="start"/>
      <w:pPr>
        <w:tabs>
          <w:tab w:val="num" w:pos="705"/>
        </w:tabs>
        <w:ind w:start="705" w:hanging="705"/>
      </w:pPr>
      <w:rPr>
        <w:b w:val="false"/>
      </w:rPr>
    </w:lvl>
    <w:lvl w:ilvl="2">
      <w:start w:val="1"/>
      <w:numFmt w:val="decimal"/>
      <w:lvlText w:val="%1.%2.%3"/>
      <w:lvlJc w:val="start"/>
      <w:pPr>
        <w:tabs>
          <w:tab w:val="num" w:pos="720"/>
        </w:tabs>
        <w:ind w:start="720" w:hanging="720"/>
      </w:pPr>
      <w:rPr>
        <w:b w:val="false"/>
      </w:rPr>
    </w:lvl>
    <w:lvl w:ilvl="3">
      <w:start w:val="1"/>
      <w:numFmt w:val="decimal"/>
      <w:lvlText w:val="%1.%2.%3.%4"/>
      <w:lvlJc w:val="start"/>
      <w:pPr>
        <w:tabs>
          <w:tab w:val="num" w:pos="720"/>
        </w:tabs>
        <w:ind w:start="720" w:hanging="720"/>
      </w:pPr>
      <w:rPr>
        <w:b w:val="false"/>
      </w:rPr>
    </w:lvl>
    <w:lvl w:ilvl="4">
      <w:start w:val="1"/>
      <w:numFmt w:val="decimal"/>
      <w:lvlText w:val="%1.%2.%3.%4.%5"/>
      <w:lvlJc w:val="start"/>
      <w:pPr>
        <w:tabs>
          <w:tab w:val="num" w:pos="1080"/>
        </w:tabs>
        <w:ind w:start="1080" w:hanging="1080"/>
      </w:pPr>
      <w:rPr>
        <w:b w:val="false"/>
      </w:rPr>
    </w:lvl>
    <w:lvl w:ilvl="5">
      <w:start w:val="1"/>
      <w:numFmt w:val="decimal"/>
      <w:lvlText w:val="%1.%2.%3.%4.%5.%6"/>
      <w:lvlJc w:val="start"/>
      <w:pPr>
        <w:tabs>
          <w:tab w:val="num" w:pos="1080"/>
        </w:tabs>
        <w:ind w:start="1080" w:hanging="1080"/>
      </w:pPr>
      <w:rPr>
        <w:b w:val="false"/>
      </w:rPr>
    </w:lvl>
    <w:lvl w:ilvl="6">
      <w:start w:val="1"/>
      <w:numFmt w:val="decimal"/>
      <w:lvlText w:val="%1.%2.%3.%4.%5.%6.%7"/>
      <w:lvlJc w:val="start"/>
      <w:pPr>
        <w:tabs>
          <w:tab w:val="num" w:pos="1440"/>
        </w:tabs>
        <w:ind w:start="1440" w:hanging="1440"/>
      </w:pPr>
      <w:rPr>
        <w:b w:val="false"/>
      </w:rPr>
    </w:lvl>
    <w:lvl w:ilvl="7">
      <w:start w:val="1"/>
      <w:numFmt w:val="decimal"/>
      <w:lvlText w:val="%1.%2.%3.%4.%5.%6.%7.%8"/>
      <w:lvlJc w:val="start"/>
      <w:pPr>
        <w:tabs>
          <w:tab w:val="num" w:pos="1440"/>
        </w:tabs>
        <w:ind w:start="1440" w:hanging="1440"/>
      </w:pPr>
      <w:rPr>
        <w:b w:val="false"/>
      </w:rPr>
    </w:lvl>
    <w:lvl w:ilvl="8">
      <w:start w:val="1"/>
      <w:numFmt w:val="decimal"/>
      <w:lvlText w:val="%1.%2.%3.%4.%5.%6.%7.%8.%9"/>
      <w:lvlJc w:val="start"/>
      <w:pPr>
        <w:tabs>
          <w:tab w:val="num" w:pos="1800"/>
        </w:tabs>
        <w:ind w:start="1800" w:hanging="1800"/>
      </w:pPr>
      <w:rPr>
        <w:b w:val="false"/>
      </w:rPr>
    </w:lvl>
  </w:abstractNum>
  <w:abstractNum w:abstractNumId="8">
    <w:lvl w:ilvl="0">
      <w:start w:val="6"/>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9">
    <w:lvl w:ilvl="0">
      <w:start w:val="1"/>
      <w:numFmt w:val="lowerLetter"/>
      <w:lvlText w:val="(%1)"/>
      <w:lvlJc w:val="start"/>
      <w:pPr>
        <w:tabs>
          <w:tab w:val="num" w:pos="1144"/>
        </w:tabs>
        <w:ind w:start="1144" w:hanging="435"/>
      </w:pPr>
      <w:rPr/>
    </w:lvl>
  </w:abstractNum>
  <w:abstractNum w:abstractNumId="10">
    <w:lvl w:ilvl="0">
      <w:start w:val="1"/>
      <w:numFmt w:val="upperLetter"/>
      <w:lvlText w:val="(%1)"/>
      <w:lvlJc w:val="start"/>
      <w:pPr>
        <w:tabs>
          <w:tab w:val="num" w:pos="2840"/>
        </w:tabs>
        <w:ind w:start="2840" w:hanging="750"/>
      </w:pPr>
      <w:rPr/>
    </w:lvl>
  </w:abstractNum>
  <w:abstractNum w:abstractNumId="11">
    <w:lvl w:ilvl="0">
      <w:start w:val="4"/>
      <w:numFmt w:val="lowerLetter"/>
      <w:lvlText w:val="(%1)"/>
      <w:lvlJc w:val="start"/>
      <w:pPr>
        <w:tabs>
          <w:tab w:val="num" w:pos="1417"/>
        </w:tabs>
        <w:ind w:start="1417" w:hanging="708"/>
      </w:pPr>
      <w:rPr>
        <w:i w:val="false"/>
        <w:b w:val="false"/>
      </w:rPr>
    </w:lvl>
  </w:abstractNum>
  <w:abstractNum w:abstractNumId="12">
    <w:lvl w:ilvl="0">
      <w:start w:val="1"/>
      <w:numFmt w:val="lowerLetter"/>
      <w:lvlText w:val="(%1)"/>
      <w:lvlJc w:val="start"/>
      <w:pPr>
        <w:tabs>
          <w:tab w:val="num" w:pos="1440"/>
        </w:tabs>
        <w:ind w:start="1440" w:hanging="720"/>
      </w:pPr>
      <w:rPr/>
    </w:lvl>
  </w:abstractNum>
  <w:abstractNum w:abstractNumId="13">
    <w:lvl w:ilvl="0">
      <w:start w:val="1"/>
      <w:numFmt w:val="decimal"/>
      <w:lvlText w:val="%1"/>
      <w:lvlJc w:val="start"/>
      <w:pPr>
        <w:tabs>
          <w:tab w:val="num" w:pos="720"/>
        </w:tabs>
        <w:ind w:start="720" w:hanging="720"/>
      </w:pPr>
      <w:rPr/>
    </w:lvl>
    <w:lvl w:ilvl="1">
      <w:start w:val="1"/>
      <w:isLgl/>
      <w:numFmt w:val="decimal"/>
      <w:lvlText w:val="2.%2"/>
      <w:lvlJc w:val="start"/>
      <w:pPr>
        <w:tabs>
          <w:tab w:val="num" w:pos="720"/>
        </w:tabs>
        <w:ind w:start="720" w:hanging="72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14">
    <w:lvl w:ilvl="0">
      <w:start w:val="1"/>
      <w:numFmt w:val="lowerLetter"/>
      <w:lvlText w:val="(%1)"/>
      <w:lvlJc w:val="start"/>
      <w:pPr>
        <w:tabs>
          <w:tab w:val="num" w:pos="1429"/>
        </w:tabs>
        <w:ind w:start="1429" w:hanging="720"/>
      </w:pPr>
      <w:rPr/>
    </w:lvl>
  </w:abstractNum>
  <w:abstractNum w:abstractNumId="15">
    <w:lvl w:ilvl="0">
      <w:start w:val="4"/>
      <w:numFmt w:val="decimal"/>
      <w:lvlText w:val="%1."/>
      <w:lvlJc w:val="start"/>
      <w:pPr>
        <w:tabs>
          <w:tab w:val="num" w:pos="705"/>
        </w:tabs>
        <w:ind w:start="705" w:hanging="705"/>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6">
    <w:lvl w:ilvl="0">
      <w:start w:val="1"/>
      <w:numFmt w:val="lowerLetter"/>
      <w:lvlText w:val="(%1)"/>
      <w:lvlJc w:val="start"/>
      <w:pPr>
        <w:tabs>
          <w:tab w:val="num" w:pos="1417"/>
        </w:tabs>
        <w:ind w:start="1417" w:hanging="708"/>
      </w:pPr>
      <w:rPr>
        <w:i w:val="false"/>
        <w:b w:val="false"/>
      </w:rPr>
    </w:lvl>
  </w:abstractNum>
  <w:abstractNum w:abstractNumId="17">
    <w:lvl w:ilvl="0">
      <w:start w:val="3"/>
      <w:numFmt w:val="decimal"/>
      <w:lvlText w:val="%1"/>
      <w:lvlJc w:val="start"/>
      <w:pPr>
        <w:tabs>
          <w:tab w:val="num" w:pos="705"/>
        </w:tabs>
        <w:ind w:start="705" w:hanging="705"/>
      </w:pPr>
      <w:rPr/>
    </w:lvl>
    <w:lvl w:ilvl="1">
      <w:start w:val="1"/>
      <w:numFmt w:val="decimal"/>
      <w:lvlText w:val="%1.%2"/>
      <w:lvlJc w:val="start"/>
      <w:pPr>
        <w:tabs>
          <w:tab w:val="num" w:pos="705"/>
        </w:tabs>
        <w:ind w:start="705" w:hanging="7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8">
    <w:lvl w:ilvl="0">
      <w:start w:val="10"/>
      <w:numFmt w:val="decimal"/>
      <w:lvlText w:val="%1"/>
      <w:lvlJc w:val="start"/>
      <w:pPr>
        <w:tabs>
          <w:tab w:val="num" w:pos="705"/>
        </w:tabs>
        <w:ind w:start="705" w:hanging="705"/>
      </w:pPr>
      <w:rPr/>
    </w:lvl>
    <w:lvl w:ilvl="1">
      <w:start w:val="4"/>
      <w:numFmt w:val="decimal"/>
      <w:lvlText w:val="%1.%2"/>
      <w:lvlJc w:val="start"/>
      <w:pPr>
        <w:tabs>
          <w:tab w:val="num" w:pos="705"/>
        </w:tabs>
        <w:ind w:start="705" w:hanging="70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9">
    <w:lvl w:ilvl="0">
      <w:start w:val="1"/>
      <w:numFmt w:val="lowerLetter"/>
      <w:lvlText w:val="(%1)"/>
      <w:lvlJc w:val="start"/>
      <w:pPr>
        <w:tabs>
          <w:tab w:val="num" w:pos="1430"/>
        </w:tabs>
        <w:ind w:start="1430" w:hanging="660"/>
      </w:pPr>
      <w:rPr/>
    </w:lvl>
  </w:abstractNum>
  <w:abstractNum w:abstractNumId="20">
    <w:lvl w:ilvl="0">
      <w:start w:val="1"/>
      <w:numFmt w:val="lowerLetter"/>
      <w:lvlText w:val="(%1)"/>
      <w:lvlJc w:val="start"/>
      <w:pPr>
        <w:tabs>
          <w:tab w:val="num" w:pos="1410"/>
        </w:tabs>
        <w:ind w:start="1410" w:hanging="70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15"/>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suppressAutoHyphens w:val="false"/>
      <w:bidi w:val="0"/>
    </w:pPr>
    <w:rPr>
      <w:rFonts w:ascii="Arial" w:hAnsi="Arial" w:eastAsia="Times New Roman" w:cs="Arial"/>
      <w:color w:val="auto"/>
      <w:sz w:val="22"/>
      <w:szCs w:val="20"/>
      <w:lang w:val="de-DE"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sz w:val="24"/>
    </w:rPr>
  </w:style>
  <w:style w:type="paragraph" w:styleId="Heading4">
    <w:name w:val="heading 4"/>
    <w:basedOn w:val="Normal"/>
    <w:next w:val="Normal"/>
    <w:qFormat/>
    <w:pPr>
      <w:keepNext w:val="true"/>
      <w:widowControl/>
      <w:numPr>
        <w:ilvl w:val="3"/>
        <w:numId w:val="1"/>
      </w:numPr>
      <w:outlineLvl w:val="3"/>
    </w:pPr>
    <w:rPr>
      <w:rFonts w:ascii="Arial" w:hAnsi="Arial" w:cs="Arial"/>
      <w:b/>
      <w:sz w:val="22"/>
      <w:lang w:val="en-GB"/>
    </w:rPr>
  </w:style>
  <w:style w:type="paragraph" w:styleId="Heading5">
    <w:name w:val="heading 5"/>
    <w:basedOn w:val="Normal"/>
    <w:next w:val="Normal"/>
    <w:qFormat/>
    <w:pPr>
      <w:keepNext w:val="true"/>
      <w:widowControl/>
      <w:numPr>
        <w:ilvl w:val="4"/>
        <w:numId w:val="1"/>
      </w:numPr>
      <w:outlineLvl w:val="4"/>
    </w:pPr>
    <w:rPr>
      <w:rFonts w:ascii="Arial" w:hAnsi="Arial" w:cs="Arial"/>
      <w:b/>
      <w:sz w:val="22"/>
      <w:u w:val="single"/>
      <w:lang w:val="en-GB"/>
    </w:rPr>
  </w:style>
  <w:style w:type="paragraph" w:styleId="Heading6">
    <w:name w:val="heading 6"/>
    <w:basedOn w:val="Normal"/>
    <w:next w:val="Normal"/>
    <w:qFormat/>
    <w:pPr>
      <w:keepNext w:val="true"/>
      <w:widowControl/>
      <w:numPr>
        <w:ilvl w:val="5"/>
        <w:numId w:val="1"/>
      </w:numPr>
      <w:ind w:hanging="709" w:start="709" w:end="0"/>
      <w:jc w:val="both"/>
      <w:outlineLvl w:val="5"/>
    </w:pPr>
    <w:rPr>
      <w:lang w:val="en-GB"/>
    </w:rPr>
  </w:style>
  <w:style w:type="paragraph" w:styleId="Heading7">
    <w:name w:val="heading 7"/>
    <w:basedOn w:val="Normal"/>
    <w:next w:val="Normal"/>
    <w:qFormat/>
    <w:pPr>
      <w:keepNext w:val="true"/>
      <w:widowControl/>
      <w:numPr>
        <w:ilvl w:val="6"/>
        <w:numId w:val="1"/>
      </w:numPr>
      <w:ind w:hanging="709" w:start="709" w:end="0"/>
      <w:jc w:val="center"/>
      <w:outlineLvl w:val="6"/>
    </w:pPr>
    <w:rPr>
      <w:b/>
      <w:bCs/>
      <w:u w:val="single"/>
      <w:lang w:val="en-GB"/>
    </w:rPr>
  </w:style>
  <w:style w:type="paragraph" w:styleId="Heading8">
    <w:name w:val="heading 8"/>
    <w:basedOn w:val="Normal"/>
    <w:next w:val="Normal"/>
    <w:qFormat/>
    <w:pPr>
      <w:keepNext w:val="true"/>
      <w:widowControl/>
      <w:numPr>
        <w:ilvl w:val="7"/>
        <w:numId w:val="1"/>
      </w:numPr>
      <w:outlineLvl w:val="7"/>
    </w:pPr>
    <w:rPr>
      <w:lang w:val="en-GB"/>
    </w:rPr>
  </w:style>
  <w:style w:type="paragraph" w:styleId="Heading9">
    <w:name w:val="heading 9"/>
    <w:basedOn w:val="Normal"/>
    <w:next w:val="Normal"/>
    <w:qFormat/>
    <w:pPr>
      <w:keepNext w:val="true"/>
      <w:widowControl/>
      <w:numPr>
        <w:ilvl w:val="8"/>
        <w:numId w:val="1"/>
      </w:numPr>
      <w:jc w:val="both"/>
      <w:outlineLvl w:val="8"/>
    </w:pPr>
    <w:rPr>
      <w:b/>
      <w:lang w:val="en-GB"/>
    </w:rPr>
  </w:style>
  <w:style w:type="character" w:styleId="WW8Num2z0">
    <w:name w:val="WW8Num2z0"/>
    <w:qFormat/>
    <w:rPr/>
  </w:style>
  <w:style w:type="character" w:styleId="WW8Num3z0">
    <w:name w:val="WW8Num3z0"/>
    <w:qFormat/>
    <w:rPr>
      <w:b w:val="false"/>
      <w:i w:val="false"/>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style>
  <w:style w:type="character" w:styleId="WW8Num10z0">
    <w:name w:val="WW8Num10z0"/>
    <w:qFormat/>
    <w:rPr>
      <w:b/>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z w:val="16"/>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b w:val="false"/>
      <w:i w:val="false"/>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4z0">
    <w:name w:val="WW8Num24z0"/>
    <w:qFormat/>
    <w:rPr>
      <w:rFonts w:ascii="Times New Roman" w:hAnsi="Times New Roman" w:cs="Times New Roman"/>
    </w:rPr>
  </w:style>
  <w:style w:type="character" w:styleId="WW8Num25z0">
    <w:name w:val="WW8Num25z0"/>
    <w:qFormat/>
    <w:rPr/>
  </w:style>
  <w:style w:type="character" w:styleId="WW8Num26z0">
    <w:name w:val="WW8Num26z0"/>
    <w:qFormat/>
    <w:rPr>
      <w:rFonts w:ascii="Times New Roman" w:hAnsi="Times New Roman" w:cs="Times New Roman"/>
      <w:b w:val="false"/>
      <w:i w:val="false"/>
      <w:sz w:val="22"/>
    </w:rPr>
  </w:style>
  <w:style w:type="character" w:styleId="WW8Num27z0">
    <w:name w:val="WW8Num27z0"/>
    <w:qFormat/>
    <w:rPr>
      <w:b w:val="false"/>
    </w:rPr>
  </w:style>
  <w:style w:type="character" w:styleId="WW8Num28z0">
    <w:name w:val="WW8Num28z0"/>
    <w:qFormat/>
    <w:rPr>
      <w:rFonts w:ascii="CG Times" w:hAnsi="CG Times" w:cs="CG Times"/>
      <w:b w:val="false"/>
      <w:i w:val="false"/>
      <w:sz w:val="20"/>
    </w:rPr>
  </w:style>
  <w:style w:type="character" w:styleId="WW8Num28z1">
    <w:name w:val="WW8Num28z1"/>
    <w:qFormat/>
    <w:rPr>
      <w:b w:val="false"/>
      <w:i w:val="false"/>
      <w:sz w:val="20"/>
    </w:rPr>
  </w:style>
  <w:style w:type="character" w:styleId="WW8Num28z2">
    <w:name w:val="WW8Num28z2"/>
    <w:qFormat/>
    <w:rPr>
      <w:b w:val="false"/>
      <w:i w:val="false"/>
      <w:sz w:val="18"/>
    </w:rPr>
  </w:style>
  <w:style w:type="character" w:styleId="WW8Num28z8">
    <w:name w:val="WW8Num28z8"/>
    <w:qFormat/>
    <w:rPr>
      <w:b/>
      <w:i w:val="false"/>
      <w:caps/>
      <w:sz w:val="22"/>
    </w:rPr>
  </w:style>
  <w:style w:type="character" w:styleId="WW8Num30z0">
    <w:name w:val="WW8Num30z0"/>
    <w:qFormat/>
    <w:rPr>
      <w:rFonts w:ascii="Times New Roman" w:hAnsi="Times New Roman" w:cs="Times New Roman"/>
      <w:b w:val="false"/>
      <w:i w:val="false"/>
      <w:sz w:val="22"/>
    </w:rPr>
  </w:style>
  <w:style w:type="character" w:styleId="WW8Num32z0">
    <w:name w:val="WW8Num32z0"/>
    <w:qFormat/>
    <w:rPr/>
  </w:style>
  <w:style w:type="character" w:styleId="WW8Num33z0">
    <w:name w:val="WW8Num33z0"/>
    <w:qFormat/>
    <w:rPr>
      <w:b w:val="false"/>
    </w:rPr>
  </w:style>
  <w:style w:type="character" w:styleId="WW8Num36z0">
    <w:name w:val="WW8Num36z0"/>
    <w:qFormat/>
    <w:rPr>
      <w:b/>
    </w:rPr>
  </w:style>
  <w:style w:type="character" w:styleId="WW8Num37z0">
    <w:name w:val="WW8Num37z0"/>
    <w:qFormat/>
    <w:rPr/>
  </w:style>
  <w:style w:type="character" w:styleId="WW8Num38z0">
    <w:name w:val="WW8Num38z0"/>
    <w:qFormat/>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3z0">
    <w:name w:val="WW8Num43z0"/>
    <w:qFormat/>
    <w:rPr/>
  </w:style>
  <w:style w:type="character" w:styleId="WW8Num44z0">
    <w:name w:val="WW8Num44z0"/>
    <w:qFormat/>
    <w:rPr>
      <w:b/>
    </w:rPr>
  </w:style>
  <w:style w:type="character" w:styleId="WW8Num46z0">
    <w:name w:val="WW8Num46z0"/>
    <w:qFormat/>
    <w:rPr/>
  </w:style>
  <w:style w:type="character" w:styleId="WW8Num47z0">
    <w:name w:val="WW8Num47z0"/>
    <w:qFormat/>
    <w:rPr>
      <w:sz w:val="16"/>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2z1">
    <w:name w:val="WW8Num52z1"/>
    <w:qFormat/>
    <w:rPr>
      <w:rFonts w:ascii="Times New Roman" w:hAnsi="Times New Roman" w:cs="Times New Roman"/>
      <w:b w:val="false"/>
      <w:i w:val="false"/>
      <w:sz w:val="22"/>
    </w:rPr>
  </w:style>
  <w:style w:type="character" w:styleId="WW8Num53z0">
    <w:name w:val="WW8Num53z0"/>
    <w:qFormat/>
    <w:rPr>
      <w:b w:val="false"/>
    </w:rPr>
  </w:style>
  <w:style w:type="character" w:styleId="WW8Num55z0">
    <w:name w:val="WW8Num55z0"/>
    <w:qFormat/>
    <w:rPr/>
  </w:style>
  <w:style w:type="character" w:styleId="WW8Num56z0">
    <w:name w:val="WW8Num56z0"/>
    <w:qFormat/>
    <w:rPr/>
  </w:style>
  <w:style w:type="character" w:styleId="WW8Num62z0">
    <w:name w:val="WW8Num62z0"/>
    <w:qFormat/>
    <w:rPr/>
  </w:style>
  <w:style w:type="character" w:styleId="WW8Num62z1">
    <w:name w:val="WW8Num62z1"/>
    <w:qFormat/>
    <w:rPr>
      <w:rFonts w:ascii="Times New Roman" w:hAnsi="Times New Roman" w:cs="Times New Roman"/>
      <w:b w:val="false"/>
      <w:i w:val="false"/>
      <w:sz w:val="22"/>
    </w:rPr>
  </w:style>
  <w:style w:type="character" w:styleId="WW8Num63z0">
    <w:name w:val="WW8Num63z0"/>
    <w:qFormat/>
    <w:rPr/>
  </w:style>
  <w:style w:type="character" w:styleId="WW8Num66z0">
    <w:name w:val="WW8Num66z0"/>
    <w:qFormat/>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b/>
    </w:rPr>
  </w:style>
  <w:style w:type="character" w:styleId="WW8Num73z0">
    <w:name w:val="WW8Num73z0"/>
    <w:qFormat/>
    <w:rPr>
      <w:sz w:val="16"/>
    </w:rPr>
  </w:style>
  <w:style w:type="character" w:styleId="WW8Num74z0">
    <w:name w:val="WW8Num74z0"/>
    <w:qFormat/>
    <w:rPr/>
  </w:style>
  <w:style w:type="character" w:styleId="WW8Num75z0">
    <w:name w:val="WW8Num75z0"/>
    <w:qFormat/>
    <w:rPr>
      <w:b w:val="false"/>
      <w:i w:val="false"/>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z w:val="16"/>
    </w:rPr>
  </w:style>
  <w:style w:type="character" w:styleId="WW8Num82z0">
    <w:name w:val="WW8Num82z0"/>
    <w:qFormat/>
    <w:rPr/>
  </w:style>
  <w:style w:type="character" w:styleId="WW8Num83z0">
    <w:name w:val="WW8Num83z0"/>
    <w:qFormat/>
    <w:rPr>
      <w:rFonts w:ascii="CG Times" w:hAnsi="CG Times" w:cs="CG Times"/>
      <w:b w:val="false"/>
      <w:i w:val="false"/>
      <w:sz w:val="20"/>
    </w:rPr>
  </w:style>
  <w:style w:type="character" w:styleId="WW8Num83z1">
    <w:name w:val="WW8Num83z1"/>
    <w:qFormat/>
    <w:rPr>
      <w:b w:val="false"/>
      <w:i w:val="false"/>
      <w:sz w:val="20"/>
    </w:rPr>
  </w:style>
  <w:style w:type="character" w:styleId="WW8Num83z2">
    <w:name w:val="WW8Num83z2"/>
    <w:qFormat/>
    <w:rPr>
      <w:b w:val="false"/>
      <w:i w:val="false"/>
      <w:sz w:val="18"/>
    </w:rPr>
  </w:style>
  <w:style w:type="character" w:styleId="WW8Num83z8">
    <w:name w:val="WW8Num83z8"/>
    <w:qFormat/>
    <w:rPr>
      <w:b/>
      <w:i w:val="false"/>
      <w:caps/>
      <w:sz w:val="22"/>
    </w:rPr>
  </w:style>
  <w:style w:type="character" w:styleId="WW8Num84z0">
    <w:name w:val="WW8Num84z0"/>
    <w:qFormat/>
    <w:rPr/>
  </w:style>
  <w:style w:type="character" w:styleId="WW8Num85z0">
    <w:name w:val="WW8Num85z0"/>
    <w:qFormat/>
    <w:rPr>
      <w:b/>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b w:val="false"/>
    </w:rPr>
  </w:style>
  <w:style w:type="character" w:styleId="WW8Num95z0">
    <w:name w:val="WW8Num95z0"/>
    <w:qFormat/>
    <w:rPr/>
  </w:style>
  <w:style w:type="character" w:styleId="WW8Num96z0">
    <w:name w:val="WW8Num96z0"/>
    <w:qFormat/>
    <w:rPr>
      <w:sz w:val="16"/>
    </w:rPr>
  </w:style>
  <w:style w:type="character" w:styleId="WW8Num97z0">
    <w:name w:val="WW8Num97z0"/>
    <w:qFormat/>
    <w:rPr/>
  </w:style>
  <w:style w:type="character" w:styleId="WW8Num99z0">
    <w:name w:val="WW8Num99z0"/>
    <w:qFormat/>
    <w:rPr/>
  </w:style>
  <w:style w:type="character" w:styleId="WW8Num101z0">
    <w:name w:val="WW8Num101z0"/>
    <w:qFormat/>
    <w:rPr/>
  </w:style>
  <w:style w:type="character" w:styleId="WW8Num103z0">
    <w:name w:val="WW8Num103z0"/>
    <w:qFormat/>
    <w:rPr/>
  </w:style>
  <w:style w:type="character" w:styleId="WW8Num104z0">
    <w:name w:val="WW8Num104z0"/>
    <w:qFormat/>
    <w:rPr>
      <w:b w:val="false"/>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b/>
    </w:rPr>
  </w:style>
  <w:style w:type="character" w:styleId="WW8Num107z0">
    <w:name w:val="WW8Num107z0"/>
    <w:qFormat/>
    <w:rPr>
      <w:b w:val="false"/>
      <w:i w:val="false"/>
    </w:rPr>
  </w:style>
  <w:style w:type="character" w:styleId="WW8Num108z1">
    <w:name w:val="WW8Num108z1"/>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7z0">
    <w:name w:val="WW8Num117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6z0">
    <w:name w:val="WW8Num126z0"/>
    <w:qFormat/>
    <w:rPr/>
  </w:style>
  <w:style w:type="character" w:styleId="WW8Num127z0">
    <w:name w:val="WW8Num127z0"/>
    <w:qFormat/>
    <w:rPr>
      <w:rFonts w:ascii="Times New Roman" w:hAnsi="Times New Roman" w:cs="Times New Roman"/>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style>
  <w:style w:type="character" w:styleId="WW8Num137z0">
    <w:name w:val="WW8Num137z0"/>
    <w:qFormat/>
    <w:rPr/>
  </w:style>
  <w:style w:type="character" w:styleId="WW8Num139z0">
    <w:name w:val="WW8Num139z0"/>
    <w:qFormat/>
    <w:rPr/>
  </w:style>
  <w:style w:type="character" w:styleId="WW8Num140z1">
    <w:name w:val="WW8Num140z1"/>
    <w:qFormat/>
    <w:rPr>
      <w:rFonts w:ascii="Times New Roman" w:hAnsi="Times New Roman" w:cs="Times New Roman"/>
      <w:b w:val="false"/>
      <w:i w:val="false"/>
      <w:sz w:val="22"/>
    </w:rPr>
  </w:style>
  <w:style w:type="character" w:styleId="WW8Num141z0">
    <w:name w:val="WW8Num141z0"/>
    <w:qFormat/>
    <w:rPr>
      <w:b/>
    </w:rPr>
  </w:style>
  <w:style w:type="character" w:styleId="WW8Num142z0">
    <w:name w:val="WW8Num142z0"/>
    <w:qFormat/>
    <w:rPr/>
  </w:style>
  <w:style w:type="character" w:styleId="WW8Num144z0">
    <w:name w:val="WW8Num144z0"/>
    <w:qFormat/>
    <w:rPr>
      <w:rFonts w:ascii="Times New Roman" w:hAnsi="Times New Roman" w:cs="Times New Roman"/>
    </w:rPr>
  </w:style>
  <w:style w:type="character" w:styleId="WW8Num145z0">
    <w:name w:val="WW8Num145z0"/>
    <w:qFormat/>
    <w:rPr/>
  </w:style>
  <w:style w:type="character" w:styleId="WW8Num146z0">
    <w:name w:val="WW8Num146z0"/>
    <w:qFormat/>
    <w:rPr>
      <w:rFonts w:ascii="Times New Roman" w:hAnsi="Times New Roman" w:cs="Times New Roman"/>
    </w:rPr>
  </w:style>
  <w:style w:type="character" w:styleId="WW8Num148z0">
    <w:name w:val="WW8Num148z0"/>
    <w:qFormat/>
    <w:rPr>
      <w:rFonts w:ascii="Symbol" w:hAnsi="Symbol" w:cs="Symbol"/>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50z0">
    <w:name w:val="WW8Num150z0"/>
    <w:qFormat/>
    <w:rPr>
      <w:b/>
    </w:rPr>
  </w:style>
  <w:style w:type="character" w:styleId="WW8Num151z0">
    <w:name w:val="WW8Num151z0"/>
    <w:qFormat/>
    <w:rPr>
      <w:b/>
    </w:rPr>
  </w:style>
  <w:style w:type="character" w:styleId="WW8Num152z0">
    <w:name w:val="WW8Num152z0"/>
    <w:qFormat/>
    <w:rPr>
      <w:sz w:val="16"/>
    </w:rPr>
  </w:style>
  <w:style w:type="character" w:styleId="WW8Num153z0">
    <w:name w:val="WW8Num153z0"/>
    <w:qFormat/>
    <w:rPr>
      <w:rFonts w:ascii="Symbol" w:hAnsi="Symbol" w:cs="Symbol"/>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5z0">
    <w:name w:val="WW8Num155z0"/>
    <w:qFormat/>
    <w:rPr/>
  </w:style>
  <w:style w:type="character" w:styleId="WW8Num156z0">
    <w:name w:val="WW8Num156z0"/>
    <w:qFormat/>
    <w:rPr>
      <w:sz w:val="16"/>
    </w:rPr>
  </w:style>
  <w:style w:type="character" w:styleId="WW8Num159z0">
    <w:name w:val="WW8Num159z0"/>
    <w:qFormat/>
    <w:rPr>
      <w:b/>
    </w:rPr>
  </w:style>
  <w:style w:type="character" w:styleId="WW8Num161z0">
    <w:name w:val="WW8Num161z0"/>
    <w:qFormat/>
    <w:rPr/>
  </w:style>
  <w:style w:type="character" w:styleId="WW8Num162z0">
    <w:name w:val="WW8Num162z0"/>
    <w:qFormat/>
    <w:rPr/>
  </w:style>
  <w:style w:type="character" w:styleId="WW8Num164z0">
    <w:name w:val="WW8Num164z0"/>
    <w:qFormat/>
    <w:rPr>
      <w:b w:val="false"/>
      <w:i w:val="false"/>
    </w:rPr>
  </w:style>
  <w:style w:type="character" w:styleId="WW8Num167z0">
    <w:name w:val="WW8Num167z0"/>
    <w:qFormat/>
    <w:rPr/>
  </w:style>
  <w:style w:type="character" w:styleId="WW8Num169z0">
    <w:name w:val="WW8Num16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widowControl/>
      <w:jc w:val="center"/>
    </w:pPr>
    <w:rPr>
      <w:rFonts w:ascii="Arial" w:hAnsi="Arial" w:cs="Arial"/>
      <w:b/>
      <w:sz w:val="22"/>
      <w:u w:val="single"/>
      <w:lang w:val="en-GB"/>
    </w:rPr>
  </w:style>
  <w:style w:type="paragraph" w:styleId="BodyText">
    <w:name w:val="Body Text"/>
    <w:basedOn w:val="Normal"/>
    <w:pPr>
      <w:tabs>
        <w:tab w:val="left" w:pos="709" w:leader="none"/>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120"/>
      <w:ind w:hanging="709" w:start="709" w:end="0"/>
    </w:pPr>
    <w:rPr>
      <w:rFonts w:ascii="Arial" w:hAnsi="Arial" w:cs="Arial"/>
      <w:kern w:val="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05" w:end="0"/>
    </w:pPr>
    <w:rPr>
      <w:rFonts w:ascii="Arial" w:hAnsi="Arial" w:cs="Arial"/>
      <w:sz w:val="22"/>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Normal"/>
    <w:pPr>
      <w:tabs>
        <w:tab w:val="clear" w:pos="709"/>
        <w:tab w:val="center" w:pos="4536" w:leader="none"/>
        <w:tab w:val="right" w:pos="9072" w:leader="none"/>
      </w:tabs>
    </w:pPr>
    <w:rPr/>
  </w:style>
  <w:style w:type="paragraph" w:styleId="Footer">
    <w:name w:val="footer"/>
    <w:basedOn w:val="Normal"/>
    <w:pPr>
      <w:tabs>
        <w:tab w:val="clear" w:pos="709"/>
        <w:tab w:val="center" w:pos="4536" w:leader="none"/>
        <w:tab w:val="right" w:pos="9072" w:leader="none"/>
      </w:tabs>
    </w:pPr>
    <w:rPr/>
  </w:style>
  <w:style w:type="paragraph" w:styleId="BodyTextIndent2">
    <w:name w:val="Body Text Indent 2"/>
    <w:basedOn w:val="Normal"/>
    <w:qFormat/>
    <w:pPr>
      <w:widowControl/>
      <w:ind w:hanging="0" w:start="708" w:end="0"/>
      <w:jc w:val="both"/>
    </w:pPr>
    <w:rPr>
      <w:rFonts w:ascii="Arial" w:hAnsi="Arial" w:cs="Arial"/>
      <w:b/>
      <w:i/>
      <w:sz w:val="22"/>
      <w:lang w:val="en-GB"/>
    </w:rPr>
  </w:style>
  <w:style w:type="paragraph" w:styleId="BodyTextIndent3">
    <w:name w:val="Body Text Indent 3"/>
    <w:basedOn w:val="Normal"/>
    <w:qFormat/>
    <w:pPr>
      <w:widowControl/>
      <w:tabs>
        <w:tab w:val="clear" w:pos="709"/>
        <w:tab w:val="left" w:pos="708" w:leader="none"/>
      </w:tabs>
      <w:ind w:hanging="0" w:start="708" w:end="0"/>
      <w:jc w:val="both"/>
    </w:pPr>
    <w:rPr>
      <w:rFonts w:ascii="Arial" w:hAnsi="Arial" w:cs="Arial"/>
      <w:sz w:val="22"/>
      <w:lang w:val="en-GB"/>
    </w:rPr>
  </w:style>
  <w:style w:type="paragraph" w:styleId="BodyText2">
    <w:name w:val="Body Text 2"/>
    <w:basedOn w:val="Normal"/>
    <w:qFormat/>
    <w:pPr>
      <w:widowControl/>
      <w:tabs>
        <w:tab w:val="clear" w:pos="709"/>
        <w:tab w:val="left" w:pos="705" w:leader="none"/>
      </w:tabs>
      <w:jc w:val="both"/>
    </w:pPr>
    <w:rPr>
      <w:rFonts w:ascii="Arial" w:hAnsi="Arial" w:cs="Arial"/>
      <w:sz w:val="22"/>
      <w:lang w:val="en-GB"/>
    </w:rPr>
  </w:style>
  <w:style w:type="paragraph" w:styleId="BodyText3">
    <w:name w:val="Body Text 3"/>
    <w:basedOn w:val="Normal"/>
    <w:qFormat/>
    <w:pPr>
      <w:keepNext w:val="true"/>
      <w:widowControl/>
    </w:pPr>
    <w:rPr>
      <w:rFonts w:ascii="Arial" w:hAnsi="Arial" w:cs="Arial"/>
      <w:sz w:val="22"/>
      <w:lang w:val="en-GB"/>
    </w:rPr>
  </w:style>
  <w:style w:type="paragraph" w:styleId="WW-BodyText2">
    <w:name w:val="WW-Body Text 2"/>
    <w:basedOn w:val="Normal"/>
    <w:qFormat/>
    <w:pPr>
      <w:widowControl/>
      <w:spacing w:lineRule="auto" w:line="360"/>
      <w:ind w:hanging="708" w:start="708" w:end="0"/>
    </w:pPr>
    <w:rPr>
      <w:sz w:val="24"/>
    </w:rPr>
  </w:style>
  <w:style w:type="paragraph" w:styleId="FootnoteText">
    <w:name w:val="footnote text"/>
    <w:basedOn w:val="Normal"/>
    <w:pPr/>
    <w:rPr>
      <w:sz w:val="20"/>
    </w:rPr>
  </w:style>
  <w:style w:type="paragraph" w:styleId="Subtitle">
    <w:name w:val="Subtitle"/>
    <w:basedOn w:val="Normal"/>
    <w:next w:val="BodyText"/>
    <w:qFormat/>
    <w:pPr>
      <w:widowControl/>
      <w:spacing w:before="120" w:after="0"/>
      <w:jc w:val="center"/>
    </w:pPr>
    <w:rPr>
      <w:b/>
      <w:sz w:val="28"/>
      <w:lang w:val="en-GB"/>
    </w:rPr>
  </w:style>
  <w:style w:type="paragraph" w:styleId="Address">
    <w:name w:val="Address"/>
    <w:basedOn w:val="Normal"/>
    <w:qFormat/>
    <w:pPr>
      <w:widowControl/>
      <w:jc w:val="both"/>
    </w:pPr>
    <w:rPr>
      <w:rFonts w:ascii="Times New Roman" w:hAnsi="Times New Roman" w:cs="Times New Roman"/>
      <w:b/>
      <w:sz w:val="18"/>
      <w:lang w:val="en-GB"/>
    </w:rPr>
  </w:style>
  <w:style w:type="paragraph" w:styleId="Cover1">
    <w:name w:val="Cover1"/>
    <w:basedOn w:val="Normal"/>
    <w:next w:val="Cover2"/>
    <w:qFormat/>
    <w:pPr>
      <w:widowControl/>
      <w:jc w:val="both"/>
    </w:pPr>
    <w:rPr>
      <w:rFonts w:ascii="Times New Roman" w:hAnsi="Times New Roman" w:cs="Times New Roman"/>
      <w:b/>
      <w:sz w:val="24"/>
      <w:lang w:val="en-GB"/>
    </w:rPr>
  </w:style>
  <w:style w:type="paragraph" w:styleId="Cover2">
    <w:name w:val="Cover2"/>
    <w:basedOn w:val="Normal"/>
    <w:next w:val="Cover1"/>
    <w:qFormat/>
    <w:pPr>
      <w:widowControl/>
      <w:spacing w:before="0" w:after="240"/>
      <w:jc w:val="both"/>
    </w:pPr>
    <w:rPr>
      <w:rFonts w:ascii="Times New Roman" w:hAnsi="Times New Roman" w:cs="Times New Roman"/>
      <w:sz w:val="24"/>
      <w:lang w:val="en-GB"/>
    </w:rPr>
  </w:style>
  <w:style w:type="paragraph" w:styleId="Leader">
    <w:name w:val="Leader"/>
    <w:basedOn w:val="BodyText"/>
    <w:qFormat/>
    <w:pPr>
      <w:widowControl/>
      <w:tabs>
        <w:tab w:val="clear" w:pos="709"/>
        <w:tab w:val="clear" w:pos="1418"/>
        <w:tab w:val="clear" w:pos="2126"/>
        <w:tab w:val="clear" w:pos="2835"/>
        <w:tab w:val="clear" w:pos="3544"/>
        <w:tab w:val="clear" w:pos="4253"/>
        <w:tab w:val="clear" w:pos="4961"/>
        <w:tab w:val="clear" w:pos="5670"/>
        <w:tab w:val="clear" w:pos="8363"/>
      </w:tabs>
      <w:spacing w:lineRule="auto" w:line="240" w:before="120" w:after="240"/>
      <w:ind w:hanging="0" w:start="0" w:end="0"/>
      <w:jc w:val="both"/>
    </w:pPr>
    <w:rPr>
      <w:rFonts w:ascii="Times New Roman" w:hAnsi="Times New Roman" w:cs="Times New Roman"/>
      <w:b/>
      <w:kern w:val="0"/>
      <w:sz w:val="24"/>
    </w:rPr>
  </w:style>
  <w:style w:type="paragraph" w:styleId="Parties">
    <w:name w:val="Parties"/>
    <w:basedOn w:val="BodyText"/>
    <w:qFormat/>
    <w:pPr>
      <w:widowControl/>
      <w:numPr>
        <w:ilvl w:val="0"/>
        <w:numId w:val="3"/>
      </w:numPr>
      <w:tabs>
        <w:tab w:val="clear" w:pos="709"/>
        <w:tab w:val="clear" w:pos="1418"/>
        <w:tab w:val="clear" w:pos="2126"/>
        <w:tab w:val="clear" w:pos="2835"/>
        <w:tab w:val="clear" w:pos="3544"/>
        <w:tab w:val="clear" w:pos="4253"/>
        <w:tab w:val="clear" w:pos="4961"/>
        <w:tab w:val="clear" w:pos="5670"/>
        <w:tab w:val="clear" w:pos="8363"/>
      </w:tabs>
      <w:spacing w:lineRule="auto" w:line="240" w:before="0" w:after="240"/>
      <w:jc w:val="both"/>
    </w:pPr>
    <w:rPr>
      <w:rFonts w:ascii="Times New Roman" w:hAnsi="Times New Roman" w:cs="Times New Roman"/>
      <w:kern w:val="0"/>
    </w:rPr>
  </w:style>
  <w:style w:type="paragraph" w:styleId="Recital">
    <w:name w:val="Recital"/>
    <w:basedOn w:val="Normal"/>
    <w:qFormat/>
    <w:pPr>
      <w:widowControl/>
      <w:numPr>
        <w:ilvl w:val="0"/>
        <w:numId w:val="5"/>
      </w:numPr>
      <w:tabs>
        <w:tab w:val="clear" w:pos="709"/>
      </w:tabs>
      <w:spacing w:before="0" w:after="240"/>
      <w:jc w:val="both"/>
    </w:pPr>
    <w:rPr>
      <w:rFonts w:ascii="Times New Roman" w:hAnsi="Times New Roman" w:cs="Times New Roman"/>
      <w:lang w:val="en-GB"/>
    </w:rPr>
  </w:style>
  <w:style w:type="paragraph" w:styleId="Justified">
    <w:name w:val="Justified"/>
    <w:basedOn w:val="Normal"/>
    <w:next w:val="Heading2"/>
    <w:qFormat/>
    <w:pPr>
      <w:spacing w:before="0" w:after="120"/>
      <w:jc w:val="both"/>
    </w:pPr>
    <w:rPr>
      <w:lang w:val="en-US"/>
    </w:rPr>
  </w:style>
  <w:style w:type="paragraph" w:styleId="BlockText">
    <w:name w:val="Block Text"/>
    <w:basedOn w:val="Normal"/>
    <w:qFormat/>
    <w:pPr>
      <w:widowControl/>
      <w:spacing w:before="0" w:after="120"/>
      <w:ind w:hanging="0" w:start="1440" w:end="1440"/>
      <w:jc w:val="both"/>
    </w:pPr>
    <w:rPr>
      <w:rFonts w:ascii="Times New Roman" w:hAnsi="Times New Roman" w:cs="Times New Roman"/>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2001-11-02T11:57:00Z</dcterms:created>
  <dc:creator>Manfred Ungemach (5543)</dc:creator>
  <dc:description>Draft: 30 October 2001BH/45192.00006/5497951.01</dc:description>
  <dc:language>en-CA</dc:language>
  <cp:lastModifiedBy>Schuh</cp:lastModifiedBy>
  <cp:lastPrinted>2001-10-31T18:29:00Z</cp:lastPrinted>
  <dcterms:modified xsi:type="dcterms:W3CDTF">2001-11-02T11:57:00Z</dcterms:modified>
  <cp:revision>2</cp:revision>
  <dc:subject>Cross-Affiliate Netting Agreement</dc:subject>
  <dc:title>5497951.01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45192.00006</vt:lpwstr>
  </property>
  <property fmtid="{D5CDD505-2E9C-101B-9397-08002B2CF9AE}" pid="3" name="DocumentNumber">
    <vt:lpwstr>5497951.01</vt:lpwstr>
  </property>
</Properties>
</file>